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17CAF" w:rsidP="00B17CAF" w:rsidRDefault="00B17CAF" w14:paraId="55030408" w14:textId="77777777">
      <w:pPr>
        <w:rPr>
          <w:rFonts w:ascii="Calibri" w:hAnsi="Calibri" w:cs="Calibri"/>
          <w:b/>
          <w:bCs/>
        </w:rPr>
      </w:pPr>
      <w:r w:rsidRPr="1A918034">
        <w:rPr>
          <w:rFonts w:ascii="Calibri" w:hAnsi="Calibri" w:cs="Calibri"/>
          <w:b/>
          <w:bCs/>
        </w:rPr>
        <w:t>Ambition Disparity Reveals Unlocked Mitigation Potential for Blue Carbon in the Paris Agreement</w:t>
      </w:r>
    </w:p>
    <w:p w:rsidRPr="00C14FF6" w:rsidR="00B17CAF" w:rsidP="00B17CAF" w:rsidRDefault="00B17CAF" w14:paraId="6FBE9772" w14:textId="77777777">
      <w:pPr>
        <w:rPr>
          <w:rFonts w:ascii="Calibri" w:hAnsi="Calibri" w:cs="Calibri"/>
          <w:vertAlign w:val="superscript"/>
        </w:rPr>
      </w:pPr>
      <w:r w:rsidRPr="6E0AD401">
        <w:rPr>
          <w:rFonts w:ascii="Calibri" w:hAnsi="Calibri" w:cs="Calibri"/>
        </w:rPr>
        <w:t>Radhika Bhargava Gajre</w:t>
      </w:r>
      <w:r w:rsidRPr="6E0AD401">
        <w:rPr>
          <w:rFonts w:ascii="Calibri" w:hAnsi="Calibri" w:cs="Calibri"/>
          <w:vertAlign w:val="superscript"/>
        </w:rPr>
        <w:t>1</w:t>
      </w:r>
      <w:r w:rsidRPr="6E0AD401">
        <w:rPr>
          <w:rFonts w:ascii="Calibri" w:hAnsi="Calibri" w:cs="Calibri"/>
        </w:rPr>
        <w:t>, Anabel Kadri</w:t>
      </w:r>
      <w:r w:rsidRPr="6E0AD401">
        <w:rPr>
          <w:rFonts w:ascii="Calibri" w:hAnsi="Calibri" w:cs="Calibri"/>
          <w:vertAlign w:val="superscript"/>
        </w:rPr>
        <w:t>2</w:t>
      </w:r>
      <w:r w:rsidRPr="6E0AD401">
        <w:rPr>
          <w:rFonts w:ascii="Calibri" w:hAnsi="Calibri" w:cs="Calibri"/>
        </w:rPr>
        <w:t>, Maria Fernanda Adame</w:t>
      </w:r>
      <w:r w:rsidRPr="6E0AD401">
        <w:rPr>
          <w:rFonts w:ascii="Calibri" w:hAnsi="Calibri" w:cs="Calibri"/>
          <w:vertAlign w:val="superscript"/>
        </w:rPr>
        <w:t>3</w:t>
      </w:r>
      <w:r w:rsidRPr="6E0AD401">
        <w:rPr>
          <w:rFonts w:ascii="Calibri" w:hAnsi="Calibri" w:cs="Calibri"/>
        </w:rPr>
        <w:t>, Stacy K. Baez</w:t>
      </w:r>
      <w:r w:rsidRPr="6E0AD401">
        <w:rPr>
          <w:rFonts w:ascii="Calibri" w:hAnsi="Calibri" w:cs="Calibri"/>
          <w:vertAlign w:val="superscript"/>
        </w:rPr>
        <w:t>4</w:t>
      </w:r>
      <w:r w:rsidRPr="6E0AD401">
        <w:rPr>
          <w:rFonts w:ascii="Calibri" w:hAnsi="Calibri" w:cs="Calibri"/>
        </w:rPr>
        <w:t>, Natasha Bhatia</w:t>
      </w:r>
      <w:r w:rsidRPr="6E0AD401">
        <w:rPr>
          <w:rFonts w:ascii="Calibri" w:hAnsi="Calibri" w:cs="Calibri"/>
          <w:vertAlign w:val="superscript"/>
        </w:rPr>
        <w:t>5</w:t>
      </w:r>
      <w:r w:rsidRPr="6E0AD401">
        <w:rPr>
          <w:rFonts w:ascii="Calibri" w:hAnsi="Calibri" w:cs="Calibri"/>
        </w:rPr>
        <w:t>, Jacob J. Bukoski</w:t>
      </w:r>
      <w:r w:rsidRPr="6E0AD401">
        <w:rPr>
          <w:rFonts w:ascii="Calibri" w:hAnsi="Calibri" w:cs="Calibri"/>
          <w:vertAlign w:val="superscript"/>
        </w:rPr>
        <w:t>6</w:t>
      </w:r>
      <w:r w:rsidRPr="6E0AD401">
        <w:rPr>
          <w:rFonts w:ascii="Calibri" w:hAnsi="Calibri" w:cs="Calibri"/>
        </w:rPr>
        <w:t>, Miguel Cifuentes-Jara7, Peter I. Macreadie</w:t>
      </w:r>
      <w:r w:rsidRPr="6E0AD401">
        <w:rPr>
          <w:rFonts w:ascii="Calibri" w:hAnsi="Calibri" w:cs="Calibri"/>
          <w:vertAlign w:val="superscript"/>
        </w:rPr>
        <w:t>8</w:t>
      </w:r>
      <w:r w:rsidRPr="6E0AD401">
        <w:rPr>
          <w:rFonts w:ascii="Calibri" w:hAnsi="Calibri" w:cs="Calibri"/>
        </w:rPr>
        <w:t>, Sai Qu</w:t>
      </w:r>
      <w:r w:rsidRPr="6E0AD401">
        <w:rPr>
          <w:rFonts w:ascii="Calibri" w:hAnsi="Calibri" w:cs="Calibri"/>
          <w:vertAlign w:val="superscript"/>
        </w:rPr>
        <w:t>1</w:t>
      </w:r>
      <w:r w:rsidRPr="6E0AD401">
        <w:rPr>
          <w:rFonts w:ascii="Calibri" w:hAnsi="Calibri" w:cs="Calibri"/>
        </w:rPr>
        <w:t>, Michiel van Breugel</w:t>
      </w:r>
      <w:r w:rsidRPr="6E0AD401">
        <w:rPr>
          <w:rFonts w:ascii="Calibri" w:hAnsi="Calibri" w:cs="Calibri"/>
          <w:vertAlign w:val="superscript"/>
        </w:rPr>
        <w:t>1</w:t>
      </w:r>
      <w:r w:rsidRPr="6E0AD401">
        <w:rPr>
          <w:rFonts w:ascii="Calibri" w:hAnsi="Calibri" w:cs="Calibri"/>
        </w:rPr>
        <w:t>, Hao Tang</w:t>
      </w:r>
      <w:r w:rsidRPr="6E0AD401">
        <w:rPr>
          <w:rFonts w:ascii="Calibri" w:hAnsi="Calibri" w:cs="Calibri"/>
          <w:vertAlign w:val="superscript"/>
        </w:rPr>
        <w:t>1</w:t>
      </w:r>
      <w:r w:rsidRPr="6E0AD401">
        <w:rPr>
          <w:rFonts w:ascii="Calibri" w:hAnsi="Calibri" w:cs="Calibri"/>
        </w:rPr>
        <w:t>, Daniel A. Friess</w:t>
      </w:r>
      <w:r w:rsidRPr="6E0AD401">
        <w:rPr>
          <w:rFonts w:ascii="Calibri" w:hAnsi="Calibri" w:cs="Calibri"/>
          <w:vertAlign w:val="superscript"/>
        </w:rPr>
        <w:t>2</w:t>
      </w:r>
    </w:p>
    <w:p w:rsidR="00B17CAF" w:rsidP="00B17CAF" w:rsidRDefault="00B17CAF" w14:paraId="7DC4E9DF" w14:textId="77777777">
      <w:pPr>
        <w:pStyle w:val="ListParagraph"/>
        <w:numPr>
          <w:ilvl w:val="0"/>
          <w:numId w:val="1"/>
        </w:numPr>
        <w:rPr>
          <w:rFonts w:ascii="Calibri" w:hAnsi="Calibri" w:cs="Calibri"/>
          <w:lang w:val="en-US"/>
        </w:rPr>
      </w:pPr>
      <w:r>
        <w:rPr>
          <w:rFonts w:ascii="Calibri" w:hAnsi="Calibri" w:cs="Calibri"/>
          <w:lang w:val="en-US"/>
        </w:rPr>
        <w:t>Department of Geography, National University of Singapore, Singapore</w:t>
      </w:r>
    </w:p>
    <w:p w:rsidRPr="00BB7656" w:rsidR="00B17CAF" w:rsidP="00B17CAF" w:rsidRDefault="00B17CAF" w14:paraId="064CFACA" w14:textId="77777777">
      <w:pPr>
        <w:pStyle w:val="ListParagraph"/>
        <w:numPr>
          <w:ilvl w:val="0"/>
          <w:numId w:val="1"/>
        </w:numPr>
        <w:rPr>
          <w:rFonts w:ascii="Calibri" w:hAnsi="Calibri" w:cs="Calibri"/>
          <w:lang w:val="en-US"/>
        </w:rPr>
      </w:pPr>
      <w:r>
        <w:rPr>
          <w:rFonts w:ascii="Calibri" w:hAnsi="Calibri" w:cs="Calibri"/>
          <w:lang w:val="en-US"/>
        </w:rPr>
        <w:t>Department of Earth and Environmental Sciences, Tulane University, New Orleans, Louisiana, USA</w:t>
      </w:r>
    </w:p>
    <w:p w:rsidR="00B17CAF" w:rsidP="00B17CAF" w:rsidRDefault="00B17CAF" w14:paraId="523DC4B7" w14:textId="77777777">
      <w:pPr>
        <w:pStyle w:val="ListParagraph"/>
        <w:numPr>
          <w:ilvl w:val="0"/>
          <w:numId w:val="1"/>
        </w:numPr>
        <w:rPr>
          <w:rFonts w:ascii="Calibri" w:hAnsi="Calibri" w:cs="Calibri"/>
          <w:lang w:val="en-US"/>
        </w:rPr>
      </w:pPr>
      <w:r>
        <w:rPr>
          <w:rFonts w:ascii="Calibri" w:hAnsi="Calibri" w:cs="Calibri"/>
          <w:lang w:val="en-US"/>
        </w:rPr>
        <w:t>Australian Rivers Institute, Griffith University, Nathan, Brisbane, Australia</w:t>
      </w:r>
    </w:p>
    <w:p w:rsidR="00B17CAF" w:rsidP="00B17CAF" w:rsidRDefault="00B17CAF" w14:paraId="26B07633" w14:textId="77777777">
      <w:pPr>
        <w:pStyle w:val="ListParagraph"/>
        <w:numPr>
          <w:ilvl w:val="0"/>
          <w:numId w:val="1"/>
        </w:numPr>
        <w:rPr>
          <w:rFonts w:ascii="Calibri" w:hAnsi="Calibri" w:cs="Calibri"/>
          <w:lang w:val="en-US"/>
        </w:rPr>
      </w:pPr>
      <w:r w:rsidRPr="4BA85E1D">
        <w:rPr>
          <w:rFonts w:ascii="Calibri" w:hAnsi="Calibri" w:cs="Calibri"/>
          <w:lang w:val="en-US"/>
        </w:rPr>
        <w:t>The Pew Charitable Trusts, Washington, D.C., USA</w:t>
      </w:r>
    </w:p>
    <w:p w:rsidR="00B17CAF" w:rsidP="00B17CAF" w:rsidRDefault="00B17CAF" w14:paraId="5AB35493" w14:textId="77777777">
      <w:pPr>
        <w:pStyle w:val="ListParagraph"/>
        <w:numPr>
          <w:ilvl w:val="0"/>
          <w:numId w:val="1"/>
        </w:numPr>
        <w:rPr>
          <w:rFonts w:ascii="Calibri" w:hAnsi="Calibri" w:cs="Calibri"/>
          <w:lang w:val="en-US"/>
        </w:rPr>
      </w:pPr>
      <w:r w:rsidRPr="3B934DCA">
        <w:rPr>
          <w:rFonts w:ascii="Calibri" w:hAnsi="Calibri" w:cs="Calibri"/>
          <w:lang w:val="en-US"/>
        </w:rPr>
        <w:t>The Asian School of the Environment, Nanyang Technological University, Singapore</w:t>
      </w:r>
    </w:p>
    <w:p w:rsidR="00B17CAF" w:rsidP="00B17CAF" w:rsidRDefault="00B17CAF" w14:paraId="2CC06146" w14:textId="77777777">
      <w:pPr>
        <w:pStyle w:val="ListParagraph"/>
        <w:numPr>
          <w:ilvl w:val="0"/>
          <w:numId w:val="1"/>
        </w:numPr>
        <w:rPr>
          <w:rFonts w:ascii="Calibri" w:hAnsi="Calibri" w:cs="Calibri"/>
          <w:lang w:val="en-US"/>
        </w:rPr>
      </w:pPr>
      <w:r w:rsidRPr="75766C9E">
        <w:rPr>
          <w:rFonts w:ascii="Calibri" w:hAnsi="Calibri" w:eastAsia="Calibri" w:cs="Calibri"/>
          <w:color w:val="000000" w:themeColor="text1"/>
          <w:lang w:val="en-US"/>
        </w:rPr>
        <w:t>Department of Forest Ecosystems &amp; Society</w:t>
      </w:r>
      <w:r w:rsidRPr="75766C9E">
        <w:rPr>
          <w:rFonts w:ascii="Calibri" w:hAnsi="Calibri" w:cs="Calibri"/>
          <w:lang w:val="en-US"/>
        </w:rPr>
        <w:t xml:space="preserve">, </w:t>
      </w:r>
      <w:r>
        <w:rPr>
          <w:rFonts w:ascii="Calibri" w:hAnsi="Calibri" w:cs="Calibri"/>
          <w:lang w:val="en-US"/>
        </w:rPr>
        <w:t>Oregon</w:t>
      </w:r>
      <w:r w:rsidRPr="75766C9E">
        <w:rPr>
          <w:rFonts w:ascii="Calibri" w:hAnsi="Calibri" w:cs="Calibri"/>
          <w:lang w:val="en-US"/>
        </w:rPr>
        <w:t xml:space="preserve"> State University, Corvallis, </w:t>
      </w:r>
      <w:r>
        <w:rPr>
          <w:rFonts w:ascii="Calibri" w:hAnsi="Calibri" w:cs="Calibri"/>
          <w:lang w:val="en-US"/>
        </w:rPr>
        <w:t>Oregon</w:t>
      </w:r>
      <w:r w:rsidRPr="75766C9E">
        <w:rPr>
          <w:rFonts w:ascii="Calibri" w:hAnsi="Calibri" w:cs="Calibri"/>
          <w:lang w:val="en-US"/>
        </w:rPr>
        <w:t>, USA</w:t>
      </w:r>
    </w:p>
    <w:p w:rsidR="00B17CAF" w:rsidP="00B17CAF" w:rsidRDefault="00B17CAF" w14:paraId="6B60740C" w14:textId="77777777">
      <w:pPr>
        <w:pStyle w:val="ListParagraph"/>
        <w:numPr>
          <w:ilvl w:val="0"/>
          <w:numId w:val="1"/>
        </w:numPr>
        <w:rPr>
          <w:rFonts w:ascii="Calibri" w:hAnsi="Calibri" w:cs="Calibri"/>
          <w:lang w:val="en-US"/>
        </w:rPr>
      </w:pPr>
      <w:r>
        <w:rPr>
          <w:rFonts w:ascii="Calibri" w:hAnsi="Calibri" w:cs="Calibri"/>
          <w:lang w:val="en-US"/>
        </w:rPr>
        <w:t>Smithsonian Environmental Research Centre, Edgewater, Maryland, USA</w:t>
      </w:r>
    </w:p>
    <w:p w:rsidR="00B17CAF" w:rsidP="00B17CAF" w:rsidRDefault="00B17CAF" w14:paraId="6E50E459" w14:textId="77777777">
      <w:pPr>
        <w:pStyle w:val="ListParagraph"/>
        <w:numPr>
          <w:ilvl w:val="0"/>
          <w:numId w:val="1"/>
        </w:numPr>
        <w:rPr>
          <w:rFonts w:ascii="Calibri" w:hAnsi="Calibri" w:cs="Calibri"/>
          <w:lang w:val="en-US"/>
        </w:rPr>
      </w:pPr>
      <w:r>
        <w:rPr>
          <w:rFonts w:ascii="Calibri" w:hAnsi="Calibri" w:cs="Calibri"/>
          <w:lang w:val="en-US"/>
        </w:rPr>
        <w:t>Royal Melbourne Institute of Technology, Melbourne, Victoria, Australia</w:t>
      </w:r>
    </w:p>
    <w:p w:rsidR="0033736F" w:rsidP="60517DD7" w:rsidRDefault="0033736F" w14:paraId="1CFB58C1" w14:textId="77777777">
      <w:pPr>
        <w:spacing w:line="480" w:lineRule="auto"/>
        <w:jc w:val="center"/>
        <w:rPr>
          <w:rFonts w:ascii="Calibri" w:hAnsi="Calibri" w:eastAsia="Calibri" w:cs="Calibri"/>
          <w:color w:val="000000" w:themeColor="text1"/>
        </w:rPr>
      </w:pPr>
    </w:p>
    <w:p w:rsidR="00987E1E" w:rsidP="60517DD7" w:rsidRDefault="31903CAF" w14:paraId="07725989" w14:textId="4B2D1E97">
      <w:pPr>
        <w:spacing w:line="480" w:lineRule="auto"/>
        <w:jc w:val="center"/>
        <w:rPr>
          <w:rFonts w:ascii="Calibri" w:hAnsi="Calibri" w:eastAsia="Calibri" w:cs="Calibri"/>
          <w:color w:val="000000" w:themeColor="text1"/>
        </w:rPr>
      </w:pPr>
      <w:r>
        <w:rPr>
          <w:noProof/>
        </w:rPr>
        <w:drawing>
          <wp:inline distT="0" distB="0" distL="0" distR="0" wp14:anchorId="1FE681B0" wp14:editId="745F088E">
            <wp:extent cx="5810250" cy="8229600"/>
            <wp:effectExtent l="0" t="0" r="0" b="0"/>
            <wp:docPr id="9359547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54795" name="Picture 935954795"/>
                    <pic:cNvPicPr/>
                  </pic:nvPicPr>
                  <pic:blipFill>
                    <a:blip r:embed="rId8">
                      <a:extLst>
                        <a:ext uri="{28A0092B-C50C-407E-A947-70E740481C1C}">
                          <a14:useLocalDpi xmlns:a14="http://schemas.microsoft.com/office/drawing/2010/main"/>
                        </a:ext>
                      </a:extLst>
                    </a:blip>
                    <a:stretch>
                      <a:fillRect/>
                    </a:stretch>
                  </pic:blipFill>
                  <pic:spPr>
                    <a:xfrm>
                      <a:off x="0" y="0"/>
                      <a:ext cx="5810250" cy="8229600"/>
                    </a:xfrm>
                    <a:prstGeom prst="rect">
                      <a:avLst/>
                    </a:prstGeom>
                  </pic:spPr>
                </pic:pic>
              </a:graphicData>
            </a:graphic>
          </wp:inline>
        </w:drawing>
      </w:r>
    </w:p>
    <w:p w:rsidR="00987E1E" w:rsidP="799A1817" w:rsidRDefault="56761E2F" w14:paraId="0AA8F733" w14:textId="78F167F1">
      <w:pPr>
        <w:spacing w:line="360" w:lineRule="auto"/>
        <w:rPr>
          <w:rFonts w:ascii="Calibri" w:hAnsi="Calibri" w:eastAsia="Calibri" w:cs="Calibri"/>
          <w:color w:val="000000" w:themeColor="text1"/>
        </w:rPr>
      </w:pPr>
      <w:r w:rsidRPr="77B245A3" w:rsidR="3D9FC5C5">
        <w:rPr>
          <w:rFonts w:ascii="Calibri" w:hAnsi="Calibri" w:eastAsia="Calibri" w:cs="Calibri"/>
          <w:b w:val="1"/>
          <w:bCs w:val="1"/>
          <w:i w:val="1"/>
          <w:iCs w:val="1"/>
          <w:color w:val="000000" w:themeColor="text1" w:themeTint="FF" w:themeShade="FF"/>
          <w:lang w:val="en-SG"/>
        </w:rPr>
        <w:t xml:space="preserve">Supplementary </w:t>
      </w:r>
      <w:r w:rsidRPr="77B245A3" w:rsidR="56761E2F">
        <w:rPr>
          <w:rFonts w:ascii="Calibri" w:hAnsi="Calibri" w:eastAsia="Calibri" w:cs="Calibri"/>
          <w:b w:val="1"/>
          <w:bCs w:val="1"/>
          <w:i w:val="1"/>
          <w:iCs w:val="1"/>
          <w:color w:val="000000" w:themeColor="text1" w:themeTint="FF" w:themeShade="FF"/>
          <w:lang w:val="en-SG"/>
        </w:rPr>
        <w:t xml:space="preserve">Figure 1| Global distribution of blue carbon inclusion based on NIRs and NDCs between Annex I and </w:t>
      </w:r>
      <w:r w:rsidRPr="77B245A3" w:rsidR="56761E2F">
        <w:rPr>
          <w:rFonts w:ascii="Calibri" w:hAnsi="Calibri" w:eastAsia="Calibri" w:cs="Calibri"/>
          <w:b w:val="1"/>
          <w:bCs w:val="1"/>
          <w:i w:val="1"/>
          <w:iCs w:val="1"/>
          <w:color w:val="000000" w:themeColor="text1" w:themeTint="FF" w:themeShade="FF"/>
          <w:lang w:val="en-SG"/>
        </w:rPr>
        <w:t>Non-Annex</w:t>
      </w:r>
      <w:r w:rsidRPr="77B245A3" w:rsidR="56761E2F">
        <w:rPr>
          <w:rFonts w:ascii="Calibri" w:hAnsi="Calibri" w:eastAsia="Calibri" w:cs="Calibri"/>
          <w:b w:val="1"/>
          <w:bCs w:val="1"/>
          <w:i w:val="1"/>
          <w:iCs w:val="1"/>
          <w:color w:val="000000" w:themeColor="text1" w:themeTint="FF" w:themeShade="FF"/>
          <w:lang w:val="en-SG"/>
        </w:rPr>
        <w:t xml:space="preserve"> I countries since 2015</w:t>
      </w:r>
      <w:r w:rsidRPr="77B245A3" w:rsidR="56761E2F">
        <w:rPr>
          <w:rFonts w:ascii="Calibri" w:hAnsi="Calibri" w:eastAsia="Calibri" w:cs="Calibri"/>
          <w:i w:val="1"/>
          <w:iCs w:val="1"/>
          <w:color w:val="000000" w:themeColor="text1" w:themeTint="FF" w:themeShade="FF"/>
          <w:lang w:val="en-SG"/>
        </w:rPr>
        <w:t xml:space="preserve">. A. Spatial distribution of countries where blue carbon ecosystems are accounted as a part of their NIRs, or included as mitigation targets in NDCs, or both. The map shows a total inclusion in </w:t>
      </w:r>
      <w:r w:rsidRPr="77B245A3" w:rsidR="56761E2F">
        <w:rPr>
          <w:rFonts w:ascii="Calibri" w:hAnsi="Calibri" w:eastAsia="Calibri" w:cs="Calibri"/>
          <w:i w:val="1"/>
          <w:iCs w:val="1"/>
          <w:color w:val="000000" w:themeColor="text1" w:themeTint="FF" w:themeShade="FF"/>
          <w:lang w:val="en-SG"/>
        </w:rPr>
        <w:t>either reports</w:t>
      </w:r>
      <w:r w:rsidRPr="77B245A3" w:rsidR="56761E2F">
        <w:rPr>
          <w:rFonts w:ascii="Calibri" w:hAnsi="Calibri" w:eastAsia="Calibri" w:cs="Calibri"/>
          <w:i w:val="1"/>
          <w:iCs w:val="1"/>
          <w:color w:val="000000" w:themeColor="text1" w:themeTint="FF" w:themeShade="FF"/>
          <w:lang w:val="en-SG"/>
        </w:rPr>
        <w:t xml:space="preserve"> between 2015 and 2025 through multiple NIR and NDC submissions. B. Count of blue carbon ecosystems per NIR tier. The tier system progresses from Tier 1 inclusion, which utilises IPCC default values, to Tier 3, employing country-specific data. The Tier 1-2 </w:t>
      </w:r>
      <w:r w:rsidRPr="77B245A3" w:rsidR="56761E2F">
        <w:rPr>
          <w:rFonts w:ascii="Calibri" w:hAnsi="Calibri" w:eastAsia="Calibri" w:cs="Calibri"/>
          <w:i w:val="1"/>
          <w:iCs w:val="1"/>
          <w:color w:val="000000" w:themeColor="text1" w:themeTint="FF" w:themeShade="FF"/>
          <w:lang w:val="en-SG"/>
        </w:rPr>
        <w:t>methodology</w:t>
      </w:r>
      <w:r w:rsidRPr="77B245A3" w:rsidR="56761E2F">
        <w:rPr>
          <w:rFonts w:ascii="Calibri" w:hAnsi="Calibri" w:eastAsia="Calibri" w:cs="Calibri"/>
          <w:i w:val="1"/>
          <w:iCs w:val="1"/>
          <w:color w:val="000000" w:themeColor="text1" w:themeTint="FF" w:themeShade="FF"/>
          <w:lang w:val="en-SG"/>
        </w:rPr>
        <w:t xml:space="preserve"> utilises country-specific and some default values. Tier 2 employs country-specific measurements (but no modelling), and Tier 2-3 incorporates some country-specific values with basic spatial models. C. Frequency distribution of inclusion of blue carbon ecosystems as mitigation targets in NDCs between 2015-2025 through INDC and NDC 1.0 – NDC 3.0 submissions.</w:t>
      </w:r>
    </w:p>
    <w:p w:rsidR="00987E1E" w:rsidP="799A1817" w:rsidRDefault="4446BEF1" w14:paraId="78E5E731" w14:textId="4F0B4399">
      <w:pPr>
        <w:spacing w:line="480" w:lineRule="auto"/>
        <w:rPr>
          <w:rFonts w:ascii="Calibri" w:hAnsi="Calibri" w:eastAsia="Calibri" w:cs="Calibri"/>
          <w:color w:val="000000" w:themeColor="text1"/>
        </w:rPr>
      </w:pPr>
      <w:r>
        <w:rPr>
          <w:noProof/>
        </w:rPr>
        <w:drawing>
          <wp:inline distT="0" distB="0" distL="0" distR="0" wp14:anchorId="34925DF5" wp14:editId="0A1D795C">
            <wp:extent cx="5943600" cy="2876550"/>
            <wp:effectExtent l="0" t="0" r="0" b="0"/>
            <wp:docPr id="2139454849" name="drawing" title="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54849" name="Picture 2139454849"/>
                    <pic:cNvPicPr/>
                  </pic:nvPicPr>
                  <pic:blipFill>
                    <a:blip r:embed="rId9">
                      <a:extLst>
                        <a:ext uri="{28A0092B-C50C-407E-A947-70E740481C1C}">
                          <a14:useLocalDpi xmlns:a14="http://schemas.microsoft.com/office/drawing/2010/main"/>
                        </a:ext>
                      </a:extLst>
                    </a:blip>
                    <a:stretch>
                      <a:fillRect/>
                    </a:stretch>
                  </pic:blipFill>
                  <pic:spPr>
                    <a:xfrm>
                      <a:off x="0" y="0"/>
                      <a:ext cx="5943600" cy="2876550"/>
                    </a:xfrm>
                    <a:prstGeom prst="rect">
                      <a:avLst/>
                    </a:prstGeom>
                  </pic:spPr>
                </pic:pic>
              </a:graphicData>
            </a:graphic>
          </wp:inline>
        </w:drawing>
      </w:r>
    </w:p>
    <w:p w:rsidR="00987E1E" w:rsidP="799A1817" w:rsidRDefault="23086A4E" w14:paraId="4AF96A72" w14:textId="718F8790">
      <w:pPr>
        <w:spacing w:line="480" w:lineRule="auto"/>
        <w:rPr>
          <w:rFonts w:ascii="Calibri" w:hAnsi="Calibri" w:eastAsia="Calibri" w:cs="Calibri"/>
          <w:i/>
          <w:iCs/>
          <w:lang w:val="en-SG"/>
        </w:rPr>
      </w:pPr>
      <w:r w:rsidRPr="799A1817">
        <w:rPr>
          <w:rFonts w:ascii="Calibri" w:hAnsi="Calibri" w:eastAsia="Calibri" w:cs="Calibri"/>
          <w:b/>
          <w:bCs/>
          <w:i/>
          <w:iCs/>
          <w:lang w:val="en-SG"/>
        </w:rPr>
        <w:t xml:space="preserve">Supplementary Figure </w:t>
      </w:r>
      <w:r w:rsidRPr="799A1817" w:rsidR="4711C5F6">
        <w:rPr>
          <w:rFonts w:ascii="Calibri" w:hAnsi="Calibri" w:eastAsia="Calibri" w:cs="Calibri"/>
          <w:b/>
          <w:bCs/>
          <w:i/>
          <w:iCs/>
          <w:lang w:val="en-SG"/>
        </w:rPr>
        <w:t>2</w:t>
      </w:r>
      <w:r w:rsidRPr="799A1817">
        <w:rPr>
          <w:rFonts w:ascii="Calibri" w:hAnsi="Calibri" w:eastAsia="Calibri" w:cs="Calibri"/>
          <w:b/>
          <w:bCs/>
          <w:i/>
          <w:iCs/>
          <w:lang w:val="en-SG"/>
        </w:rPr>
        <w:t xml:space="preserve"> | Regional distribution of Blue Carbon themes in Nationally Determined Contributions (NDCs) by target type between 2015 and 2025. Stacked bars </w:t>
      </w:r>
      <w:r w:rsidRPr="799A1817">
        <w:rPr>
          <w:rFonts w:ascii="Calibri" w:hAnsi="Calibri" w:eastAsia="Calibri" w:cs="Calibri"/>
          <w:i/>
          <w:iCs/>
          <w:lang w:val="en-SG"/>
        </w:rPr>
        <w:t>represent the frequency of specific blue carbon themes across geographic regions, categorized by unconditional and quantitative target status.</w:t>
      </w:r>
    </w:p>
    <w:p w:rsidR="00987E1E" w:rsidP="799A1817" w:rsidRDefault="00987E1E" w14:paraId="4AD883AE" w14:textId="5751066B">
      <w:pPr>
        <w:spacing w:line="360" w:lineRule="auto"/>
        <w:rPr>
          <w:rFonts w:ascii="Calibri" w:hAnsi="Calibri" w:eastAsia="Calibri" w:cs="Calibri"/>
          <w:i/>
          <w:iCs/>
          <w:color w:val="000000" w:themeColor="text1"/>
        </w:rPr>
      </w:pPr>
    </w:p>
    <w:p w:rsidR="00987E1E" w:rsidP="799A1817" w:rsidRDefault="42E0AFF5" w14:paraId="2C078E63" w14:textId="7B9D12F9">
      <w:r>
        <w:rPr>
          <w:noProof/>
        </w:rPr>
        <w:lastRenderedPageBreak/>
        <w:drawing>
          <wp:inline distT="0" distB="0" distL="0" distR="0" wp14:anchorId="22F9010C" wp14:editId="42A74068">
            <wp:extent cx="5734050" cy="2457450"/>
            <wp:effectExtent l="0" t="0" r="0" b="0"/>
            <wp:docPr id="42677019" name="drawing" title="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019" name="Picture 42677019"/>
                    <pic:cNvPicPr/>
                  </pic:nvPicPr>
                  <pic:blipFill>
                    <a:blip r:embed="rId10">
                      <a:extLst>
                        <a:ext uri="{28A0092B-C50C-407E-A947-70E740481C1C}">
                          <a14:useLocalDpi xmlns:a14="http://schemas.microsoft.com/office/drawing/2010/main"/>
                        </a:ext>
                      </a:extLst>
                    </a:blip>
                    <a:stretch>
                      <a:fillRect/>
                    </a:stretch>
                  </pic:blipFill>
                  <pic:spPr>
                    <a:xfrm>
                      <a:off x="0" y="0"/>
                      <a:ext cx="5734050" cy="2457450"/>
                    </a:xfrm>
                    <a:prstGeom prst="rect">
                      <a:avLst/>
                    </a:prstGeom>
                  </pic:spPr>
                </pic:pic>
              </a:graphicData>
            </a:graphic>
          </wp:inline>
        </w:drawing>
      </w:r>
    </w:p>
    <w:p w:rsidR="42E0AFF5" w:rsidP="77B245A3" w:rsidRDefault="42E0AFF5" w14:paraId="46E89AE5" w14:textId="4900D5C9">
      <w:pPr>
        <w:spacing w:line="360" w:lineRule="auto"/>
        <w:rPr>
          <w:rFonts w:ascii="Calibri" w:hAnsi="Calibri" w:eastAsia="Calibri" w:cs="Calibri"/>
          <w:i w:val="1"/>
          <w:iCs w:val="1"/>
          <w:color w:val="000000" w:themeColor="text1"/>
          <w:lang w:val="en-SG"/>
        </w:rPr>
      </w:pPr>
      <w:r w:rsidRPr="77B245A3" w:rsidR="2726386C">
        <w:rPr>
          <w:rFonts w:ascii="Calibri" w:hAnsi="Calibri" w:eastAsia="Calibri" w:cs="Calibri"/>
          <w:b w:val="1"/>
          <w:bCs w:val="1"/>
          <w:i w:val="1"/>
          <w:iCs w:val="1"/>
          <w:color w:val="000000" w:themeColor="text1" w:themeTint="FF" w:themeShade="FF"/>
          <w:lang w:val="en-SG"/>
        </w:rPr>
        <w:t xml:space="preserve">Supplementary </w:t>
      </w:r>
      <w:r w:rsidRPr="77B245A3" w:rsidR="42E0AFF5">
        <w:rPr>
          <w:rFonts w:ascii="Calibri" w:hAnsi="Calibri" w:eastAsia="Calibri" w:cs="Calibri"/>
          <w:b w:val="1"/>
          <w:bCs w:val="1"/>
          <w:i w:val="1"/>
          <w:iCs w:val="1"/>
          <w:color w:val="000000" w:themeColor="text1" w:themeTint="FF" w:themeShade="FF"/>
          <w:lang w:val="en-SG"/>
        </w:rPr>
        <w:t>Figure 3 | Integration of coastal blue carbon ecosystems into national climate mitigation targets (2015–2025).</w:t>
      </w:r>
      <w:r w:rsidRPr="77B245A3" w:rsidR="42E0AFF5">
        <w:rPr>
          <w:rFonts w:ascii="Calibri" w:hAnsi="Calibri" w:eastAsia="Calibri" w:cs="Calibri"/>
          <w:i w:val="1"/>
          <w:iCs w:val="1"/>
          <w:color w:val="000000" w:themeColor="text1" w:themeTint="FF" w:themeShade="FF"/>
          <w:lang w:val="en-SG"/>
        </w:rPr>
        <w:t xml:space="preserve"> Sankey diagram illustrating the thematic flow from geopolitical groupings and geographic regions to all coastal ecosystems and their respective mitigation-oriented policy themes, as extracted from NDC reports </w:t>
      </w:r>
      <w:r w:rsidRPr="77B245A3" w:rsidR="42E0AFF5">
        <w:rPr>
          <w:rFonts w:ascii="Calibri" w:hAnsi="Calibri" w:eastAsia="Calibri" w:cs="Calibri"/>
          <w:i w:val="1"/>
          <w:iCs w:val="1"/>
          <w:color w:val="000000" w:themeColor="text1" w:themeTint="FF" w:themeShade="FF"/>
          <w:lang w:val="en-SG"/>
        </w:rPr>
        <w:t>submitted</w:t>
      </w:r>
      <w:r w:rsidRPr="77B245A3" w:rsidR="42E0AFF5">
        <w:rPr>
          <w:rFonts w:ascii="Calibri" w:hAnsi="Calibri" w:eastAsia="Calibri" w:cs="Calibri"/>
          <w:i w:val="1"/>
          <w:iCs w:val="1"/>
          <w:color w:val="000000" w:themeColor="text1" w:themeTint="FF" w:themeShade="FF"/>
          <w:lang w:val="en-SG"/>
        </w:rPr>
        <w:t xml:space="preserve"> between 2015 and 2025. Node widths are proportional to the frequency of countries under those mitigation targets. The visualisation reveals a predominant focus on mangrove ecosystems within </w:t>
      </w:r>
      <w:r w:rsidRPr="77B245A3" w:rsidR="42E0AFF5">
        <w:rPr>
          <w:rFonts w:ascii="Calibri" w:hAnsi="Calibri" w:eastAsia="Calibri" w:cs="Calibri"/>
          <w:i w:val="1"/>
          <w:iCs w:val="1"/>
          <w:color w:val="000000" w:themeColor="text1" w:themeTint="FF" w:themeShade="FF"/>
          <w:lang w:val="en-SG"/>
        </w:rPr>
        <w:t>Non-Annex</w:t>
      </w:r>
      <w:r w:rsidRPr="77B245A3" w:rsidR="42E0AFF5">
        <w:rPr>
          <w:rFonts w:ascii="Calibri" w:hAnsi="Calibri" w:eastAsia="Calibri" w:cs="Calibri"/>
          <w:i w:val="1"/>
          <w:iCs w:val="1"/>
          <w:color w:val="000000" w:themeColor="text1" w:themeTint="FF" w:themeShade="FF"/>
          <w:lang w:val="en-SG"/>
        </w:rPr>
        <w:t xml:space="preserve"> I regions, with 'Management' and 'Carbon Sequestration' </w:t>
      </w:r>
      <w:r w:rsidRPr="77B245A3" w:rsidR="42E0AFF5">
        <w:rPr>
          <w:rFonts w:ascii="Calibri" w:hAnsi="Calibri" w:eastAsia="Calibri" w:cs="Calibri"/>
          <w:i w:val="1"/>
          <w:iCs w:val="1"/>
          <w:color w:val="000000" w:themeColor="text1" w:themeTint="FF" w:themeShade="FF"/>
          <w:lang w:val="en-SG"/>
        </w:rPr>
        <w:t>emerging</w:t>
      </w:r>
      <w:r w:rsidRPr="77B245A3" w:rsidR="42E0AFF5">
        <w:rPr>
          <w:rFonts w:ascii="Calibri" w:hAnsi="Calibri" w:eastAsia="Calibri" w:cs="Calibri"/>
          <w:i w:val="1"/>
          <w:iCs w:val="1"/>
          <w:color w:val="000000" w:themeColor="text1" w:themeTint="FF" w:themeShade="FF"/>
          <w:lang w:val="en-SG"/>
        </w:rPr>
        <w:t xml:space="preserve"> as the primary thematic drivers for emission reduction commitments. Conversely, seagrass and tidal marsh ecosystems </w:t>
      </w:r>
      <w:r w:rsidRPr="77B245A3" w:rsidR="42E0AFF5">
        <w:rPr>
          <w:rFonts w:ascii="Calibri" w:hAnsi="Calibri" w:eastAsia="Calibri" w:cs="Calibri"/>
          <w:i w:val="1"/>
          <w:iCs w:val="1"/>
          <w:color w:val="000000" w:themeColor="text1" w:themeTint="FF" w:themeShade="FF"/>
          <w:lang w:val="en-SG"/>
        </w:rPr>
        <w:t>exhibit</w:t>
      </w:r>
      <w:r w:rsidRPr="77B245A3" w:rsidR="42E0AFF5">
        <w:rPr>
          <w:rFonts w:ascii="Calibri" w:hAnsi="Calibri" w:eastAsia="Calibri" w:cs="Calibri"/>
          <w:i w:val="1"/>
          <w:iCs w:val="1"/>
          <w:color w:val="000000" w:themeColor="text1" w:themeTint="FF" w:themeShade="FF"/>
          <w:lang w:val="en-SG"/>
        </w:rPr>
        <w:t xml:space="preserve"> lower levels of integration into formal mitigation pathways. </w:t>
      </w:r>
    </w:p>
    <w:p w:rsidR="799A1817" w:rsidP="799A1817" w:rsidRDefault="799A1817" w14:paraId="35899BD6" w14:textId="70E0FC8E"/>
    <w:p w:rsidR="444081B3" w:rsidP="799A1817" w:rsidRDefault="444081B3" w14:paraId="4D0767A3" w14:textId="7955D999">
      <w:r>
        <w:rPr>
          <w:noProof/>
        </w:rPr>
        <w:lastRenderedPageBreak/>
        <w:drawing>
          <wp:inline distT="0" distB="0" distL="0" distR="0" wp14:anchorId="3DDE9F64" wp14:editId="4779C4AD">
            <wp:extent cx="5810250" cy="5181603"/>
            <wp:effectExtent l="0" t="0" r="0" b="0"/>
            <wp:docPr id="1312880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80536" name="Picture 1312880536"/>
                    <pic:cNvPicPr/>
                  </pic:nvPicPr>
                  <pic:blipFill>
                    <a:blip r:embed="rId11">
                      <a:extLst>
                        <a:ext uri="{28A0092B-C50C-407E-A947-70E740481C1C}">
                          <a14:useLocalDpi xmlns:a14="http://schemas.microsoft.com/office/drawing/2010/main"/>
                        </a:ext>
                      </a:extLst>
                    </a:blip>
                    <a:srcRect b="37037"/>
                    <a:stretch>
                      <a:fillRect/>
                    </a:stretch>
                  </pic:blipFill>
                  <pic:spPr>
                    <a:xfrm>
                      <a:off x="0" y="0"/>
                      <a:ext cx="5810250" cy="5181603"/>
                    </a:xfrm>
                    <a:prstGeom prst="rect">
                      <a:avLst/>
                    </a:prstGeom>
                  </pic:spPr>
                </pic:pic>
              </a:graphicData>
            </a:graphic>
          </wp:inline>
        </w:drawing>
      </w:r>
    </w:p>
    <w:p w:rsidR="444081B3" w:rsidP="799A1817" w:rsidRDefault="444081B3" w14:paraId="593901CD" w14:textId="06A518E1">
      <w:pPr>
        <w:rPr>
          <w:rFonts w:ascii="Aptos" w:hAnsi="Aptos" w:eastAsia="Aptos" w:cs="Aptos"/>
        </w:rPr>
      </w:pPr>
      <w:r w:rsidRPr="77B245A3" w:rsidR="369D5F11">
        <w:rPr>
          <w:rFonts w:ascii="Calibri" w:hAnsi="Calibri" w:eastAsia="Calibri" w:cs="Calibri"/>
          <w:b w:val="1"/>
          <w:bCs w:val="1"/>
          <w:i w:val="1"/>
          <w:iCs w:val="1"/>
          <w:color w:val="000000" w:themeColor="text1" w:themeTint="FF" w:themeShade="FF"/>
          <w:lang w:val="en-SG"/>
        </w:rPr>
        <w:t xml:space="preserve">Supplementary </w:t>
      </w:r>
      <w:r w:rsidRPr="77B245A3" w:rsidR="444081B3">
        <w:rPr>
          <w:rFonts w:ascii="Calibri" w:hAnsi="Calibri" w:eastAsia="Calibri" w:cs="Calibri"/>
          <w:b w:val="1"/>
          <w:bCs w:val="1"/>
          <w:i w:val="1"/>
          <w:iCs w:val="1"/>
          <w:color w:val="000000" w:themeColor="text1" w:themeTint="FF" w:themeShade="FF"/>
          <w:lang w:val="en-SG"/>
        </w:rPr>
        <w:t xml:space="preserve">Figure 4 | Drivers of inclusion of blue carbon-based mitigation action in NDCs. </w:t>
      </w:r>
      <w:r w:rsidRPr="77B245A3" w:rsidR="444081B3">
        <w:rPr>
          <w:rFonts w:ascii="Calibri" w:hAnsi="Calibri" w:eastAsia="Calibri" w:cs="Calibri"/>
          <w:i w:val="1"/>
          <w:iCs w:val="1"/>
          <w:color w:val="000000" w:themeColor="text1" w:themeTint="FF" w:themeShade="FF"/>
          <w:lang w:val="en-SG"/>
        </w:rPr>
        <w:t xml:space="preserve">Multi-panel display of ecological drivers influencing the inclusion of blue carbon ecosystems in national climate policies. </w:t>
      </w:r>
      <w:r w:rsidRPr="77B245A3" w:rsidR="444081B3">
        <w:rPr>
          <w:rFonts w:ascii="Calibri" w:hAnsi="Calibri" w:eastAsia="Calibri" w:cs="Calibri"/>
          <w:b w:val="1"/>
          <w:bCs w:val="1"/>
          <w:i w:val="1"/>
          <w:iCs w:val="1"/>
          <w:color w:val="000000" w:themeColor="text1" w:themeTint="FF" w:themeShade="FF"/>
          <w:lang w:val="en-SG"/>
        </w:rPr>
        <w:t>(A)</w:t>
      </w:r>
      <w:r w:rsidRPr="77B245A3" w:rsidR="444081B3">
        <w:rPr>
          <w:rFonts w:ascii="Calibri" w:hAnsi="Calibri" w:eastAsia="Calibri" w:cs="Calibri"/>
          <w:i w:val="1"/>
          <w:iCs w:val="1"/>
          <w:color w:val="000000" w:themeColor="text1" w:themeTint="FF" w:themeShade="FF"/>
          <w:lang w:val="en-SG"/>
        </w:rPr>
        <w:t xml:space="preserve"> Forest plot showing the odds ratios (OR) for metrics that significantly influence specific policy categories (A: General, AR: Adaptation/Resilience, I: Implementation, R: Restoration). Error bars </w:t>
      </w:r>
      <w:r w:rsidRPr="77B245A3" w:rsidR="444081B3">
        <w:rPr>
          <w:rFonts w:ascii="Calibri" w:hAnsi="Calibri" w:eastAsia="Calibri" w:cs="Calibri"/>
          <w:i w:val="1"/>
          <w:iCs w:val="1"/>
          <w:color w:val="000000" w:themeColor="text1" w:themeTint="FF" w:themeShade="FF"/>
          <w:lang w:val="en-SG"/>
        </w:rPr>
        <w:t>represent</w:t>
      </w:r>
      <w:r w:rsidRPr="77B245A3" w:rsidR="444081B3">
        <w:rPr>
          <w:rFonts w:ascii="Calibri" w:hAnsi="Calibri" w:eastAsia="Calibri" w:cs="Calibri"/>
          <w:i w:val="1"/>
          <w:iCs w:val="1"/>
          <w:color w:val="000000" w:themeColor="text1" w:themeTint="FF" w:themeShade="FF"/>
          <w:lang w:val="en-SG"/>
        </w:rPr>
        <w:t xml:space="preserve"> 95% confidence intervals; points to the right of the dashed line (OR &gt; 1) </w:t>
      </w:r>
      <w:r w:rsidRPr="77B245A3" w:rsidR="444081B3">
        <w:rPr>
          <w:rFonts w:ascii="Calibri" w:hAnsi="Calibri" w:eastAsia="Calibri" w:cs="Calibri"/>
          <w:i w:val="1"/>
          <w:iCs w:val="1"/>
          <w:color w:val="000000" w:themeColor="text1" w:themeTint="FF" w:themeShade="FF"/>
          <w:lang w:val="en-SG"/>
        </w:rPr>
        <w:t>indicate</w:t>
      </w:r>
      <w:r w:rsidRPr="77B245A3" w:rsidR="444081B3">
        <w:rPr>
          <w:rFonts w:ascii="Calibri" w:hAnsi="Calibri" w:eastAsia="Calibri" w:cs="Calibri"/>
          <w:i w:val="1"/>
          <w:iCs w:val="1"/>
          <w:color w:val="000000" w:themeColor="text1" w:themeTint="FF" w:themeShade="FF"/>
          <w:lang w:val="en-SG"/>
        </w:rPr>
        <w:t xml:space="preserve"> positive associations, while points to the left (OR &lt; 1) </w:t>
      </w:r>
      <w:r w:rsidRPr="77B245A3" w:rsidR="444081B3">
        <w:rPr>
          <w:rFonts w:ascii="Calibri" w:hAnsi="Calibri" w:eastAsia="Calibri" w:cs="Calibri"/>
          <w:i w:val="1"/>
          <w:iCs w:val="1"/>
          <w:color w:val="000000" w:themeColor="text1" w:themeTint="FF" w:themeShade="FF"/>
          <w:lang w:val="en-SG"/>
        </w:rPr>
        <w:t>indicate</w:t>
      </w:r>
      <w:r w:rsidRPr="77B245A3" w:rsidR="444081B3">
        <w:rPr>
          <w:rFonts w:ascii="Calibri" w:hAnsi="Calibri" w:eastAsia="Calibri" w:cs="Calibri"/>
          <w:i w:val="1"/>
          <w:iCs w:val="1"/>
          <w:color w:val="000000" w:themeColor="text1" w:themeTint="FF" w:themeShade="FF"/>
          <w:lang w:val="en-SG"/>
        </w:rPr>
        <w:t xml:space="preserve"> negative associations. </w:t>
      </w:r>
      <w:r w:rsidRPr="77B245A3" w:rsidR="444081B3">
        <w:rPr>
          <w:rFonts w:ascii="Calibri" w:hAnsi="Calibri" w:eastAsia="Calibri" w:cs="Calibri"/>
          <w:b w:val="1"/>
          <w:bCs w:val="1"/>
          <w:i w:val="1"/>
          <w:iCs w:val="1"/>
          <w:color w:val="000000" w:themeColor="text1" w:themeTint="FF" w:themeShade="FF"/>
          <w:lang w:val="en-SG"/>
        </w:rPr>
        <w:t>(B)</w:t>
      </w:r>
      <w:r w:rsidRPr="77B245A3" w:rsidR="444081B3">
        <w:rPr>
          <w:rFonts w:ascii="Calibri" w:hAnsi="Calibri" w:eastAsia="Calibri" w:cs="Calibri"/>
          <w:i w:val="1"/>
          <w:iCs w:val="1"/>
          <w:color w:val="000000" w:themeColor="text1" w:themeTint="FF" w:themeShade="FF"/>
          <w:lang w:val="en-SG"/>
        </w:rPr>
        <w:t xml:space="preserve"> Sankey diagram visualising the flow of influence from ecological metrics (right) to specific policy outcomes (left). Ribbon thickness </w:t>
      </w:r>
      <w:r w:rsidRPr="77B245A3" w:rsidR="444081B3">
        <w:rPr>
          <w:rFonts w:ascii="Calibri" w:hAnsi="Calibri" w:eastAsia="Calibri" w:cs="Calibri"/>
          <w:i w:val="1"/>
          <w:iCs w:val="1"/>
          <w:color w:val="000000" w:themeColor="text1" w:themeTint="FF" w:themeShade="FF"/>
          <w:lang w:val="en-SG"/>
        </w:rPr>
        <w:t>represents</w:t>
      </w:r>
      <w:r w:rsidRPr="77B245A3" w:rsidR="444081B3">
        <w:rPr>
          <w:rFonts w:ascii="Calibri" w:hAnsi="Calibri" w:eastAsia="Calibri" w:cs="Calibri"/>
          <w:i w:val="1"/>
          <w:iCs w:val="1"/>
          <w:color w:val="000000" w:themeColor="text1" w:themeTint="FF" w:themeShade="FF"/>
          <w:lang w:val="en-SG"/>
        </w:rPr>
        <w:t xml:space="preserve"> the </w:t>
      </w:r>
      <w:r w:rsidRPr="77B245A3" w:rsidR="444081B3">
        <w:rPr>
          <w:rFonts w:ascii="Calibri" w:hAnsi="Calibri" w:eastAsia="Calibri" w:cs="Calibri"/>
          <w:i w:val="1"/>
          <w:iCs w:val="1"/>
          <w:color w:val="000000" w:themeColor="text1" w:themeTint="FF" w:themeShade="FF"/>
          <w:lang w:val="en-SG"/>
        </w:rPr>
        <w:t>magnitude</w:t>
      </w:r>
      <w:r w:rsidRPr="77B245A3" w:rsidR="444081B3">
        <w:rPr>
          <w:rFonts w:ascii="Calibri" w:hAnsi="Calibri" w:eastAsia="Calibri" w:cs="Calibri"/>
          <w:i w:val="1"/>
          <w:iCs w:val="1"/>
          <w:color w:val="000000" w:themeColor="text1" w:themeTint="FF" w:themeShade="FF"/>
          <w:lang w:val="en-SG"/>
        </w:rPr>
        <w:t xml:space="preserve"> of the effect</w:t>
      </w:r>
      <w:r w:rsidRPr="77B245A3" w:rsidR="444081B3">
        <w:rPr>
          <w:rFonts w:ascii="Calibri" w:hAnsi="Calibri" w:eastAsia="Calibri" w:cs="Calibri"/>
          <w:i w:val="1"/>
          <w:iCs w:val="1"/>
          <w:color w:val="000000" w:themeColor="text1" w:themeTint="FF" w:themeShade="FF"/>
          <w:lang w:val="en-SG"/>
        </w:rPr>
        <w:t xml:space="preserve">.  </w:t>
      </w:r>
      <w:r w:rsidRPr="77B245A3" w:rsidR="444081B3">
        <w:rPr>
          <w:rFonts w:ascii="Calibri" w:hAnsi="Calibri" w:eastAsia="Calibri" w:cs="Calibri"/>
          <w:b w:val="1"/>
          <w:bCs w:val="1"/>
          <w:i w:val="1"/>
          <w:iCs w:val="1"/>
          <w:color w:val="000000" w:themeColor="text1" w:themeTint="FF" w:themeShade="FF"/>
          <w:lang w:val="en-SG"/>
        </w:rPr>
        <w:t xml:space="preserve">(C) </w:t>
      </w:r>
      <w:r w:rsidRPr="77B245A3" w:rsidR="444081B3">
        <w:rPr>
          <w:rFonts w:ascii="Calibri" w:hAnsi="Calibri" w:eastAsia="Calibri" w:cs="Calibri"/>
          <w:i w:val="1"/>
          <w:iCs w:val="1"/>
          <w:color w:val="000000" w:themeColor="text1" w:themeTint="FF" w:themeShade="FF"/>
          <w:lang w:val="en-SG"/>
        </w:rPr>
        <w:t xml:space="preserve">Heatmap summarising the influence of all metrics across the four studied ecosystems (M: Mangrove, S: Seagrass, TF: Tidal Flat, TM: Tidal Marsh). Colours </w:t>
      </w:r>
      <w:r w:rsidRPr="77B245A3" w:rsidR="444081B3">
        <w:rPr>
          <w:rFonts w:ascii="Calibri" w:hAnsi="Calibri" w:eastAsia="Calibri" w:cs="Calibri"/>
          <w:i w:val="1"/>
          <w:iCs w:val="1"/>
          <w:color w:val="000000" w:themeColor="text1" w:themeTint="FF" w:themeShade="FF"/>
          <w:lang w:val="en-SG"/>
        </w:rPr>
        <w:t>represent</w:t>
      </w:r>
      <w:r w:rsidRPr="77B245A3" w:rsidR="444081B3">
        <w:rPr>
          <w:rFonts w:ascii="Calibri" w:hAnsi="Calibri" w:eastAsia="Calibri" w:cs="Calibri"/>
          <w:i w:val="1"/>
          <w:iCs w:val="1"/>
          <w:color w:val="000000" w:themeColor="text1" w:themeTint="FF" w:themeShade="FF"/>
          <w:lang w:val="en-SG"/>
        </w:rPr>
        <w:t xml:space="preserve"> binned OR values, highlighting consistent global patterns such as the negative impact of intertidal loss</w:t>
      </w:r>
    </w:p>
    <w:p w:rsidR="52FEF5BA" w:rsidP="799A1817" w:rsidRDefault="52FEF5BA" w14:paraId="11E28F34" w14:textId="319518A2">
      <w:pPr>
        <w:rPr>
          <w:rFonts w:ascii="Calibri" w:hAnsi="Calibri" w:eastAsia="Calibri" w:cs="Calibri"/>
          <w:b/>
          <w:bCs/>
          <w:color w:val="000000" w:themeColor="text1"/>
          <w:lang w:val="en-SG"/>
        </w:rPr>
      </w:pPr>
      <w:r w:rsidRPr="799A1817">
        <w:rPr>
          <w:rFonts w:ascii="Calibri" w:hAnsi="Calibri" w:eastAsia="Calibri" w:cs="Calibri"/>
          <w:b/>
          <w:bCs/>
          <w:color w:val="000000" w:themeColor="text1"/>
          <w:lang w:val="en-SG"/>
        </w:rPr>
        <w:t xml:space="preserve">Supplementary </w:t>
      </w:r>
      <w:r w:rsidRPr="799A1817" w:rsidR="334AA62A">
        <w:rPr>
          <w:rFonts w:ascii="Calibri" w:hAnsi="Calibri" w:eastAsia="Calibri" w:cs="Calibri"/>
          <w:b/>
          <w:bCs/>
          <w:color w:val="000000" w:themeColor="text1"/>
          <w:lang w:val="en-SG"/>
        </w:rPr>
        <w:t>Table 1: Odds Ratio for Multinomial Logistic Regression</w:t>
      </w:r>
      <w:r w:rsidRPr="799A1817" w:rsidR="7A10E59A">
        <w:rPr>
          <w:rFonts w:ascii="Calibri" w:hAnsi="Calibri" w:eastAsia="Calibri" w:cs="Calibri"/>
          <w:b/>
          <w:bCs/>
          <w:color w:val="000000" w:themeColor="text1"/>
          <w:lang w:val="en-SG"/>
        </w:rPr>
        <w:t xml:space="preserve"> (TM = Tidal Marsh, TF = Tidal Flat)</w:t>
      </w:r>
    </w:p>
    <w:tbl>
      <w:tblPr>
        <w:tblW w:w="0" w:type="auto"/>
        <w:tblLook w:val="06A0" w:firstRow="1" w:lastRow="0" w:firstColumn="1" w:lastColumn="0" w:noHBand="1" w:noVBand="1"/>
      </w:tblPr>
      <w:tblGrid>
        <w:gridCol w:w="1076"/>
        <w:gridCol w:w="1320"/>
        <w:gridCol w:w="1822"/>
        <w:gridCol w:w="1161"/>
        <w:gridCol w:w="815"/>
        <w:gridCol w:w="941"/>
        <w:gridCol w:w="941"/>
        <w:gridCol w:w="1015"/>
      </w:tblGrid>
      <w:tr w:rsidR="799A1817" w:rsidTr="799A1817" w14:paraId="44A50457"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46CDEC5D" w14:textId="3A02782F">
            <w:pPr>
              <w:spacing w:after="0"/>
            </w:pPr>
            <w:r w:rsidRPr="799A1817">
              <w:rPr>
                <w:rFonts w:ascii="Aptos Narrow" w:hAnsi="Aptos Narrow" w:eastAsia="Aptos Narrow" w:cs="Aptos Narrow"/>
                <w:color w:val="000000" w:themeColor="text1"/>
                <w:sz w:val="22"/>
                <w:szCs w:val="22"/>
              </w:rPr>
              <w:lastRenderedPageBreak/>
              <w:t>Ecosystem</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762238F9" w14:textId="50A1881A">
            <w:pPr>
              <w:spacing w:after="0"/>
            </w:pPr>
            <w:r w:rsidRPr="799A1817">
              <w:rPr>
                <w:rFonts w:ascii="Aptos Narrow" w:hAnsi="Aptos Narrow" w:eastAsia="Aptos Narrow" w:cs="Aptos Narrow"/>
                <w:color w:val="000000" w:themeColor="text1"/>
                <w:sz w:val="22"/>
                <w:szCs w:val="22"/>
              </w:rPr>
              <w:t>Policy_Target</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4B4F14DB" w14:textId="588260F3">
            <w:pPr>
              <w:spacing w:after="0"/>
            </w:pPr>
            <w:r w:rsidRPr="799A1817">
              <w:rPr>
                <w:rFonts w:ascii="Aptos Narrow" w:hAnsi="Aptos Narrow" w:eastAsia="Aptos Narrow" w:cs="Aptos Narrow"/>
                <w:color w:val="000000" w:themeColor="text1"/>
                <w:sz w:val="22"/>
                <w:szCs w:val="22"/>
              </w:rPr>
              <w:t>Variable</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CE9CC0C" w14:textId="0707BDEA">
            <w:pPr>
              <w:spacing w:after="0"/>
            </w:pPr>
            <w:r w:rsidRPr="799A1817">
              <w:rPr>
                <w:rFonts w:ascii="Aptos Narrow" w:hAnsi="Aptos Narrow" w:eastAsia="Aptos Narrow" w:cs="Aptos Narrow"/>
                <w:color w:val="000000" w:themeColor="text1"/>
                <w:sz w:val="22"/>
                <w:szCs w:val="22"/>
              </w:rPr>
              <w:t>Odds_Ratio</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1248FB7" w14:textId="24A42750">
            <w:pPr>
              <w:spacing w:after="0"/>
            </w:pPr>
            <w:r w:rsidRPr="799A1817">
              <w:rPr>
                <w:rFonts w:ascii="Aptos Narrow" w:hAnsi="Aptos Narrow" w:eastAsia="Aptos Narrow" w:cs="Aptos Narrow"/>
                <w:color w:val="000000" w:themeColor="text1"/>
                <w:sz w:val="22"/>
                <w:szCs w:val="22"/>
              </w:rPr>
              <w:t>P_Value</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6C01170" w14:textId="5F60BA19">
            <w:pPr>
              <w:spacing w:after="0"/>
            </w:pPr>
            <w:r w:rsidRPr="799A1817">
              <w:rPr>
                <w:rFonts w:ascii="Aptos Narrow" w:hAnsi="Aptos Narrow" w:eastAsia="Aptos Narrow" w:cs="Aptos Narrow"/>
                <w:color w:val="000000" w:themeColor="text1"/>
                <w:sz w:val="22"/>
                <w:szCs w:val="22"/>
              </w:rPr>
              <w:t>Lower_CI</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0A269EE" w14:textId="08E7CFF3">
            <w:pPr>
              <w:spacing w:after="0"/>
            </w:pPr>
            <w:r w:rsidRPr="799A1817">
              <w:rPr>
                <w:rFonts w:ascii="Aptos Narrow" w:hAnsi="Aptos Narrow" w:eastAsia="Aptos Narrow" w:cs="Aptos Narrow"/>
                <w:color w:val="000000" w:themeColor="text1"/>
                <w:sz w:val="22"/>
                <w:szCs w:val="22"/>
              </w:rPr>
              <w:t>Upper_CI</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9BFF965" w14:textId="7758FC18">
            <w:pPr>
              <w:spacing w:after="0"/>
            </w:pPr>
            <w:r w:rsidRPr="799A1817">
              <w:rPr>
                <w:rFonts w:ascii="Aptos Narrow" w:hAnsi="Aptos Narrow" w:eastAsia="Aptos Narrow" w:cs="Aptos Narrow"/>
                <w:color w:val="000000" w:themeColor="text1"/>
                <w:sz w:val="22"/>
                <w:szCs w:val="22"/>
              </w:rPr>
              <w:t>Significant</w:t>
            </w:r>
          </w:p>
        </w:tc>
      </w:tr>
      <w:tr w:rsidR="799A1817" w:rsidTr="799A1817" w14:paraId="14D61D6E"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A763B72" w14:textId="4835B00E">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7ABD30BB">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8672942" w:rsidP="799A1817" w:rsidRDefault="78672942" w14:paraId="48B31436" w14:textId="00C92ECB">
            <w:pPr>
              <w:spacing w:after="0"/>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34DE58D4" w:rsidP="799A1817" w:rsidRDefault="34DE58D4" w14:paraId="57E5C1D0" w14:textId="55F6482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Intertidal 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1D03546" w14:textId="3A221F18">
            <w:pPr>
              <w:spacing w:after="0"/>
              <w:jc w:val="right"/>
            </w:pPr>
            <w:r w:rsidRPr="799A1817">
              <w:rPr>
                <w:rFonts w:ascii="Aptos Narrow" w:hAnsi="Aptos Narrow" w:eastAsia="Aptos Narrow" w:cs="Aptos Narrow"/>
                <w:color w:val="000000" w:themeColor="text1"/>
                <w:sz w:val="22"/>
                <w:szCs w:val="22"/>
              </w:rPr>
              <w:t>0.9984</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D8E6C52" w14:textId="3D39A8BC">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F21D3B2" w14:textId="26039D82">
            <w:pPr>
              <w:spacing w:after="0"/>
              <w:jc w:val="right"/>
            </w:pPr>
            <w:r w:rsidRPr="799A1817">
              <w:rPr>
                <w:rFonts w:ascii="Aptos Narrow" w:hAnsi="Aptos Narrow" w:eastAsia="Aptos Narrow" w:cs="Aptos Narrow"/>
                <w:color w:val="000000" w:themeColor="text1"/>
                <w:sz w:val="22"/>
                <w:szCs w:val="22"/>
              </w:rPr>
              <w:t>0.9984</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4D54493" w14:textId="33D21192">
            <w:pPr>
              <w:spacing w:after="0"/>
              <w:jc w:val="right"/>
            </w:pPr>
            <w:r w:rsidRPr="799A1817">
              <w:rPr>
                <w:rFonts w:ascii="Aptos Narrow" w:hAnsi="Aptos Narrow" w:eastAsia="Aptos Narrow" w:cs="Aptos Narrow"/>
                <w:color w:val="000000" w:themeColor="text1"/>
                <w:sz w:val="22"/>
                <w:szCs w:val="22"/>
              </w:rPr>
              <w:t>0.9984</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3443D0A" w14:textId="42F92E26">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60537E9F"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34D2013" w14:textId="63FB55D4">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1AFBFE21">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15521FB" w:rsidP="799A1817" w:rsidRDefault="715521FB" w14:paraId="2901675A" w14:textId="7904353A">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7FEC0DA0">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3FA2E760" w:rsidP="799A1817" w:rsidRDefault="3FA2E760" w14:paraId="666BE5D5" w14:textId="76D76158">
            <w:pPr>
              <w:spacing w:after="0"/>
            </w:pPr>
            <w:r w:rsidRPr="799A1817">
              <w:rPr>
                <w:rFonts w:ascii="Aptos Narrow" w:hAnsi="Aptos Narrow" w:eastAsia="Aptos Narrow" w:cs="Aptos Narrow"/>
                <w:color w:val="000000" w:themeColor="text1"/>
                <w:sz w:val="22"/>
                <w:szCs w:val="22"/>
              </w:rPr>
              <w:t>Intertidal 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2EC75C7" w14:textId="46798D48">
            <w:pPr>
              <w:spacing w:after="0"/>
              <w:jc w:val="right"/>
            </w:pPr>
            <w:r w:rsidRPr="799A1817">
              <w:rPr>
                <w:rFonts w:ascii="Aptos Narrow" w:hAnsi="Aptos Narrow" w:eastAsia="Aptos Narrow" w:cs="Aptos Narrow"/>
                <w:color w:val="000000" w:themeColor="text1"/>
                <w:sz w:val="22"/>
                <w:szCs w:val="22"/>
              </w:rPr>
              <w:t>0.9939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C049B20" w14:textId="78B1F40B">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0741290" w14:textId="5CEF2D5F">
            <w:pPr>
              <w:spacing w:after="0"/>
              <w:jc w:val="right"/>
            </w:pPr>
            <w:r w:rsidRPr="799A1817">
              <w:rPr>
                <w:rFonts w:ascii="Aptos Narrow" w:hAnsi="Aptos Narrow" w:eastAsia="Aptos Narrow" w:cs="Aptos Narrow"/>
                <w:color w:val="000000" w:themeColor="text1"/>
                <w:sz w:val="22"/>
                <w:szCs w:val="22"/>
              </w:rPr>
              <w:t>0.9939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624DA6C" w14:textId="0D84373D">
            <w:pPr>
              <w:spacing w:after="0"/>
              <w:jc w:val="right"/>
            </w:pPr>
            <w:r w:rsidRPr="799A1817">
              <w:rPr>
                <w:rFonts w:ascii="Aptos Narrow" w:hAnsi="Aptos Narrow" w:eastAsia="Aptos Narrow" w:cs="Aptos Narrow"/>
                <w:color w:val="000000" w:themeColor="text1"/>
                <w:sz w:val="22"/>
                <w:szCs w:val="22"/>
              </w:rPr>
              <w:t>0.9939</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4EDCDBA7" w14:textId="75975ADE">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730EFF2F"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0445C47" w14:textId="1969C1D9">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4C81DDF1">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573050B7" w:rsidP="799A1817" w:rsidRDefault="573050B7" w14:paraId="3C5F0E68" w14:textId="1B0759AE">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7A32EDF6" w:rsidP="799A1817" w:rsidRDefault="7A32EDF6" w14:paraId="436FE659" w14:textId="642BCFB7">
            <w:pPr>
              <w:spacing w:after="0"/>
            </w:pPr>
            <w:r w:rsidRPr="799A1817">
              <w:rPr>
                <w:rFonts w:ascii="Aptos Narrow" w:hAnsi="Aptos Narrow" w:eastAsia="Aptos Narrow" w:cs="Aptos Narrow"/>
                <w:color w:val="000000" w:themeColor="text1"/>
                <w:sz w:val="22"/>
                <w:szCs w:val="22"/>
              </w:rPr>
              <w:t>Intertidal 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27B2D4F4" w14:textId="6E9382F7">
            <w:pPr>
              <w:spacing w:after="0"/>
              <w:jc w:val="right"/>
            </w:pPr>
            <w:r w:rsidRPr="799A1817">
              <w:rPr>
                <w:rFonts w:ascii="Aptos Narrow" w:hAnsi="Aptos Narrow" w:eastAsia="Aptos Narrow" w:cs="Aptos Narrow"/>
                <w:color w:val="000000" w:themeColor="text1"/>
                <w:sz w:val="22"/>
                <w:szCs w:val="22"/>
              </w:rPr>
              <w:t>0.9928</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0F0C225" w14:textId="3DF214AD">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B629B50" w14:textId="5F0F374E">
            <w:pPr>
              <w:spacing w:after="0"/>
              <w:jc w:val="right"/>
            </w:pPr>
            <w:r w:rsidRPr="799A1817">
              <w:rPr>
                <w:rFonts w:ascii="Aptos Narrow" w:hAnsi="Aptos Narrow" w:eastAsia="Aptos Narrow" w:cs="Aptos Narrow"/>
                <w:color w:val="000000" w:themeColor="text1"/>
                <w:sz w:val="22"/>
                <w:szCs w:val="22"/>
              </w:rPr>
              <w:t>0.9928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EA10D59" w14:textId="05FF7A6A">
            <w:pPr>
              <w:spacing w:after="0"/>
              <w:jc w:val="right"/>
            </w:pPr>
            <w:r w:rsidRPr="799A1817">
              <w:rPr>
                <w:rFonts w:ascii="Aptos Narrow" w:hAnsi="Aptos Narrow" w:eastAsia="Aptos Narrow" w:cs="Aptos Narrow"/>
                <w:color w:val="000000" w:themeColor="text1"/>
                <w:sz w:val="22"/>
                <w:szCs w:val="22"/>
              </w:rPr>
              <w:t>0.9928</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E2C8E7A" w14:textId="3D7168A3">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79426D43"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E7C85FE" w14:textId="0BACEC5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00CE0794">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14E18AD2" w14:textId="738216FB">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377DA934" w:rsidP="799A1817" w:rsidRDefault="377DA934" w14:paraId="77BE313B" w14:textId="219700B9">
            <w:pPr>
              <w:spacing w:after="0"/>
            </w:pPr>
            <w:r w:rsidRPr="799A1817">
              <w:rPr>
                <w:rFonts w:ascii="Aptos Narrow" w:hAnsi="Aptos Narrow" w:eastAsia="Aptos Narrow" w:cs="Aptos Narrow"/>
                <w:color w:val="000000" w:themeColor="text1"/>
                <w:sz w:val="22"/>
                <w:szCs w:val="22"/>
              </w:rPr>
              <w:t>Intertidal 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26DE1C7E" w14:textId="6D7EAA82">
            <w:pPr>
              <w:spacing w:after="0"/>
              <w:jc w:val="right"/>
            </w:pPr>
            <w:r w:rsidRPr="799A1817">
              <w:rPr>
                <w:rFonts w:ascii="Aptos Narrow" w:hAnsi="Aptos Narrow" w:eastAsia="Aptos Narrow" w:cs="Aptos Narrow"/>
                <w:color w:val="000000" w:themeColor="text1"/>
                <w:sz w:val="22"/>
                <w:szCs w:val="22"/>
              </w:rPr>
              <w:t>0.9879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AD43F25" w14:textId="293AD9D3">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FB12B18" w14:textId="77D6066A">
            <w:pPr>
              <w:spacing w:after="0"/>
              <w:jc w:val="right"/>
            </w:pPr>
            <w:r w:rsidRPr="799A1817">
              <w:rPr>
                <w:rFonts w:ascii="Aptos Narrow" w:hAnsi="Aptos Narrow" w:eastAsia="Aptos Narrow" w:cs="Aptos Narrow"/>
                <w:color w:val="000000" w:themeColor="text1"/>
                <w:sz w:val="22"/>
                <w:szCs w:val="22"/>
              </w:rPr>
              <w:t>0.9879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423FB0E" w14:textId="4BCEB642">
            <w:pPr>
              <w:spacing w:after="0"/>
              <w:jc w:val="right"/>
            </w:pPr>
            <w:r w:rsidRPr="799A1817">
              <w:rPr>
                <w:rFonts w:ascii="Aptos Narrow" w:hAnsi="Aptos Narrow" w:eastAsia="Aptos Narrow" w:cs="Aptos Narrow"/>
                <w:color w:val="000000" w:themeColor="text1"/>
                <w:sz w:val="22"/>
                <w:szCs w:val="22"/>
              </w:rPr>
              <w:t>0.9879</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80DFBAA" w14:textId="4CCC5021">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4424987C"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45626399" w14:textId="2612129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32D2A794">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3AEFE53C" w:rsidP="799A1817" w:rsidRDefault="3AEFE53C" w14:paraId="47FCF1B6" w14:textId="24B6042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MR</w:t>
            </w:r>
          </w:p>
        </w:tc>
        <w:tc>
          <w:tcPr>
            <w:tcW w:w="1822" w:type="dxa"/>
            <w:tcBorders>
              <w:top w:val="nil"/>
              <w:left w:val="nil"/>
              <w:bottom w:val="nil"/>
              <w:right w:val="nil"/>
            </w:tcBorders>
            <w:tcMar>
              <w:top w:w="15" w:type="dxa"/>
              <w:left w:w="15" w:type="dxa"/>
              <w:right w:w="15" w:type="dxa"/>
            </w:tcMar>
            <w:vAlign w:val="bottom"/>
          </w:tcPr>
          <w:p w:rsidR="55F751E4" w:rsidP="799A1817" w:rsidRDefault="55F751E4" w14:paraId="52981FD1" w14:textId="265C52B7">
            <w:pPr>
              <w:spacing w:after="0"/>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7E1A85B" w14:textId="223BBB69">
            <w:pPr>
              <w:spacing w:after="0"/>
              <w:jc w:val="right"/>
            </w:pPr>
            <w:r w:rsidRPr="799A1817">
              <w:rPr>
                <w:rFonts w:ascii="Aptos Narrow" w:hAnsi="Aptos Narrow" w:eastAsia="Aptos Narrow" w:cs="Aptos Narrow"/>
                <w:color w:val="000000" w:themeColor="text1"/>
                <w:sz w:val="22"/>
                <w:szCs w:val="22"/>
              </w:rPr>
              <w:t>1.0002</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8D0C7DD" w14:textId="3D6616FD">
            <w:pPr>
              <w:spacing w:after="0"/>
            </w:pPr>
            <w:r w:rsidRPr="799A1817">
              <w:rPr>
                <w:rFonts w:ascii="Aptos Narrow" w:hAnsi="Aptos Narrow" w:eastAsia="Aptos Narrow" w:cs="Aptos Narrow"/>
                <w:color w:val="000000" w:themeColor="text1"/>
                <w:sz w:val="22"/>
                <w:szCs w:val="22"/>
              </w:rPr>
              <w:t>6e-04</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EB5677A" w14:textId="540A290D">
            <w:pPr>
              <w:spacing w:after="0"/>
              <w:jc w:val="right"/>
            </w:pPr>
            <w:r w:rsidRPr="799A1817">
              <w:rPr>
                <w:rFonts w:ascii="Aptos Narrow" w:hAnsi="Aptos Narrow" w:eastAsia="Aptos Narrow" w:cs="Aptos Narrow"/>
                <w:color w:val="000000" w:themeColor="text1"/>
                <w:sz w:val="22"/>
                <w:szCs w:val="22"/>
              </w:rPr>
              <w:t>1.0001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A623ADC" w14:textId="605C449C">
            <w:pPr>
              <w:spacing w:after="0"/>
              <w:jc w:val="right"/>
            </w:pPr>
            <w:r w:rsidRPr="799A1817">
              <w:rPr>
                <w:rFonts w:ascii="Aptos Narrow" w:hAnsi="Aptos Narrow" w:eastAsia="Aptos Narrow" w:cs="Aptos Narrow"/>
                <w:color w:val="000000" w:themeColor="text1"/>
                <w:sz w:val="22"/>
                <w:szCs w:val="22"/>
              </w:rPr>
              <w:t>1.0004</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4418ABB8" w14:textId="4E76BA13">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25D7053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7E05D27D" w14:textId="347F1EE0">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54E6DFFF">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64393211" w:rsidP="799A1817" w:rsidRDefault="64393211" w14:paraId="6B06B84E" w14:textId="14436DDA">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0AF11665" w:rsidP="799A1817" w:rsidRDefault="0AF11665" w14:paraId="3BFD5C11" w14:textId="58D8905A">
            <w:pPr>
              <w:spacing w:after="0"/>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C281956" w14:textId="697651AB">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43870F54" w14:textId="1FFF1207">
            <w:pPr>
              <w:spacing w:after="0"/>
              <w:jc w:val="right"/>
            </w:pPr>
            <w:r w:rsidRPr="799A1817">
              <w:rPr>
                <w:rFonts w:ascii="Aptos Narrow" w:hAnsi="Aptos Narrow" w:eastAsia="Aptos Narrow" w:cs="Aptos Narrow"/>
                <w:color w:val="000000" w:themeColor="text1"/>
                <w:sz w:val="22"/>
                <w:szCs w:val="22"/>
              </w:rPr>
              <w:t>0.0064</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145EEF7" w14:textId="69ED6B0F">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5FA9743" w14:textId="6DD78314">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7876DF1A" w14:textId="56FE5C7F">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60CAD001"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D44B1DA" w14:textId="6ECF069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1590422A">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9F9B916" w:rsidP="799A1817" w:rsidRDefault="79F9B916" w14:paraId="67ED5184" w14:textId="5E44D27B">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67BE8CF" w:rsidP="799A1817" w:rsidRDefault="767BE8CF" w14:paraId="05CD83CC" w14:textId="75538C80">
            <w:pPr>
              <w:spacing w:after="0"/>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21915B25" w14:textId="4572106A">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D0B33B5" w14:textId="49914D93">
            <w:pPr>
              <w:spacing w:after="0"/>
              <w:jc w:val="right"/>
            </w:pPr>
            <w:r w:rsidRPr="799A1817">
              <w:rPr>
                <w:rFonts w:ascii="Aptos Narrow" w:hAnsi="Aptos Narrow" w:eastAsia="Aptos Narrow" w:cs="Aptos Narrow"/>
                <w:color w:val="000000" w:themeColor="text1"/>
                <w:sz w:val="22"/>
                <w:szCs w:val="22"/>
              </w:rPr>
              <w:t>0.008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68C5A04" w14:textId="4152D80D">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00F4355" w14:textId="2FFFE01D">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53EC2B88" w14:textId="77FAF075">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4210CA0D"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75ABF72" w14:textId="3DA70CE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0F6E94B9">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2A275F6A" w:rsidP="799A1817" w:rsidRDefault="2A275F6A" w14:paraId="0EA07D0D" w14:textId="620D2031">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051A4F6B" w14:textId="1C6D1827">
            <w:pPr>
              <w:spacing w:after="0"/>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037B823" w14:textId="6F2A2BAC">
            <w:pPr>
              <w:spacing w:after="0"/>
              <w:jc w:val="right"/>
            </w:pPr>
            <w:r w:rsidRPr="799A1817">
              <w:rPr>
                <w:rFonts w:ascii="Aptos Narrow" w:hAnsi="Aptos Narrow" w:eastAsia="Aptos Narrow" w:cs="Aptos Narrow"/>
                <w:color w:val="000000" w:themeColor="text1"/>
                <w:sz w:val="22"/>
                <w:szCs w:val="22"/>
              </w:rPr>
              <w:t>1.0002</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741512CA" w14:textId="733062F9">
            <w:pPr>
              <w:spacing w:after="0"/>
              <w:jc w:val="right"/>
            </w:pPr>
            <w:r w:rsidRPr="799A1817">
              <w:rPr>
                <w:rFonts w:ascii="Aptos Narrow" w:hAnsi="Aptos Narrow" w:eastAsia="Aptos Narrow" w:cs="Aptos Narrow"/>
                <w:color w:val="000000" w:themeColor="text1"/>
                <w:sz w:val="22"/>
                <w:szCs w:val="22"/>
              </w:rPr>
              <w:t>0.0779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7C84DA2" w14:textId="09D2BCF0">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14D6F75" w14:textId="7A5D2004">
            <w:pPr>
              <w:spacing w:after="0"/>
              <w:jc w:val="right"/>
            </w:pPr>
            <w:r w:rsidRPr="799A1817">
              <w:rPr>
                <w:rFonts w:ascii="Aptos Narrow" w:hAnsi="Aptos Narrow" w:eastAsia="Aptos Narrow" w:cs="Aptos Narrow"/>
                <w:color w:val="000000" w:themeColor="text1"/>
                <w:sz w:val="22"/>
                <w:szCs w:val="22"/>
              </w:rPr>
              <w:t>1.0003</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5CF63F01" w14:textId="772A3DBC">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60849C00"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700362D" w14:textId="2CC82DC9">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67018357">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C1B4C38" w:rsidP="799A1817" w:rsidRDefault="7C1B4C38" w14:paraId="2053FEB2" w14:textId="74039FB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508565C8" w:rsidP="799A1817" w:rsidRDefault="508565C8" w14:paraId="3FF5D680" w14:textId="682DC661">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77D785F5" w14:textId="4B407A9A">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A558274" w14:textId="0CF18EA1">
            <w:pPr>
              <w:spacing w:after="0"/>
              <w:jc w:val="right"/>
            </w:pPr>
            <w:r w:rsidRPr="799A1817">
              <w:rPr>
                <w:rFonts w:ascii="Aptos Narrow" w:hAnsi="Aptos Narrow" w:eastAsia="Aptos Narrow" w:cs="Aptos Narrow"/>
                <w:color w:val="000000" w:themeColor="text1"/>
                <w:sz w:val="22"/>
                <w:szCs w:val="22"/>
              </w:rPr>
              <w:t>0.1128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52E2558" w14:textId="154D7277">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E71DE4A" w14:textId="449EB8CB">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7F7D40C1" w14:textId="122FF864">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7AA28DC7"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1DD3D5EF" w14:textId="6F9F023A">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5DBD1534">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6B09C047" w:rsidP="799A1817" w:rsidRDefault="6B09C047" w14:paraId="52DB7E8A" w14:textId="75EB434D">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4A5F9F84" w:rsidP="799A1817" w:rsidRDefault="4A5F9F84" w14:paraId="061C050E" w14:textId="609E3A8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4AC83187" w14:textId="7B7C3862">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3A8CAD92" w14:textId="4CCC5799">
            <w:pPr>
              <w:spacing w:after="0"/>
              <w:jc w:val="right"/>
            </w:pPr>
            <w:r w:rsidRPr="799A1817">
              <w:rPr>
                <w:rFonts w:ascii="Aptos Narrow" w:hAnsi="Aptos Narrow" w:eastAsia="Aptos Narrow" w:cs="Aptos Narrow"/>
                <w:color w:val="000000" w:themeColor="text1"/>
                <w:sz w:val="22"/>
                <w:szCs w:val="22"/>
              </w:rPr>
              <w:t>0.1875</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A4708BF" w14:textId="70658C31">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E9D927D" w14:textId="04EAB069">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3D5E558" w14:textId="0D35293E">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79E25C3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144D4C41" w14:textId="619ABC6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7FE1EBDE">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47864013" w:rsidP="799A1817" w:rsidRDefault="47864013" w14:paraId="72F6F35B" w14:textId="4E481521">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0772809C" w:rsidP="799A1817" w:rsidRDefault="0772809C" w14:paraId="3120A07A" w14:textId="080F1044">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4C95137B" w14:textId="57C06169">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E908778" w14:textId="4190B5F3">
            <w:pPr>
              <w:spacing w:after="0"/>
              <w:jc w:val="right"/>
            </w:pPr>
            <w:r w:rsidRPr="799A1817">
              <w:rPr>
                <w:rFonts w:ascii="Aptos Narrow" w:hAnsi="Aptos Narrow" w:eastAsia="Aptos Narrow" w:cs="Aptos Narrow"/>
                <w:color w:val="000000" w:themeColor="text1"/>
                <w:sz w:val="22"/>
                <w:szCs w:val="22"/>
              </w:rPr>
              <w:t>0.4104</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D3548B6" w14:textId="0F11AB7D">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A844F11" w14:textId="7A33FA2B">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F9A21D1" w14:textId="4C2260F0">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44DAED2"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FFFBFA5" w14:textId="02F5EDDD">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27877673">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01E41ECB" w14:textId="4C273985">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6E3BF31E" w:rsidP="799A1817" w:rsidRDefault="6E3BF31E" w14:paraId="3A757F69" w14:textId="57F9EDBD">
            <w:pPr>
              <w:spacing w:after="0"/>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E7449AA" w14:textId="258ABF95">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60267989" w14:textId="297DE895">
            <w:pPr>
              <w:spacing w:after="0"/>
              <w:jc w:val="right"/>
            </w:pPr>
            <w:r w:rsidRPr="799A1817">
              <w:rPr>
                <w:rFonts w:ascii="Aptos Narrow" w:hAnsi="Aptos Narrow" w:eastAsia="Aptos Narrow" w:cs="Aptos Narrow"/>
                <w:color w:val="000000" w:themeColor="text1"/>
                <w:sz w:val="22"/>
                <w:szCs w:val="22"/>
              </w:rPr>
              <w:t>0.4226</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38347BF" w14:textId="16B07D3F">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5D25EDC" w14:textId="5C291D40">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47C5A5AF" w14:textId="49C2E37B">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58A860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499AE5B1" w14:textId="0CD6D3E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7CDB4E19">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6E17B89F" w14:textId="75C0C597">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6C6A7499" w:rsidP="799A1817" w:rsidRDefault="6C6A7499" w14:paraId="1D8FC808" w14:textId="0BBE0109">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09FFAB9" w14:textId="06A897FC">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2247D78C" w14:textId="619B64C2">
            <w:pPr>
              <w:spacing w:after="0"/>
              <w:jc w:val="right"/>
            </w:pPr>
            <w:r w:rsidRPr="799A1817">
              <w:rPr>
                <w:rFonts w:ascii="Aptos Narrow" w:hAnsi="Aptos Narrow" w:eastAsia="Aptos Narrow" w:cs="Aptos Narrow"/>
                <w:color w:val="000000" w:themeColor="text1"/>
                <w:sz w:val="22"/>
                <w:szCs w:val="22"/>
              </w:rPr>
              <w:t>0.5527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4EB7FD7" w14:textId="6AE1D59F">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227F974" w14:textId="463BF19D">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657DDDE" w14:textId="2BD6A6A4">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66A52C45"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1B61A470" w14:textId="4DE3AF2A">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4A9A59D6">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576018C1" w14:textId="5BA7FA4D">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2BC3CCD9" w14:textId="5E8024F7">
            <w:pPr>
              <w:spacing w:after="0"/>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4709C5F1" w14:textId="3CE5EDB4">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7070598B" w14:textId="497A414B">
            <w:pPr>
              <w:spacing w:after="0"/>
              <w:jc w:val="right"/>
            </w:pPr>
            <w:r w:rsidRPr="799A1817">
              <w:rPr>
                <w:rFonts w:ascii="Aptos Narrow" w:hAnsi="Aptos Narrow" w:eastAsia="Aptos Narrow" w:cs="Aptos Narrow"/>
                <w:color w:val="000000" w:themeColor="text1"/>
                <w:sz w:val="22"/>
                <w:szCs w:val="22"/>
              </w:rPr>
              <w:t>0.6045</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B59CD70" w14:textId="0D671AA6">
            <w:pPr>
              <w:spacing w:after="0"/>
              <w:jc w:val="right"/>
            </w:pPr>
            <w:r w:rsidRPr="799A1817">
              <w:rPr>
                <w:rFonts w:ascii="Aptos Narrow" w:hAnsi="Aptos Narrow" w:eastAsia="Aptos Narrow" w:cs="Aptos Narrow"/>
                <w:color w:val="000000" w:themeColor="text1"/>
                <w:sz w:val="22"/>
                <w:szCs w:val="22"/>
              </w:rPr>
              <w:t>0.9999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6B7EF62" w14:textId="13A5DE0B">
            <w:pPr>
              <w:spacing w:after="0"/>
              <w:jc w:val="right"/>
            </w:pPr>
            <w:r w:rsidRPr="799A1817">
              <w:rPr>
                <w:rFonts w:ascii="Aptos Narrow" w:hAnsi="Aptos Narrow" w:eastAsia="Aptos Narrow" w:cs="Aptos Narrow"/>
                <w:color w:val="000000" w:themeColor="text1"/>
                <w:sz w:val="22"/>
                <w:szCs w:val="22"/>
              </w:rPr>
              <w:t>1.0002</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77D30FF1" w14:textId="5DC1288A">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EE21D7B"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5C4DF26" w14:textId="2B3EA00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562E8932">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130E4A1B" w:rsidP="799A1817" w:rsidRDefault="130E4A1B" w14:paraId="7158BC3A" w14:textId="46790FC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05E44C38" w:rsidP="799A1817" w:rsidRDefault="05E44C38" w14:paraId="784705E1" w14:textId="5BDF0F1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3F198F2" w14:textId="622D7DBE">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2BED3DEA" w14:textId="47084910">
            <w:pPr>
              <w:spacing w:after="0"/>
              <w:jc w:val="right"/>
            </w:pPr>
            <w:r w:rsidRPr="799A1817">
              <w:rPr>
                <w:rFonts w:ascii="Aptos Narrow" w:hAnsi="Aptos Narrow" w:eastAsia="Aptos Narrow" w:cs="Aptos Narrow"/>
                <w:color w:val="000000" w:themeColor="text1"/>
                <w:sz w:val="22"/>
                <w:szCs w:val="22"/>
              </w:rPr>
              <w:t>0.6317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533BBA9" w14:textId="2CFAAA64">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331C17F" w14:textId="55D1259A">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5C87B0CF" w14:textId="663EE0BC">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37E219FF"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7BAA5421" w14:textId="581BD3F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r w:rsidRPr="799A1817" w:rsidR="4987779C">
              <w:rPr>
                <w:rFonts w:ascii="Aptos Narrow" w:hAnsi="Aptos Narrow" w:eastAsia="Aptos Narrow" w:cs="Aptos Narrow"/>
                <w:color w:val="000000" w:themeColor="text1"/>
                <w:sz w:val="22"/>
                <w:szCs w:val="22"/>
              </w:rPr>
              <w:t>angrove</w:t>
            </w:r>
          </w:p>
        </w:tc>
        <w:tc>
          <w:tcPr>
            <w:tcW w:w="1320" w:type="dxa"/>
            <w:tcBorders>
              <w:top w:val="nil"/>
              <w:left w:val="nil"/>
              <w:bottom w:val="nil"/>
              <w:right w:val="nil"/>
            </w:tcBorders>
            <w:tcMar>
              <w:top w:w="15" w:type="dxa"/>
              <w:left w:w="15" w:type="dxa"/>
              <w:right w:w="15" w:type="dxa"/>
            </w:tcMar>
            <w:vAlign w:val="bottom"/>
          </w:tcPr>
          <w:p w:rsidR="44B20B52" w:rsidP="799A1817" w:rsidRDefault="44B20B52" w14:paraId="595C8D5F" w14:textId="78FDB83A">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7C7874FE" w14:textId="41906CB2">
            <w:pPr>
              <w:spacing w:after="0"/>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15AB41B" w14:textId="747C2726">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A309032" w14:textId="13903FE5">
            <w:pPr>
              <w:spacing w:after="0"/>
              <w:jc w:val="right"/>
            </w:pPr>
            <w:r w:rsidRPr="799A1817">
              <w:rPr>
                <w:rFonts w:ascii="Aptos Narrow" w:hAnsi="Aptos Narrow" w:eastAsia="Aptos Narrow" w:cs="Aptos Narrow"/>
                <w:color w:val="000000" w:themeColor="text1"/>
                <w:sz w:val="22"/>
                <w:szCs w:val="22"/>
              </w:rPr>
              <w:t>0.7285</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8BC9E39" w14:textId="26FF75A3">
            <w:pPr>
              <w:spacing w:after="0"/>
              <w:jc w:val="right"/>
            </w:pPr>
            <w:r w:rsidRPr="799A1817">
              <w:rPr>
                <w:rFonts w:ascii="Aptos Narrow" w:hAnsi="Aptos Narrow" w:eastAsia="Aptos Narrow" w:cs="Aptos Narrow"/>
                <w:color w:val="000000" w:themeColor="text1"/>
                <w:sz w:val="22"/>
                <w:szCs w:val="22"/>
              </w:rPr>
              <w:t>0.9998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D113D96" w14:textId="6BE1F237">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C478745" w14:textId="47B7DF92">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4C1B8B5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E1F5F4C" w14:textId="40CF0E32">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04A587F3">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6A441577" w:rsidP="799A1817" w:rsidRDefault="6A441577" w14:paraId="00D2F3DB" w14:textId="5B3073D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63773060" w:rsidP="799A1817" w:rsidRDefault="63773060" w14:paraId="1E20C2C8" w14:textId="007CF254">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127D89DA">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2CADD74E" w14:textId="7F87224B">
            <w:pPr>
              <w:spacing w:after="0"/>
              <w:jc w:val="right"/>
            </w:pPr>
            <w:r w:rsidRPr="799A1817">
              <w:rPr>
                <w:rFonts w:ascii="Aptos Narrow" w:hAnsi="Aptos Narrow" w:eastAsia="Aptos Narrow" w:cs="Aptos Narrow"/>
                <w:color w:val="000000" w:themeColor="text1"/>
                <w:sz w:val="22"/>
                <w:szCs w:val="22"/>
              </w:rPr>
              <w:t>0.9951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7F169BF9" w14:textId="7DCE305D">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421E75F" w14:textId="03C2957B">
            <w:pPr>
              <w:spacing w:after="0"/>
              <w:jc w:val="right"/>
            </w:pPr>
            <w:r w:rsidRPr="799A1817">
              <w:rPr>
                <w:rFonts w:ascii="Aptos Narrow" w:hAnsi="Aptos Narrow" w:eastAsia="Aptos Narrow" w:cs="Aptos Narrow"/>
                <w:color w:val="000000" w:themeColor="text1"/>
                <w:sz w:val="22"/>
                <w:szCs w:val="22"/>
              </w:rPr>
              <w:t>0.9951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F6D4230" w14:textId="1FE8B7D0">
            <w:pPr>
              <w:spacing w:after="0"/>
              <w:jc w:val="right"/>
            </w:pPr>
            <w:r w:rsidRPr="799A1817">
              <w:rPr>
                <w:rFonts w:ascii="Aptos Narrow" w:hAnsi="Aptos Narrow" w:eastAsia="Aptos Narrow" w:cs="Aptos Narrow"/>
                <w:color w:val="000000" w:themeColor="text1"/>
                <w:sz w:val="22"/>
                <w:szCs w:val="22"/>
              </w:rPr>
              <w:t>0.9951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2EA781EB" w14:textId="5F4832C1">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308C3218"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D9CA990" w14:textId="6C87199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5C03F5F2">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12544702" w:rsidP="799A1817" w:rsidRDefault="12544702" w14:paraId="0469941B" w14:textId="6E2A1997">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2459CE60" w:rsidP="799A1817" w:rsidRDefault="2459CE60" w14:paraId="1BD17E8B" w14:textId="0DBDA7A2">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Intertidal 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E7C7B2F" w14:textId="6A9EC086">
            <w:pPr>
              <w:spacing w:after="0"/>
              <w:jc w:val="right"/>
            </w:pPr>
            <w:r w:rsidRPr="799A1817">
              <w:rPr>
                <w:rFonts w:ascii="Aptos Narrow" w:hAnsi="Aptos Narrow" w:eastAsia="Aptos Narrow" w:cs="Aptos Narrow"/>
                <w:color w:val="000000" w:themeColor="text1"/>
                <w:sz w:val="22"/>
                <w:szCs w:val="22"/>
              </w:rPr>
              <w:t>0.9985</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90CF2FE" w14:textId="338B3054">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7B4DCE7" w14:textId="28CBC081">
            <w:pPr>
              <w:spacing w:after="0"/>
              <w:jc w:val="right"/>
            </w:pPr>
            <w:r w:rsidRPr="799A1817">
              <w:rPr>
                <w:rFonts w:ascii="Aptos Narrow" w:hAnsi="Aptos Narrow" w:eastAsia="Aptos Narrow" w:cs="Aptos Narrow"/>
                <w:color w:val="000000" w:themeColor="text1"/>
                <w:sz w:val="22"/>
                <w:szCs w:val="22"/>
              </w:rPr>
              <w:t>0.9985</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E859A1A" w14:textId="4FD27C7E">
            <w:pPr>
              <w:spacing w:after="0"/>
              <w:jc w:val="right"/>
            </w:pPr>
            <w:r w:rsidRPr="799A1817">
              <w:rPr>
                <w:rFonts w:ascii="Aptos Narrow" w:hAnsi="Aptos Narrow" w:eastAsia="Aptos Narrow" w:cs="Aptos Narrow"/>
                <w:color w:val="000000" w:themeColor="text1"/>
                <w:sz w:val="22"/>
                <w:szCs w:val="22"/>
              </w:rPr>
              <w:t>0.9985</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BED5FB5" w14:textId="19D4E197">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0E7E016C"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44344763" w14:textId="6F0043D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77EDCEFF">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585DE7CC" w:rsidP="799A1817" w:rsidRDefault="585DE7CC" w14:paraId="1DFB39F5" w14:textId="76825D30">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5D4DEE26" w14:textId="3D590B9C">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29869C9" w14:textId="4C9E032E">
            <w:pPr>
              <w:spacing w:after="0"/>
              <w:jc w:val="right"/>
            </w:pPr>
            <w:r w:rsidRPr="799A1817">
              <w:rPr>
                <w:rFonts w:ascii="Aptos Narrow" w:hAnsi="Aptos Narrow" w:eastAsia="Aptos Narrow" w:cs="Aptos Narrow"/>
                <w:color w:val="000000" w:themeColor="text1"/>
                <w:sz w:val="22"/>
                <w:szCs w:val="22"/>
              </w:rPr>
              <w:t>0.34</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08B76B6" w14:textId="0DE969B3">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4E28EED" w14:textId="76D4A60C">
            <w:pPr>
              <w:spacing w:after="0"/>
              <w:jc w:val="right"/>
            </w:pPr>
            <w:r w:rsidRPr="799A1817">
              <w:rPr>
                <w:rFonts w:ascii="Aptos Narrow" w:hAnsi="Aptos Narrow" w:eastAsia="Aptos Narrow" w:cs="Aptos Narrow"/>
                <w:color w:val="000000" w:themeColor="text1"/>
                <w:sz w:val="22"/>
                <w:szCs w:val="22"/>
              </w:rPr>
              <w:t>0.34</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958D0CF" w14:textId="1A495F62">
            <w:pPr>
              <w:spacing w:after="0"/>
              <w:jc w:val="right"/>
            </w:pPr>
            <w:r w:rsidRPr="799A1817">
              <w:rPr>
                <w:rFonts w:ascii="Aptos Narrow" w:hAnsi="Aptos Narrow" w:eastAsia="Aptos Narrow" w:cs="Aptos Narrow"/>
                <w:color w:val="000000" w:themeColor="text1"/>
                <w:sz w:val="22"/>
                <w:szCs w:val="22"/>
              </w:rPr>
              <w:t>0.34</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FD4BF80" w14:textId="74830597">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125D279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7FB4C986" w14:textId="4753A851">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1C55B77F">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0AE0B3DD" w:rsidP="799A1817" w:rsidRDefault="0AE0B3DD" w14:paraId="1172A542" w14:textId="400EA6C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2219E180" w:rsidP="799A1817" w:rsidRDefault="2219E180" w14:paraId="340B378F" w14:textId="33C7B0A4">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Intertidal 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DC14C6E" w14:textId="5F04D4AB">
            <w:pPr>
              <w:spacing w:after="0"/>
              <w:jc w:val="right"/>
            </w:pPr>
            <w:r w:rsidRPr="799A1817">
              <w:rPr>
                <w:rFonts w:ascii="Aptos Narrow" w:hAnsi="Aptos Narrow" w:eastAsia="Aptos Narrow" w:cs="Aptos Narrow"/>
                <w:color w:val="000000" w:themeColor="text1"/>
                <w:sz w:val="22"/>
                <w:szCs w:val="22"/>
              </w:rPr>
              <w:t>0.977</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6C240A77" w14:textId="48A855BE">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8CF1B6D" w14:textId="0CBD574C">
            <w:pPr>
              <w:spacing w:after="0"/>
              <w:jc w:val="right"/>
            </w:pPr>
            <w:r w:rsidRPr="799A1817">
              <w:rPr>
                <w:rFonts w:ascii="Aptos Narrow" w:hAnsi="Aptos Narrow" w:eastAsia="Aptos Narrow" w:cs="Aptos Narrow"/>
                <w:color w:val="000000" w:themeColor="text1"/>
                <w:sz w:val="22"/>
                <w:szCs w:val="22"/>
              </w:rPr>
              <w:t>0.977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C9B54D8" w14:textId="29D97D62">
            <w:pPr>
              <w:spacing w:after="0"/>
              <w:jc w:val="right"/>
            </w:pPr>
            <w:r w:rsidRPr="799A1817">
              <w:rPr>
                <w:rFonts w:ascii="Aptos Narrow" w:hAnsi="Aptos Narrow" w:eastAsia="Aptos Narrow" w:cs="Aptos Narrow"/>
                <w:color w:val="000000" w:themeColor="text1"/>
                <w:sz w:val="22"/>
                <w:szCs w:val="22"/>
              </w:rPr>
              <w:t>0.977</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7465F33" w14:textId="24D709CD">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03332E03"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18A89A67" w14:textId="7C0A493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1E3A21FD">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44285ADC" w14:textId="123685CE">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5449546E" w:rsidP="799A1817" w:rsidRDefault="5449546E" w14:paraId="0DB4F109" w14:textId="0E91956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C5A7B75" w14:textId="4A9A841B">
            <w:pPr>
              <w:spacing w:after="0"/>
              <w:jc w:val="right"/>
            </w:pPr>
            <w:r w:rsidRPr="799A1817">
              <w:rPr>
                <w:rFonts w:ascii="Aptos Narrow" w:hAnsi="Aptos Narrow" w:eastAsia="Aptos Narrow" w:cs="Aptos Narrow"/>
                <w:color w:val="000000" w:themeColor="text1"/>
                <w:sz w:val="22"/>
                <w:szCs w:val="22"/>
              </w:rPr>
              <w:t>0.9929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A062BF3" w14:textId="15F655D8">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F0D727C" w14:textId="5BF9286F">
            <w:pPr>
              <w:spacing w:after="0"/>
              <w:jc w:val="right"/>
            </w:pPr>
            <w:r w:rsidRPr="799A1817">
              <w:rPr>
                <w:rFonts w:ascii="Aptos Narrow" w:hAnsi="Aptos Narrow" w:eastAsia="Aptos Narrow" w:cs="Aptos Narrow"/>
                <w:color w:val="000000" w:themeColor="text1"/>
                <w:sz w:val="22"/>
                <w:szCs w:val="22"/>
              </w:rPr>
              <w:t>0.9929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6B3F4FA" w14:textId="6CAAAC8F">
            <w:pPr>
              <w:spacing w:after="0"/>
              <w:jc w:val="right"/>
            </w:pPr>
            <w:r w:rsidRPr="799A1817">
              <w:rPr>
                <w:rFonts w:ascii="Aptos Narrow" w:hAnsi="Aptos Narrow" w:eastAsia="Aptos Narrow" w:cs="Aptos Narrow"/>
                <w:color w:val="000000" w:themeColor="text1"/>
                <w:sz w:val="22"/>
                <w:szCs w:val="22"/>
              </w:rPr>
              <w:t>0.9929</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2F8DBF3C" w14:textId="2CEE3F0E">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06DB70B5"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717CC7C1" w14:textId="0F879AB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47CF0445">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32F526A9" w14:textId="522ABF03">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2FD28D91" w:rsidP="799A1817" w:rsidRDefault="2FD28D91" w14:paraId="530A8657" w14:textId="61CD773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C4E3C45" w14:textId="74E4E422">
            <w:pPr>
              <w:spacing w:after="0"/>
              <w:jc w:val="right"/>
            </w:pPr>
            <w:r w:rsidRPr="799A1817">
              <w:rPr>
                <w:rFonts w:ascii="Aptos Narrow" w:hAnsi="Aptos Narrow" w:eastAsia="Aptos Narrow" w:cs="Aptos Narrow"/>
                <w:color w:val="000000" w:themeColor="text1"/>
                <w:sz w:val="22"/>
                <w:szCs w:val="22"/>
              </w:rPr>
              <w:t>0.9898</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431418BE" w14:textId="71134DF1">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625DF1B" w14:textId="48C43B6D">
            <w:pPr>
              <w:spacing w:after="0"/>
              <w:jc w:val="right"/>
            </w:pPr>
            <w:r w:rsidRPr="799A1817">
              <w:rPr>
                <w:rFonts w:ascii="Aptos Narrow" w:hAnsi="Aptos Narrow" w:eastAsia="Aptos Narrow" w:cs="Aptos Narrow"/>
                <w:color w:val="000000" w:themeColor="text1"/>
                <w:sz w:val="22"/>
                <w:szCs w:val="22"/>
              </w:rPr>
              <w:t>0.9898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6F88DB3" w14:textId="7E49E3B2">
            <w:pPr>
              <w:spacing w:after="0"/>
              <w:jc w:val="right"/>
            </w:pPr>
            <w:r w:rsidRPr="799A1817">
              <w:rPr>
                <w:rFonts w:ascii="Aptos Narrow" w:hAnsi="Aptos Narrow" w:eastAsia="Aptos Narrow" w:cs="Aptos Narrow"/>
                <w:color w:val="000000" w:themeColor="text1"/>
                <w:sz w:val="22"/>
                <w:szCs w:val="22"/>
              </w:rPr>
              <w:t>0.9898</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C11D0A5" w14:textId="64094F6A">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2FB611E8"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78651282" w14:textId="622A71AA">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75714E0B">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6836F0E6" w14:textId="15FBC32B">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13E4FAA3" w14:textId="2D4A843D">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2A12DDF2" w14:textId="4787CD89">
            <w:pPr>
              <w:spacing w:after="0"/>
              <w:jc w:val="right"/>
            </w:pPr>
            <w:r w:rsidRPr="799A1817">
              <w:rPr>
                <w:rFonts w:ascii="Aptos Narrow" w:hAnsi="Aptos Narrow" w:eastAsia="Aptos Narrow" w:cs="Aptos Narrow"/>
                <w:color w:val="000000" w:themeColor="text1"/>
                <w:sz w:val="22"/>
                <w:szCs w:val="22"/>
              </w:rPr>
              <w:t>0.9831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4F28CC17" w14:textId="1D9C752A">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EC6310D" w14:textId="11FBDCAE">
            <w:pPr>
              <w:spacing w:after="0"/>
              <w:jc w:val="right"/>
            </w:pPr>
            <w:r w:rsidRPr="799A1817">
              <w:rPr>
                <w:rFonts w:ascii="Aptos Narrow" w:hAnsi="Aptos Narrow" w:eastAsia="Aptos Narrow" w:cs="Aptos Narrow"/>
                <w:color w:val="000000" w:themeColor="text1"/>
                <w:sz w:val="22"/>
                <w:szCs w:val="22"/>
              </w:rPr>
              <w:t>0.9831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D5CA363" w14:textId="69DA5748">
            <w:pPr>
              <w:spacing w:after="0"/>
              <w:jc w:val="right"/>
            </w:pPr>
            <w:r w:rsidRPr="799A1817">
              <w:rPr>
                <w:rFonts w:ascii="Aptos Narrow" w:hAnsi="Aptos Narrow" w:eastAsia="Aptos Narrow" w:cs="Aptos Narrow"/>
                <w:color w:val="000000" w:themeColor="text1"/>
                <w:sz w:val="22"/>
                <w:szCs w:val="22"/>
              </w:rPr>
              <w:t>0.9831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7C8ED532" w14:textId="0E19EBAB">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1BCA0619"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FC7C5C8" w14:textId="1D19C37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5AC90025">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37AF4FD0" w14:textId="085B30D5">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3EFBDEF4" w:rsidP="799A1817" w:rsidRDefault="3EFBDEF4" w14:paraId="18F38660" w14:textId="2AC50DE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068D291" w14:textId="56EECC95">
            <w:pPr>
              <w:spacing w:after="0"/>
              <w:jc w:val="right"/>
            </w:pPr>
            <w:r w:rsidRPr="799A1817">
              <w:rPr>
                <w:rFonts w:ascii="Aptos Narrow" w:hAnsi="Aptos Narrow" w:eastAsia="Aptos Narrow" w:cs="Aptos Narrow"/>
                <w:color w:val="000000" w:themeColor="text1"/>
                <w:sz w:val="22"/>
                <w:szCs w:val="22"/>
              </w:rPr>
              <w:t>0.9924</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681B8F44" w14:textId="6D68598A">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203DA27" w14:textId="0399BCCC">
            <w:pPr>
              <w:spacing w:after="0"/>
              <w:jc w:val="right"/>
            </w:pPr>
            <w:r w:rsidRPr="799A1817">
              <w:rPr>
                <w:rFonts w:ascii="Aptos Narrow" w:hAnsi="Aptos Narrow" w:eastAsia="Aptos Narrow" w:cs="Aptos Narrow"/>
                <w:color w:val="000000" w:themeColor="text1"/>
                <w:sz w:val="22"/>
                <w:szCs w:val="22"/>
              </w:rPr>
              <w:t>0.9924</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F2837DA" w14:textId="072E6B72">
            <w:pPr>
              <w:spacing w:after="0"/>
              <w:jc w:val="right"/>
            </w:pPr>
            <w:r w:rsidRPr="799A1817">
              <w:rPr>
                <w:rFonts w:ascii="Aptos Narrow" w:hAnsi="Aptos Narrow" w:eastAsia="Aptos Narrow" w:cs="Aptos Narrow"/>
                <w:color w:val="000000" w:themeColor="text1"/>
                <w:sz w:val="22"/>
                <w:szCs w:val="22"/>
              </w:rPr>
              <w:t>0.9924</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1CBC452" w14:textId="29F026A3">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69798303"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778EEAD8" w14:textId="5E8715A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51092134">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733119AE" w:rsidP="799A1817" w:rsidRDefault="733119AE" w14:paraId="036E8E02" w14:textId="6ED666C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01B953FA" w14:textId="5CF884A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300A95F" w14:textId="67742BFC">
            <w:pPr>
              <w:spacing w:after="0"/>
              <w:jc w:val="right"/>
            </w:pPr>
            <w:r w:rsidRPr="799A1817">
              <w:rPr>
                <w:rFonts w:ascii="Aptos Narrow" w:hAnsi="Aptos Narrow" w:eastAsia="Aptos Narrow" w:cs="Aptos Narrow"/>
                <w:color w:val="000000" w:themeColor="text1"/>
                <w:sz w:val="22"/>
                <w:szCs w:val="22"/>
              </w:rPr>
              <w:t>1.0008</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BE891FA" w14:textId="10EB9794">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4B78FFA" w14:textId="00F9CF75">
            <w:pPr>
              <w:spacing w:after="0"/>
              <w:jc w:val="right"/>
            </w:pPr>
            <w:r w:rsidRPr="799A1817">
              <w:rPr>
                <w:rFonts w:ascii="Aptos Narrow" w:hAnsi="Aptos Narrow" w:eastAsia="Aptos Narrow" w:cs="Aptos Narrow"/>
                <w:color w:val="000000" w:themeColor="text1"/>
                <w:sz w:val="22"/>
                <w:szCs w:val="22"/>
              </w:rPr>
              <w:t>1.0006</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D84CF05" w14:textId="4965E9A3">
            <w:pPr>
              <w:spacing w:after="0"/>
              <w:jc w:val="right"/>
            </w:pPr>
            <w:r w:rsidRPr="799A1817">
              <w:rPr>
                <w:rFonts w:ascii="Aptos Narrow" w:hAnsi="Aptos Narrow" w:eastAsia="Aptos Narrow" w:cs="Aptos Narrow"/>
                <w:color w:val="000000" w:themeColor="text1"/>
                <w:sz w:val="22"/>
                <w:szCs w:val="22"/>
              </w:rPr>
              <w:t>1.0009</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AF430EF" w14:textId="7E76AA43">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5514E2EF"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676FF949" w14:textId="7A4994CC">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1C5B6245">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0AD2F8FF" w:rsidP="799A1817" w:rsidRDefault="0AD2F8FF" w14:paraId="28D651A0" w14:textId="29725276">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67D1F65B" w14:textId="698E170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1C9EA93" w14:textId="2CB3CE87">
            <w:pPr>
              <w:spacing w:after="0"/>
              <w:jc w:val="right"/>
            </w:pPr>
            <w:r w:rsidRPr="799A1817">
              <w:rPr>
                <w:rFonts w:ascii="Aptos Narrow" w:hAnsi="Aptos Narrow" w:eastAsia="Aptos Narrow" w:cs="Aptos Narrow"/>
                <w:color w:val="000000" w:themeColor="text1"/>
                <w:sz w:val="22"/>
                <w:szCs w:val="22"/>
              </w:rPr>
              <w:t>1.0009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2BE15368" w14:textId="18A4BCF0">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1D8AF70" w14:textId="09648EB3">
            <w:pPr>
              <w:spacing w:after="0"/>
              <w:jc w:val="right"/>
            </w:pPr>
            <w:r w:rsidRPr="799A1817">
              <w:rPr>
                <w:rFonts w:ascii="Aptos Narrow" w:hAnsi="Aptos Narrow" w:eastAsia="Aptos Narrow" w:cs="Aptos Narrow"/>
                <w:color w:val="000000" w:themeColor="text1"/>
                <w:sz w:val="22"/>
                <w:szCs w:val="22"/>
              </w:rPr>
              <w:t>1.0007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60C2C6B" w14:textId="6DBDB26E">
            <w:pPr>
              <w:spacing w:after="0"/>
              <w:jc w:val="right"/>
            </w:pPr>
            <w:r w:rsidRPr="799A1817">
              <w:rPr>
                <w:rFonts w:ascii="Aptos Narrow" w:hAnsi="Aptos Narrow" w:eastAsia="Aptos Narrow" w:cs="Aptos Narrow"/>
                <w:color w:val="000000" w:themeColor="text1"/>
                <w:sz w:val="22"/>
                <w:szCs w:val="22"/>
              </w:rPr>
              <w:t>1.0012</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5DBF1DFE" w14:textId="7CE13FA4">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434C97AF"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31655281" w14:textId="1E59C63D">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1CF52DBD">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16E5727B" w:rsidP="799A1817" w:rsidRDefault="16E5727B" w14:paraId="6D21220F" w14:textId="43F870BF">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35F1E891" w:rsidP="799A1817" w:rsidRDefault="35F1E891" w14:paraId="4A1BB414" w14:textId="1420C293">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AF76F9D" w14:textId="7A0E412A">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DB9A254" w14:textId="3474FB27">
            <w:pPr>
              <w:spacing w:after="0"/>
              <w:jc w:val="right"/>
            </w:pPr>
            <w:r w:rsidRPr="799A1817">
              <w:rPr>
                <w:rFonts w:ascii="Aptos Narrow" w:hAnsi="Aptos Narrow" w:eastAsia="Aptos Narrow" w:cs="Aptos Narrow"/>
                <w:color w:val="000000" w:themeColor="text1"/>
                <w:sz w:val="22"/>
                <w:szCs w:val="22"/>
              </w:rPr>
              <w:t>0.137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3E3657B" w14:textId="7412E248">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95C3260" w14:textId="25DAB7B0">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ED00C59" w14:textId="4DFAD2F1">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8A5E199"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10B3AAE" w14:textId="17EA4A70">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31C08FA9">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4FFB289D" w:rsidP="799A1817" w:rsidRDefault="4FFB289D" w14:paraId="7ED8A431" w14:textId="304FEBA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7751850A" w:rsidP="799A1817" w:rsidRDefault="7751850A" w14:paraId="1EDDB03B" w14:textId="5D9D6EC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w:t>
            </w:r>
            <w:r w:rsidRPr="799A1817" w:rsidR="799A1817">
              <w:rPr>
                <w:rFonts w:ascii="Aptos Narrow" w:hAnsi="Aptos Narrow" w:eastAsia="Aptos Narrow" w:cs="Aptos Narrow"/>
                <w:color w:val="000000" w:themeColor="text1"/>
                <w:sz w:val="22"/>
                <w:szCs w:val="22"/>
              </w:rPr>
              <w:t>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DF0B3AD" w14:textId="18A9CEF3">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3BA6DD5C" w14:textId="3F1159E4">
            <w:pPr>
              <w:spacing w:after="0"/>
              <w:jc w:val="right"/>
            </w:pPr>
            <w:r w:rsidRPr="799A1817">
              <w:rPr>
                <w:rFonts w:ascii="Aptos Narrow" w:hAnsi="Aptos Narrow" w:eastAsia="Aptos Narrow" w:cs="Aptos Narrow"/>
                <w:color w:val="000000" w:themeColor="text1"/>
                <w:sz w:val="22"/>
                <w:szCs w:val="22"/>
              </w:rPr>
              <w:t>0.31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BE305A6" w14:textId="1F663C1F">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86E6AA3" w14:textId="0C24BC4D">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EF10A64" w14:textId="7801F167">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318CD0C1"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3DA76EF3" w14:textId="15F2615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39ABDBF9">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3510FED3" w:rsidP="799A1817" w:rsidRDefault="3510FED3" w14:paraId="25902300" w14:textId="2EB20111">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7A056F27" w:rsidP="799A1817" w:rsidRDefault="7A056F27" w14:paraId="2D051CC5" w14:textId="55F82478">
            <w:pPr>
              <w:spacing w:after="0"/>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4D3E7F6" w14:textId="474E21B9">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E7F0868" w14:textId="39BE60CB">
            <w:pPr>
              <w:spacing w:after="0"/>
              <w:jc w:val="right"/>
            </w:pPr>
            <w:r w:rsidRPr="799A1817">
              <w:rPr>
                <w:rFonts w:ascii="Aptos Narrow" w:hAnsi="Aptos Narrow" w:eastAsia="Aptos Narrow" w:cs="Aptos Narrow"/>
                <w:color w:val="000000" w:themeColor="text1"/>
                <w:sz w:val="22"/>
                <w:szCs w:val="22"/>
              </w:rPr>
              <w:t>0.7037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BC1CB7D" w14:textId="0F9147BA">
            <w:pPr>
              <w:spacing w:after="0"/>
              <w:jc w:val="right"/>
            </w:pPr>
            <w:r w:rsidRPr="799A1817">
              <w:rPr>
                <w:rFonts w:ascii="Aptos Narrow" w:hAnsi="Aptos Narrow" w:eastAsia="Aptos Narrow" w:cs="Aptos Narrow"/>
                <w:color w:val="000000" w:themeColor="text1"/>
                <w:sz w:val="22"/>
                <w:szCs w:val="22"/>
              </w:rPr>
              <w:t>0.9999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9B1A1EF" w14:textId="066887A6">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415F079" w14:textId="11519642">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0DEA1826"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690D5A6" w14:textId="7342E2C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22F70791">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6EADC30E" w:rsidP="799A1817" w:rsidRDefault="6EADC30E" w14:paraId="5AAA7529" w14:textId="78D0AA7F">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3DBB48A7" w:rsidP="799A1817" w:rsidRDefault="3DBB48A7" w14:paraId="71A936E9" w14:textId="371DFD3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6F30237" w14:textId="4A0EAAFF">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EF64D3B" w14:textId="08139853">
            <w:pPr>
              <w:spacing w:after="0"/>
              <w:jc w:val="right"/>
            </w:pPr>
            <w:r w:rsidRPr="799A1817">
              <w:rPr>
                <w:rFonts w:ascii="Aptos Narrow" w:hAnsi="Aptos Narrow" w:eastAsia="Aptos Narrow" w:cs="Aptos Narrow"/>
                <w:color w:val="000000" w:themeColor="text1"/>
                <w:sz w:val="22"/>
                <w:szCs w:val="22"/>
              </w:rPr>
              <w:t>0.9101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9C3A9C2" w14:textId="7A29B787">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B685D10" w14:textId="3B829A5D">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9A4BCB8" w14:textId="678590DC">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08C79868"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4D092B7B" w14:textId="4CEE8BC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7C255F52">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79B8C594" w:rsidP="799A1817" w:rsidRDefault="79B8C594" w14:paraId="32512CA5" w14:textId="28098741">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40C1A576" w:rsidP="799A1817" w:rsidRDefault="40C1A576" w14:paraId="1B5C9917" w14:textId="622ABAF1">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EEE4434" w14:textId="6247D22B">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AF6E68E" w14:textId="05ECBDC1">
            <w:pPr>
              <w:spacing w:after="0"/>
              <w:jc w:val="right"/>
            </w:pPr>
            <w:r w:rsidRPr="799A1817">
              <w:rPr>
                <w:rFonts w:ascii="Aptos Narrow" w:hAnsi="Aptos Narrow" w:eastAsia="Aptos Narrow" w:cs="Aptos Narrow"/>
                <w:color w:val="000000" w:themeColor="text1"/>
                <w:sz w:val="22"/>
                <w:szCs w:val="22"/>
              </w:rPr>
              <w:t>0.918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8BF5A4F" w14:textId="2B95A008">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1D3928E" w14:textId="1E8A9B28">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B952917" w14:textId="3A572CA8">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4EE76E38"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01A49F9" w14:textId="395216D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S</w:t>
            </w:r>
            <w:r w:rsidRPr="799A1817" w:rsidR="171AD221">
              <w:rPr>
                <w:rFonts w:ascii="Aptos Narrow" w:hAnsi="Aptos Narrow" w:eastAsia="Aptos Narrow" w:cs="Aptos Narrow"/>
                <w:color w:val="000000" w:themeColor="text1"/>
                <w:sz w:val="22"/>
                <w:szCs w:val="22"/>
              </w:rPr>
              <w:t>eagrass</w:t>
            </w:r>
          </w:p>
        </w:tc>
        <w:tc>
          <w:tcPr>
            <w:tcW w:w="1320" w:type="dxa"/>
            <w:tcBorders>
              <w:top w:val="nil"/>
              <w:left w:val="nil"/>
              <w:bottom w:val="nil"/>
              <w:right w:val="nil"/>
            </w:tcBorders>
            <w:tcMar>
              <w:top w:w="15" w:type="dxa"/>
              <w:left w:w="15" w:type="dxa"/>
              <w:right w:w="15" w:type="dxa"/>
            </w:tcMar>
            <w:vAlign w:val="bottom"/>
          </w:tcPr>
          <w:p w:rsidR="117F3FCA" w:rsidP="799A1817" w:rsidRDefault="117F3FCA" w14:paraId="7DB1349D" w14:textId="4713668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6FADC7A1" w:rsidP="799A1817" w:rsidRDefault="6FADC7A1" w14:paraId="4BD527B5" w14:textId="5B434C9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7A17B71" w14:textId="37590B0B">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A5AC663" w14:textId="3E5008AB">
            <w:pPr>
              <w:spacing w:after="0"/>
              <w:jc w:val="right"/>
            </w:pPr>
            <w:r w:rsidRPr="799A1817">
              <w:rPr>
                <w:rFonts w:ascii="Aptos Narrow" w:hAnsi="Aptos Narrow" w:eastAsia="Aptos Narrow" w:cs="Aptos Narrow"/>
                <w:color w:val="000000" w:themeColor="text1"/>
                <w:sz w:val="22"/>
                <w:szCs w:val="22"/>
              </w:rPr>
              <w:t>0.9212</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05AE770" w14:textId="60B7AE45">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3AD0971" w14:textId="5C9CC7BF">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306830A" w14:textId="3E0E6273">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63E86117"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6355A73A" w14:textId="4FB4E5BD">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399A7EEC" w:rsidP="799A1817" w:rsidRDefault="399A7EEC" w14:paraId="14F09F97" w14:textId="3BBEB633">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03D04D1A" w:rsidP="799A1817" w:rsidRDefault="03D04D1A" w14:paraId="1B4908F6" w14:textId="7AF168A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7199724B" w14:textId="124EC5A9">
            <w:pPr>
              <w:spacing w:after="0"/>
              <w:jc w:val="right"/>
            </w:pPr>
            <w:r w:rsidRPr="799A1817">
              <w:rPr>
                <w:rFonts w:ascii="Aptos Narrow" w:hAnsi="Aptos Narrow" w:eastAsia="Aptos Narrow" w:cs="Aptos Narrow"/>
                <w:color w:val="000000" w:themeColor="text1"/>
                <w:sz w:val="22"/>
                <w:szCs w:val="22"/>
              </w:rPr>
              <w:t>0.8982</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971F7DF" w14:textId="587BCF48">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232949F" w14:textId="6F7CBB0E">
            <w:pPr>
              <w:spacing w:after="0"/>
              <w:jc w:val="right"/>
            </w:pPr>
            <w:r w:rsidRPr="799A1817">
              <w:rPr>
                <w:rFonts w:ascii="Aptos Narrow" w:hAnsi="Aptos Narrow" w:eastAsia="Aptos Narrow" w:cs="Aptos Narrow"/>
                <w:color w:val="000000" w:themeColor="text1"/>
                <w:sz w:val="22"/>
                <w:szCs w:val="22"/>
              </w:rPr>
              <w:t>0.8979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A733EDD" w14:textId="3F72D263">
            <w:pPr>
              <w:spacing w:after="0"/>
              <w:jc w:val="right"/>
            </w:pPr>
            <w:r w:rsidRPr="799A1817">
              <w:rPr>
                <w:rFonts w:ascii="Aptos Narrow" w:hAnsi="Aptos Narrow" w:eastAsia="Aptos Narrow" w:cs="Aptos Narrow"/>
                <w:color w:val="000000" w:themeColor="text1"/>
                <w:sz w:val="22"/>
                <w:szCs w:val="22"/>
              </w:rPr>
              <w:t>0.8986</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4EDBC622" w14:textId="27CDDC4B">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02B1E12C"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C753F8A" w14:textId="433212E1">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2C10ED9E" w:rsidP="799A1817" w:rsidRDefault="2C10ED9E" w14:paraId="7A7C7931" w14:textId="655944C9">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2315BC7F" w:rsidP="799A1817" w:rsidRDefault="2315BC7F" w14:paraId="18F54B3F" w14:textId="56E71D83">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7EFFC278" w14:textId="6D55D2D0">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744DA259" w14:textId="76BC19B9">
            <w:pPr>
              <w:spacing w:after="0"/>
              <w:jc w:val="right"/>
            </w:pPr>
            <w:r w:rsidRPr="799A1817">
              <w:rPr>
                <w:rFonts w:ascii="Aptos Narrow" w:hAnsi="Aptos Narrow" w:eastAsia="Aptos Narrow" w:cs="Aptos Narrow"/>
                <w:color w:val="000000" w:themeColor="text1"/>
                <w:sz w:val="22"/>
                <w:szCs w:val="22"/>
              </w:rPr>
              <w:t>0.1178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333DED3" w14:textId="3FD699F4">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1B7DB86" w14:textId="66F1A517">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F85C539" w14:textId="71047834">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DEE190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60EB2E89" w14:textId="59E5481F">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08611C2C" w:rsidP="799A1817" w:rsidRDefault="08611C2C" w14:paraId="4DFF90F9" w14:textId="7EC90207">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B95E068" w:rsidP="799A1817" w:rsidRDefault="7B95E068" w14:paraId="1D2C5C87" w14:textId="08D1FA14">
            <w:pPr>
              <w:spacing w:after="0"/>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062DAD8" w14:textId="2F256EAC">
            <w:pPr>
              <w:spacing w:after="0"/>
              <w:jc w:val="right"/>
            </w:pPr>
            <w:r w:rsidRPr="799A1817">
              <w:rPr>
                <w:rFonts w:ascii="Aptos Narrow" w:hAnsi="Aptos Narrow" w:eastAsia="Aptos Narrow" w:cs="Aptos Narrow"/>
                <w:color w:val="000000" w:themeColor="text1"/>
                <w:sz w:val="22"/>
                <w:szCs w:val="22"/>
              </w:rPr>
              <w:t>0.9999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7425DE5C" w14:textId="5A9D4589">
            <w:pPr>
              <w:spacing w:after="0"/>
              <w:jc w:val="right"/>
            </w:pPr>
            <w:r w:rsidRPr="799A1817">
              <w:rPr>
                <w:rFonts w:ascii="Aptos Narrow" w:hAnsi="Aptos Narrow" w:eastAsia="Aptos Narrow" w:cs="Aptos Narrow"/>
                <w:color w:val="000000" w:themeColor="text1"/>
                <w:sz w:val="22"/>
                <w:szCs w:val="22"/>
              </w:rPr>
              <w:t>0.3562</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4FB7BF2" w14:textId="791701C4">
            <w:pPr>
              <w:spacing w:after="0"/>
              <w:jc w:val="right"/>
            </w:pPr>
            <w:r w:rsidRPr="799A1817">
              <w:rPr>
                <w:rFonts w:ascii="Aptos Narrow" w:hAnsi="Aptos Narrow" w:eastAsia="Aptos Narrow" w:cs="Aptos Narrow"/>
                <w:color w:val="000000" w:themeColor="text1"/>
                <w:sz w:val="22"/>
                <w:szCs w:val="22"/>
              </w:rPr>
              <w:t>0.9998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5B43E69" w14:textId="1D761DD5">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53202728" w14:textId="2BD5AF2A">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2DBD6A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ED0FE6C" w14:textId="2BA14F36">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028FC3C8" w14:textId="107553E5">
            <w:pPr>
              <w:spacing w:after="0"/>
            </w:pPr>
            <w:r w:rsidRPr="799A1817">
              <w:rPr>
                <w:rFonts w:ascii="Aptos Narrow" w:hAnsi="Aptos Narrow" w:eastAsia="Aptos Narrow" w:cs="Aptos Narrow"/>
                <w:color w:val="000000" w:themeColor="text1"/>
                <w:sz w:val="22"/>
                <w:szCs w:val="22"/>
              </w:rPr>
              <w:t>I</w:t>
            </w:r>
          </w:p>
        </w:tc>
        <w:tc>
          <w:tcPr>
            <w:tcW w:w="1822" w:type="dxa"/>
            <w:tcBorders>
              <w:top w:val="nil"/>
              <w:left w:val="nil"/>
              <w:bottom w:val="nil"/>
              <w:right w:val="nil"/>
            </w:tcBorders>
            <w:tcMar>
              <w:top w:w="15" w:type="dxa"/>
              <w:left w:w="15" w:type="dxa"/>
              <w:right w:w="15" w:type="dxa"/>
            </w:tcMar>
            <w:vAlign w:val="bottom"/>
          </w:tcPr>
          <w:p w:rsidR="3384846A" w:rsidP="799A1817" w:rsidRDefault="3384846A" w14:paraId="6CED0CEA" w14:textId="30DE45BC">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0B41E83" w14:textId="24366C69">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211ABC7D" w14:textId="72B2EA6A">
            <w:pPr>
              <w:spacing w:after="0"/>
              <w:jc w:val="right"/>
            </w:pPr>
            <w:r w:rsidRPr="799A1817">
              <w:rPr>
                <w:rFonts w:ascii="Aptos Narrow" w:hAnsi="Aptos Narrow" w:eastAsia="Aptos Narrow" w:cs="Aptos Narrow"/>
                <w:color w:val="000000" w:themeColor="text1"/>
                <w:sz w:val="22"/>
                <w:szCs w:val="22"/>
              </w:rPr>
              <w:t>0.7296</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CD11E21" w14:textId="2CD8D9B4">
            <w:pPr>
              <w:spacing w:after="0"/>
              <w:jc w:val="right"/>
            </w:pPr>
            <w:r w:rsidRPr="799A1817">
              <w:rPr>
                <w:rFonts w:ascii="Aptos Narrow" w:hAnsi="Aptos Narrow" w:eastAsia="Aptos Narrow" w:cs="Aptos Narrow"/>
                <w:color w:val="000000" w:themeColor="text1"/>
                <w:sz w:val="22"/>
                <w:szCs w:val="22"/>
              </w:rPr>
              <w:t>0.9999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E4038B3" w14:textId="3008B15F">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CC99BA8" w14:textId="7B9AAB6E">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32A37E8C"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E6CBCBC" w14:textId="231B1813">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0B529ACD" w:rsidP="799A1817" w:rsidRDefault="0B529ACD" w14:paraId="3FDE7554" w14:textId="58E6F58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4559741F" w:rsidP="799A1817" w:rsidRDefault="4559741F" w14:paraId="762ED4FC" w14:textId="17733A18">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0B1D510" w14:textId="0B3B3493">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38B9425" w14:textId="4F49826B">
            <w:pPr>
              <w:spacing w:after="0"/>
              <w:jc w:val="right"/>
            </w:pPr>
            <w:r w:rsidRPr="799A1817">
              <w:rPr>
                <w:rFonts w:ascii="Aptos Narrow" w:hAnsi="Aptos Narrow" w:eastAsia="Aptos Narrow" w:cs="Aptos Narrow"/>
                <w:color w:val="000000" w:themeColor="text1"/>
                <w:sz w:val="22"/>
                <w:szCs w:val="22"/>
              </w:rPr>
              <w:t>0.8048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A631921" w14:textId="324DCC79">
            <w:pPr>
              <w:spacing w:after="0"/>
              <w:jc w:val="right"/>
            </w:pPr>
            <w:r w:rsidRPr="799A1817">
              <w:rPr>
                <w:rFonts w:ascii="Aptos Narrow" w:hAnsi="Aptos Narrow" w:eastAsia="Aptos Narrow" w:cs="Aptos Narrow"/>
                <w:color w:val="000000" w:themeColor="text1"/>
                <w:sz w:val="22"/>
                <w:szCs w:val="22"/>
              </w:rPr>
              <w:t>0.9999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7D99036" w14:textId="5AD33BD3">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277BC392" w14:textId="488561CA">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7CAA36C9"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89D0BAD" w14:textId="6AE3FB85">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0B96C330" w:rsidP="799A1817" w:rsidRDefault="0B96C330" w14:paraId="62BAFA32" w14:textId="68FCA804">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243534EE" w:rsidP="799A1817" w:rsidRDefault="243534EE" w14:paraId="1F6D8190" w14:textId="5ACA5432">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B8B0847" w14:textId="460E2B2B">
            <w:pPr>
              <w:spacing w:after="0"/>
              <w:jc w:val="right"/>
            </w:pPr>
            <w:r w:rsidRPr="799A1817">
              <w:rPr>
                <w:rFonts w:ascii="Aptos Narrow" w:hAnsi="Aptos Narrow" w:eastAsia="Aptos Narrow" w:cs="Aptos Narrow"/>
                <w:color w:val="000000" w:themeColor="text1"/>
                <w:sz w:val="22"/>
                <w:szCs w:val="22"/>
              </w:rPr>
              <w:t>0.9915</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EDF1FC1" w14:textId="367968C7">
            <w:pPr>
              <w:spacing w:after="0"/>
              <w:jc w:val="right"/>
            </w:pPr>
            <w:r w:rsidRPr="799A1817">
              <w:rPr>
                <w:rFonts w:ascii="Aptos Narrow" w:hAnsi="Aptos Narrow" w:eastAsia="Aptos Narrow" w:cs="Aptos Narrow"/>
                <w:color w:val="000000" w:themeColor="text1"/>
                <w:sz w:val="22"/>
                <w:szCs w:val="22"/>
              </w:rPr>
              <w:t>0.8472</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E8FFD7A" w14:textId="01AA7F3A">
            <w:pPr>
              <w:spacing w:after="0"/>
              <w:jc w:val="right"/>
            </w:pPr>
            <w:r w:rsidRPr="799A1817">
              <w:rPr>
                <w:rFonts w:ascii="Aptos Narrow" w:hAnsi="Aptos Narrow" w:eastAsia="Aptos Narrow" w:cs="Aptos Narrow"/>
                <w:color w:val="000000" w:themeColor="text1"/>
                <w:sz w:val="22"/>
                <w:szCs w:val="22"/>
              </w:rPr>
              <w:t>0.9095</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5F8ECD4" w14:textId="6DE6FFE3">
            <w:pPr>
              <w:spacing w:after="0"/>
              <w:jc w:val="right"/>
            </w:pPr>
            <w:r w:rsidRPr="799A1817">
              <w:rPr>
                <w:rFonts w:ascii="Aptos Narrow" w:hAnsi="Aptos Narrow" w:eastAsia="Aptos Narrow" w:cs="Aptos Narrow"/>
                <w:color w:val="000000" w:themeColor="text1"/>
                <w:sz w:val="22"/>
                <w:szCs w:val="22"/>
              </w:rPr>
              <w:t>1.081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4A937708" w14:textId="0983C382">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615E58E4"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F2B2EDC" w14:textId="703039F3">
            <w:pPr>
              <w:spacing w:after="0"/>
            </w:pPr>
            <w:r w:rsidRPr="799A1817">
              <w:rPr>
                <w:rFonts w:ascii="Aptos Narrow" w:hAnsi="Aptos Narrow" w:eastAsia="Aptos Narrow" w:cs="Aptos Narrow"/>
                <w:color w:val="000000" w:themeColor="text1"/>
                <w:sz w:val="22"/>
                <w:szCs w:val="22"/>
              </w:rPr>
              <w:lastRenderedPageBreak/>
              <w:t>TF</w:t>
            </w:r>
          </w:p>
        </w:tc>
        <w:tc>
          <w:tcPr>
            <w:tcW w:w="1320" w:type="dxa"/>
            <w:tcBorders>
              <w:top w:val="nil"/>
              <w:left w:val="nil"/>
              <w:bottom w:val="nil"/>
              <w:right w:val="nil"/>
            </w:tcBorders>
            <w:tcMar>
              <w:top w:w="15" w:type="dxa"/>
              <w:left w:w="15" w:type="dxa"/>
              <w:right w:w="15" w:type="dxa"/>
            </w:tcMar>
            <w:vAlign w:val="bottom"/>
          </w:tcPr>
          <w:p w:rsidR="41EE078B" w:rsidP="799A1817" w:rsidRDefault="41EE078B" w14:paraId="1B3862DA" w14:textId="3D25F2E2">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291A6488" w:rsidP="799A1817" w:rsidRDefault="291A6488" w14:paraId="1C860C72" w14:textId="2C4C11FC">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52F7BCC" w14:textId="64EC51B9">
            <w:pPr>
              <w:spacing w:after="0"/>
              <w:jc w:val="right"/>
            </w:pPr>
            <w:r w:rsidRPr="799A1817">
              <w:rPr>
                <w:rFonts w:ascii="Aptos Narrow" w:hAnsi="Aptos Narrow" w:eastAsia="Aptos Narrow" w:cs="Aptos Narrow"/>
                <w:color w:val="000000" w:themeColor="text1"/>
                <w:sz w:val="22"/>
                <w:szCs w:val="22"/>
              </w:rPr>
              <w:t>0.9939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6C8977E4" w14:textId="2E217CA4">
            <w:pPr>
              <w:spacing w:after="0"/>
              <w:jc w:val="right"/>
            </w:pPr>
            <w:r w:rsidRPr="799A1817">
              <w:rPr>
                <w:rFonts w:ascii="Aptos Narrow" w:hAnsi="Aptos Narrow" w:eastAsia="Aptos Narrow" w:cs="Aptos Narrow"/>
                <w:color w:val="000000" w:themeColor="text1"/>
                <w:sz w:val="22"/>
                <w:szCs w:val="22"/>
              </w:rPr>
              <w:t>0.8886</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D52067B" w14:textId="5AA4EBF3">
            <w:pPr>
              <w:spacing w:after="0"/>
              <w:jc w:val="right"/>
            </w:pPr>
            <w:r w:rsidRPr="799A1817">
              <w:rPr>
                <w:rFonts w:ascii="Aptos Narrow" w:hAnsi="Aptos Narrow" w:eastAsia="Aptos Narrow" w:cs="Aptos Narrow"/>
                <w:color w:val="000000" w:themeColor="text1"/>
                <w:sz w:val="22"/>
                <w:szCs w:val="22"/>
              </w:rPr>
              <w:t>0.9123</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9196A1D" w14:textId="5374CFE0">
            <w:pPr>
              <w:spacing w:after="0"/>
              <w:jc w:val="right"/>
            </w:pPr>
            <w:r w:rsidRPr="799A1817">
              <w:rPr>
                <w:rFonts w:ascii="Aptos Narrow" w:hAnsi="Aptos Narrow" w:eastAsia="Aptos Narrow" w:cs="Aptos Narrow"/>
                <w:color w:val="000000" w:themeColor="text1"/>
                <w:sz w:val="22"/>
                <w:szCs w:val="22"/>
              </w:rPr>
              <w:t>1.0828</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F02DFC6" w14:textId="7BCE5E07">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7B9B10D6"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45E26411" w14:textId="158D7D83">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4E3B140F" w:rsidP="799A1817" w:rsidRDefault="4E3B140F" w14:paraId="0DBA51C2" w14:textId="46E54CA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2BC26A9A" w:rsidP="799A1817" w:rsidRDefault="2BC26A9A" w14:paraId="054DAD8C" w14:textId="6F34BB7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636A0C6" w14:textId="3DC9208C">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48C600B" w14:textId="6120410A">
            <w:pPr>
              <w:spacing w:after="0"/>
              <w:jc w:val="right"/>
            </w:pPr>
            <w:r w:rsidRPr="799A1817">
              <w:rPr>
                <w:rFonts w:ascii="Aptos Narrow" w:hAnsi="Aptos Narrow" w:eastAsia="Aptos Narrow" w:cs="Aptos Narrow"/>
                <w:color w:val="000000" w:themeColor="text1"/>
                <w:sz w:val="22"/>
                <w:szCs w:val="22"/>
              </w:rPr>
              <w:t>0.8966</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4B30816" w14:textId="24EB9747">
            <w:pPr>
              <w:spacing w:after="0"/>
              <w:jc w:val="right"/>
            </w:pPr>
            <w:r w:rsidRPr="799A1817">
              <w:rPr>
                <w:rFonts w:ascii="Aptos Narrow" w:hAnsi="Aptos Narrow" w:eastAsia="Aptos Narrow" w:cs="Aptos Narrow"/>
                <w:color w:val="000000" w:themeColor="text1"/>
                <w:sz w:val="22"/>
                <w:szCs w:val="22"/>
              </w:rPr>
              <w:t>0.9998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20381D5" w14:textId="45BF44D3">
            <w:pPr>
              <w:spacing w:after="0"/>
              <w:jc w:val="right"/>
            </w:pPr>
            <w:r w:rsidRPr="799A1817">
              <w:rPr>
                <w:rFonts w:ascii="Aptos Narrow" w:hAnsi="Aptos Narrow" w:eastAsia="Aptos Narrow" w:cs="Aptos Narrow"/>
                <w:color w:val="000000" w:themeColor="text1"/>
                <w:sz w:val="22"/>
                <w:szCs w:val="22"/>
              </w:rPr>
              <w:t>1.0002</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5ADBCEEF" w14:textId="646132CE">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42BEB251"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67F93236" w14:textId="0D66700F">
            <w:pPr>
              <w:spacing w:after="0"/>
            </w:pPr>
            <w:r w:rsidRPr="799A1817">
              <w:rPr>
                <w:rFonts w:ascii="Aptos Narrow" w:hAnsi="Aptos Narrow" w:eastAsia="Aptos Narrow" w:cs="Aptos Narrow"/>
                <w:color w:val="000000" w:themeColor="text1"/>
                <w:sz w:val="22"/>
                <w:szCs w:val="22"/>
              </w:rPr>
              <w:t>TF</w:t>
            </w:r>
          </w:p>
        </w:tc>
        <w:tc>
          <w:tcPr>
            <w:tcW w:w="1320" w:type="dxa"/>
            <w:tcBorders>
              <w:top w:val="nil"/>
              <w:left w:val="nil"/>
              <w:bottom w:val="nil"/>
              <w:right w:val="nil"/>
            </w:tcBorders>
            <w:tcMar>
              <w:top w:w="15" w:type="dxa"/>
              <w:left w:w="15" w:type="dxa"/>
              <w:right w:w="15" w:type="dxa"/>
            </w:tcMar>
            <w:vAlign w:val="bottom"/>
          </w:tcPr>
          <w:p w:rsidR="4740AAD3" w:rsidP="799A1817" w:rsidRDefault="4740AAD3" w14:paraId="5BE4E474" w14:textId="4C17A3AA">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09ACEEAE" w:rsidP="799A1817" w:rsidRDefault="09ACEEAE" w14:paraId="0F3C9944" w14:textId="30B4F34D">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3C9B4BBB" w14:textId="19634031">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6BA9B3CB" w14:textId="791B0909">
            <w:pPr>
              <w:spacing w:after="0"/>
              <w:jc w:val="right"/>
            </w:pPr>
            <w:r w:rsidRPr="799A1817">
              <w:rPr>
                <w:rFonts w:ascii="Aptos Narrow" w:hAnsi="Aptos Narrow" w:eastAsia="Aptos Narrow" w:cs="Aptos Narrow"/>
                <w:color w:val="000000" w:themeColor="text1"/>
                <w:sz w:val="22"/>
                <w:szCs w:val="22"/>
              </w:rPr>
              <w:t>0.9355</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2C1E6CD" w14:textId="4CA21030">
            <w:pPr>
              <w:spacing w:after="0"/>
              <w:jc w:val="right"/>
            </w:pPr>
            <w:r w:rsidRPr="799A1817">
              <w:rPr>
                <w:rFonts w:ascii="Aptos Narrow" w:hAnsi="Aptos Narrow" w:eastAsia="Aptos Narrow" w:cs="Aptos Narrow"/>
                <w:color w:val="000000" w:themeColor="text1"/>
                <w:sz w:val="22"/>
                <w:szCs w:val="22"/>
              </w:rPr>
              <w:t>0.9999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2C0DEDA" w14:textId="242F2A5C">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76192F36" w14:textId="5770D655">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00D4518F"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DBC8906" w14:textId="68F03EF9">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45762843" w:rsidP="799A1817" w:rsidRDefault="45762843" w14:paraId="52315965" w14:textId="226BE65E">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2CAA0E69" w:rsidP="799A1817" w:rsidRDefault="2CAA0E69" w14:paraId="424EC330" w14:textId="48DCBB12">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2B77C7A" w14:textId="28BA1937">
            <w:pPr>
              <w:spacing w:after="0"/>
              <w:jc w:val="right"/>
            </w:pPr>
            <w:r w:rsidRPr="799A1817">
              <w:rPr>
                <w:rFonts w:ascii="Aptos Narrow" w:hAnsi="Aptos Narrow" w:eastAsia="Aptos Narrow" w:cs="Aptos Narrow"/>
                <w:color w:val="000000" w:themeColor="text1"/>
                <w:sz w:val="22"/>
                <w:szCs w:val="22"/>
              </w:rPr>
              <w:t>0.8338</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3E7F147" w14:textId="2D6EFB3A">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1F90BE2" w14:textId="3E62039C">
            <w:pPr>
              <w:spacing w:after="0"/>
              <w:jc w:val="right"/>
            </w:pPr>
            <w:r w:rsidRPr="799A1817">
              <w:rPr>
                <w:rFonts w:ascii="Aptos Narrow" w:hAnsi="Aptos Narrow" w:eastAsia="Aptos Narrow" w:cs="Aptos Narrow"/>
                <w:color w:val="000000" w:themeColor="text1"/>
                <w:sz w:val="22"/>
                <w:szCs w:val="22"/>
              </w:rPr>
              <w:t>0.8337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27322EA" w14:textId="7C53C8D4">
            <w:pPr>
              <w:spacing w:after="0"/>
              <w:jc w:val="right"/>
            </w:pPr>
            <w:r w:rsidRPr="799A1817">
              <w:rPr>
                <w:rFonts w:ascii="Aptos Narrow" w:hAnsi="Aptos Narrow" w:eastAsia="Aptos Narrow" w:cs="Aptos Narrow"/>
                <w:color w:val="000000" w:themeColor="text1"/>
                <w:sz w:val="22"/>
                <w:szCs w:val="22"/>
              </w:rPr>
              <w:t>0.8339</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4802286B" w14:textId="62969BFB">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106F775D"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6DDF882" w14:textId="4037022E">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56CC3E1E" w:rsidP="799A1817" w:rsidRDefault="56CC3E1E" w14:paraId="3A5C3407" w14:textId="75CD3DB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4F7B27F7" w14:textId="410F58E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FC5C0E7" w14:textId="6CF0CF59">
            <w:pPr>
              <w:spacing w:after="0"/>
              <w:jc w:val="right"/>
            </w:pPr>
            <w:r w:rsidRPr="799A1817">
              <w:rPr>
                <w:rFonts w:ascii="Aptos Narrow" w:hAnsi="Aptos Narrow" w:eastAsia="Aptos Narrow" w:cs="Aptos Narrow"/>
                <w:color w:val="000000" w:themeColor="text1"/>
                <w:sz w:val="22"/>
                <w:szCs w:val="22"/>
              </w:rPr>
              <w:t>1.0002</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DA4FE1A" w14:textId="36E286FC">
            <w:pPr>
              <w:spacing w:after="0"/>
              <w:jc w:val="right"/>
            </w:pPr>
            <w:r w:rsidRPr="799A1817">
              <w:rPr>
                <w:rFonts w:ascii="Aptos Narrow" w:hAnsi="Aptos Narrow" w:eastAsia="Aptos Narrow" w:cs="Aptos Narrow"/>
                <w:color w:val="000000" w:themeColor="text1"/>
                <w:sz w:val="22"/>
                <w:szCs w:val="22"/>
              </w:rPr>
              <w:t>0</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995DDC2" w14:textId="790350B9">
            <w:pPr>
              <w:spacing w:after="0"/>
              <w:jc w:val="right"/>
            </w:pPr>
            <w:r w:rsidRPr="799A1817">
              <w:rPr>
                <w:rFonts w:ascii="Aptos Narrow" w:hAnsi="Aptos Narrow" w:eastAsia="Aptos Narrow" w:cs="Aptos Narrow"/>
                <w:color w:val="000000" w:themeColor="text1"/>
                <w:sz w:val="22"/>
                <w:szCs w:val="22"/>
              </w:rPr>
              <w:t>1.0001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E2FC4E3" w14:textId="52F0182F">
            <w:pPr>
              <w:spacing w:after="0"/>
              <w:jc w:val="right"/>
            </w:pPr>
            <w:r w:rsidRPr="799A1817">
              <w:rPr>
                <w:rFonts w:ascii="Aptos Narrow" w:hAnsi="Aptos Narrow" w:eastAsia="Aptos Narrow" w:cs="Aptos Narrow"/>
                <w:color w:val="000000" w:themeColor="text1"/>
                <w:sz w:val="22"/>
                <w:szCs w:val="22"/>
              </w:rPr>
              <w:t>1.0003</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A9D55B8" w14:textId="4FB2ECE3">
            <w:pPr>
              <w:spacing w:after="0"/>
              <w:jc w:val="center"/>
            </w:pPr>
            <w:r w:rsidRPr="799A1817">
              <w:rPr>
                <w:rFonts w:ascii="Aptos Narrow" w:hAnsi="Aptos Narrow" w:eastAsia="Aptos Narrow" w:cs="Aptos Narrow"/>
                <w:color w:val="000000" w:themeColor="text1"/>
                <w:sz w:val="22"/>
                <w:szCs w:val="22"/>
              </w:rPr>
              <w:t>TRUE</w:t>
            </w:r>
          </w:p>
        </w:tc>
      </w:tr>
      <w:tr w:rsidR="799A1817" w:rsidTr="799A1817" w14:paraId="09ACF5BE"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40E74FA" w14:textId="1FFC94D7">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26D71A78" w:rsidP="799A1817" w:rsidRDefault="26D71A78" w14:paraId="1FD05D22" w14:textId="1A465DF6">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2218F3D3" w:rsidP="799A1817" w:rsidRDefault="2218F3D3" w14:paraId="4A6F2976" w14:textId="7843043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9502630" w14:textId="27DFB696">
            <w:pPr>
              <w:spacing w:after="0"/>
              <w:jc w:val="right"/>
            </w:pPr>
            <w:r w:rsidRPr="799A1817">
              <w:rPr>
                <w:rFonts w:ascii="Aptos Narrow" w:hAnsi="Aptos Narrow" w:eastAsia="Aptos Narrow" w:cs="Aptos Narrow"/>
                <w:color w:val="000000" w:themeColor="text1"/>
                <w:sz w:val="22"/>
                <w:szCs w:val="22"/>
              </w:rPr>
              <w:t>1.0001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5AFD1AA" w14:textId="1ADCC549">
            <w:pPr>
              <w:spacing w:after="0"/>
              <w:jc w:val="right"/>
            </w:pPr>
            <w:r w:rsidRPr="799A1817">
              <w:rPr>
                <w:rFonts w:ascii="Aptos Narrow" w:hAnsi="Aptos Narrow" w:eastAsia="Aptos Narrow" w:cs="Aptos Narrow"/>
                <w:color w:val="000000" w:themeColor="text1"/>
                <w:sz w:val="22"/>
                <w:szCs w:val="22"/>
              </w:rPr>
              <w:t>0.0546</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FD0BCE3" w14:textId="5C5BAD5A">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18F6308" w14:textId="237B0B0C">
            <w:pPr>
              <w:spacing w:after="0"/>
              <w:jc w:val="right"/>
            </w:pPr>
            <w:r w:rsidRPr="799A1817">
              <w:rPr>
                <w:rFonts w:ascii="Aptos Narrow" w:hAnsi="Aptos Narrow" w:eastAsia="Aptos Narrow" w:cs="Aptos Narrow"/>
                <w:color w:val="000000" w:themeColor="text1"/>
                <w:sz w:val="22"/>
                <w:szCs w:val="22"/>
              </w:rPr>
              <w:t>1.0002</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431B182" w14:textId="25306197">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34C2CB20"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6455FD4D" w14:textId="35CA6120">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68F5339C" w:rsidP="799A1817" w:rsidRDefault="68F5339C" w14:paraId="26456C95" w14:textId="474EC630">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769951A9" w:rsidP="799A1817" w:rsidRDefault="769951A9" w14:paraId="7900E100" w14:textId="56503F07">
            <w:pPr>
              <w:spacing w:after="0"/>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392F755" w14:textId="5FB100E7">
            <w:pPr>
              <w:spacing w:after="0"/>
              <w:jc w:val="right"/>
            </w:pPr>
            <w:r w:rsidRPr="799A1817">
              <w:rPr>
                <w:rFonts w:ascii="Aptos Narrow" w:hAnsi="Aptos Narrow" w:eastAsia="Aptos Narrow" w:cs="Aptos Narrow"/>
                <w:color w:val="000000" w:themeColor="text1"/>
                <w:sz w:val="22"/>
                <w:szCs w:val="22"/>
              </w:rPr>
              <w:t>0.9998</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3C271363" w14:textId="40BE4743">
            <w:pPr>
              <w:spacing w:after="0"/>
              <w:jc w:val="right"/>
            </w:pPr>
            <w:r w:rsidRPr="799A1817">
              <w:rPr>
                <w:rFonts w:ascii="Aptos Narrow" w:hAnsi="Aptos Narrow" w:eastAsia="Aptos Narrow" w:cs="Aptos Narrow"/>
                <w:color w:val="000000" w:themeColor="text1"/>
                <w:sz w:val="22"/>
                <w:szCs w:val="22"/>
              </w:rPr>
              <w:t>0.1157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D479AF5" w14:textId="59DE11FB">
            <w:pPr>
              <w:spacing w:after="0"/>
              <w:jc w:val="right"/>
            </w:pPr>
            <w:r w:rsidRPr="799A1817">
              <w:rPr>
                <w:rFonts w:ascii="Aptos Narrow" w:hAnsi="Aptos Narrow" w:eastAsia="Aptos Narrow" w:cs="Aptos Narrow"/>
                <w:color w:val="000000" w:themeColor="text1"/>
                <w:sz w:val="22"/>
                <w:szCs w:val="22"/>
              </w:rPr>
              <w:t>0.9996</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7A42EAE" w14:textId="132C3526">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97745CC" w14:textId="721AE804">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20273C45"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1B9E8BD4" w14:textId="272C8DB5">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22C571B2" w:rsidP="799A1817" w:rsidRDefault="22C571B2" w14:paraId="3BE25011" w14:textId="5A7E5C3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O</w:t>
            </w:r>
          </w:p>
        </w:tc>
        <w:tc>
          <w:tcPr>
            <w:tcW w:w="1822" w:type="dxa"/>
            <w:tcBorders>
              <w:top w:val="nil"/>
              <w:left w:val="nil"/>
              <w:bottom w:val="nil"/>
              <w:right w:val="nil"/>
            </w:tcBorders>
            <w:tcMar>
              <w:top w:w="15" w:type="dxa"/>
              <w:left w:w="15" w:type="dxa"/>
              <w:right w:w="15" w:type="dxa"/>
            </w:tcMar>
            <w:vAlign w:val="bottom"/>
          </w:tcPr>
          <w:p w:rsidR="163DF056" w:rsidP="799A1817" w:rsidRDefault="163DF056" w14:paraId="708925D0" w14:textId="59885C3C">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439C0A0B" w14:textId="65397E27">
            <w:pPr>
              <w:spacing w:after="0"/>
              <w:jc w:val="right"/>
            </w:pPr>
            <w:r w:rsidRPr="799A1817">
              <w:rPr>
                <w:rFonts w:ascii="Aptos Narrow" w:hAnsi="Aptos Narrow" w:eastAsia="Aptos Narrow" w:cs="Aptos Narrow"/>
                <w:color w:val="000000" w:themeColor="text1"/>
                <w:sz w:val="22"/>
                <w:szCs w:val="22"/>
              </w:rPr>
              <w:t>1.0001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43DC9FF" w14:textId="3DF5A86B">
            <w:pPr>
              <w:spacing w:after="0"/>
              <w:jc w:val="right"/>
            </w:pPr>
            <w:r w:rsidRPr="799A1817">
              <w:rPr>
                <w:rFonts w:ascii="Aptos Narrow" w:hAnsi="Aptos Narrow" w:eastAsia="Aptos Narrow" w:cs="Aptos Narrow"/>
                <w:color w:val="000000" w:themeColor="text1"/>
                <w:sz w:val="22"/>
                <w:szCs w:val="22"/>
              </w:rPr>
              <w:t>0.1797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A4EE68C" w14:textId="0046654D">
            <w:pPr>
              <w:spacing w:after="0"/>
              <w:jc w:val="right"/>
            </w:pPr>
            <w:r w:rsidRPr="799A1817">
              <w:rPr>
                <w:rFonts w:ascii="Aptos Narrow" w:hAnsi="Aptos Narrow" w:eastAsia="Aptos Narrow" w:cs="Aptos Narrow"/>
                <w:color w:val="000000" w:themeColor="text1"/>
                <w:sz w:val="22"/>
                <w:szCs w:val="22"/>
              </w:rPr>
              <w:t>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B1CD873" w14:textId="7C477804">
            <w:pPr>
              <w:spacing w:after="0"/>
              <w:jc w:val="right"/>
            </w:pPr>
            <w:r w:rsidRPr="799A1817">
              <w:rPr>
                <w:rFonts w:ascii="Aptos Narrow" w:hAnsi="Aptos Narrow" w:eastAsia="Aptos Narrow" w:cs="Aptos Narrow"/>
                <w:color w:val="000000" w:themeColor="text1"/>
                <w:sz w:val="22"/>
                <w:szCs w:val="22"/>
              </w:rPr>
              <w:t>1.0001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A0FE86D" w14:textId="1857BB62">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2B7F2280"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40A7C0C6" w14:textId="48351300">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0624F797" w:rsidP="799A1817" w:rsidRDefault="0624F797" w14:paraId="5ADDBC88" w14:textId="170EB66D">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4F0BF6EF" w:rsidP="799A1817" w:rsidRDefault="4F0BF6EF" w14:paraId="7EDE1815" w14:textId="15EC898B">
            <w:pPr>
              <w:spacing w:after="0"/>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578D7DE8" w14:textId="60FA1902">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7BDD5606" w14:textId="1D35CDE8">
            <w:pPr>
              <w:spacing w:after="0"/>
              <w:jc w:val="right"/>
            </w:pPr>
            <w:r w:rsidRPr="799A1817">
              <w:rPr>
                <w:rFonts w:ascii="Aptos Narrow" w:hAnsi="Aptos Narrow" w:eastAsia="Aptos Narrow" w:cs="Aptos Narrow"/>
                <w:color w:val="000000" w:themeColor="text1"/>
                <w:sz w:val="22"/>
                <w:szCs w:val="22"/>
              </w:rPr>
              <w:t>0.2398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352CE3B" w14:textId="2520C53A">
            <w:pPr>
              <w:spacing w:after="0"/>
              <w:jc w:val="right"/>
            </w:pPr>
            <w:r w:rsidRPr="799A1817">
              <w:rPr>
                <w:rFonts w:ascii="Aptos Narrow" w:hAnsi="Aptos Narrow" w:eastAsia="Aptos Narrow" w:cs="Aptos Narrow"/>
                <w:color w:val="000000" w:themeColor="text1"/>
                <w:sz w:val="22"/>
                <w:szCs w:val="22"/>
              </w:rPr>
              <w:t>0.9999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12BDBE6" w14:textId="44376CB0">
            <w:pPr>
              <w:spacing w:after="0"/>
              <w:jc w:val="right"/>
            </w:pPr>
            <w:r w:rsidRPr="799A1817">
              <w:rPr>
                <w:rFonts w:ascii="Aptos Narrow" w:hAnsi="Aptos Narrow" w:eastAsia="Aptos Narrow" w:cs="Aptos Narrow"/>
                <w:color w:val="000000" w:themeColor="text1"/>
                <w:sz w:val="22"/>
                <w:szCs w:val="22"/>
              </w:rPr>
              <w:t>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A764B48" w14:textId="7DC8457F">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0E0A850B"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4FC8832" w14:textId="72A03C71">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4FAB34CE" w:rsidP="799A1817" w:rsidRDefault="4FAB34CE" w14:paraId="2E0EE078" w14:textId="64BA53A9">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45CAD8AC" w14:textId="4B4EA360">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959AE40" w14:textId="502680D7">
            <w:pPr>
              <w:spacing w:after="0"/>
              <w:jc w:val="right"/>
            </w:pPr>
            <w:r w:rsidRPr="799A1817">
              <w:rPr>
                <w:rFonts w:ascii="Aptos Narrow" w:hAnsi="Aptos Narrow" w:eastAsia="Aptos Narrow" w:cs="Aptos Narrow"/>
                <w:color w:val="000000" w:themeColor="text1"/>
                <w:sz w:val="22"/>
                <w:szCs w:val="22"/>
              </w:rPr>
              <w:t>0.9997</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D294639" w14:textId="0AF23006">
            <w:pPr>
              <w:spacing w:after="0"/>
              <w:jc w:val="right"/>
            </w:pPr>
            <w:r w:rsidRPr="799A1817">
              <w:rPr>
                <w:rFonts w:ascii="Aptos Narrow" w:hAnsi="Aptos Narrow" w:eastAsia="Aptos Narrow" w:cs="Aptos Narrow"/>
                <w:color w:val="000000" w:themeColor="text1"/>
                <w:sz w:val="22"/>
                <w:szCs w:val="22"/>
              </w:rPr>
              <w:t>0.3787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5431C8D" w14:textId="15029656">
            <w:pPr>
              <w:spacing w:after="0"/>
              <w:jc w:val="right"/>
            </w:pPr>
            <w:r w:rsidRPr="799A1817">
              <w:rPr>
                <w:rFonts w:ascii="Aptos Narrow" w:hAnsi="Aptos Narrow" w:eastAsia="Aptos Narrow" w:cs="Aptos Narrow"/>
                <w:color w:val="000000" w:themeColor="text1"/>
                <w:sz w:val="22"/>
                <w:szCs w:val="22"/>
              </w:rPr>
              <w:t>0.9991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A3E1E35" w14:textId="017D8C4A">
            <w:pPr>
              <w:spacing w:after="0"/>
              <w:jc w:val="right"/>
            </w:pPr>
            <w:r w:rsidRPr="799A1817">
              <w:rPr>
                <w:rFonts w:ascii="Aptos Narrow" w:hAnsi="Aptos Narrow" w:eastAsia="Aptos Narrow" w:cs="Aptos Narrow"/>
                <w:color w:val="000000" w:themeColor="text1"/>
                <w:sz w:val="22"/>
                <w:szCs w:val="22"/>
              </w:rPr>
              <w:t>1.0003</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2E03DE4" w14:textId="79AC0CF3">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08CC47BC"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2E288CA1" w14:textId="1B0DFC64">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611F4103" w:rsidP="799A1817" w:rsidRDefault="611F4103" w14:paraId="38739E04" w14:textId="6A29120D">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03DABF43" w14:textId="1558DF5C">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9C70B06" w14:textId="77B7978C">
            <w:pPr>
              <w:spacing w:after="0"/>
              <w:jc w:val="right"/>
            </w:pPr>
            <w:r w:rsidRPr="799A1817">
              <w:rPr>
                <w:rFonts w:ascii="Aptos Narrow" w:hAnsi="Aptos Narrow" w:eastAsia="Aptos Narrow" w:cs="Aptos Narrow"/>
                <w:color w:val="000000" w:themeColor="text1"/>
                <w:sz w:val="22"/>
                <w:szCs w:val="22"/>
              </w:rPr>
              <w:t>0.9998</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504A8650" w14:textId="651F460C">
            <w:pPr>
              <w:spacing w:after="0"/>
              <w:jc w:val="right"/>
            </w:pPr>
            <w:r w:rsidRPr="799A1817">
              <w:rPr>
                <w:rFonts w:ascii="Aptos Narrow" w:hAnsi="Aptos Narrow" w:eastAsia="Aptos Narrow" w:cs="Aptos Narrow"/>
                <w:color w:val="000000" w:themeColor="text1"/>
                <w:sz w:val="22"/>
                <w:szCs w:val="22"/>
              </w:rPr>
              <w:t>0.6543</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2D6C5815" w14:textId="4F912DDF">
            <w:pPr>
              <w:spacing w:after="0"/>
              <w:jc w:val="right"/>
            </w:pPr>
            <w:r w:rsidRPr="799A1817">
              <w:rPr>
                <w:rFonts w:ascii="Aptos Narrow" w:hAnsi="Aptos Narrow" w:eastAsia="Aptos Narrow" w:cs="Aptos Narrow"/>
                <w:color w:val="000000" w:themeColor="text1"/>
                <w:sz w:val="22"/>
                <w:szCs w:val="22"/>
              </w:rPr>
              <w:t>0.9987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070DDD8" w14:textId="07A7700B">
            <w:pPr>
              <w:spacing w:after="0"/>
              <w:jc w:val="right"/>
            </w:pPr>
            <w:r w:rsidRPr="799A1817">
              <w:rPr>
                <w:rFonts w:ascii="Aptos Narrow" w:hAnsi="Aptos Narrow" w:eastAsia="Aptos Narrow" w:cs="Aptos Narrow"/>
                <w:color w:val="000000" w:themeColor="text1"/>
                <w:sz w:val="22"/>
                <w:szCs w:val="22"/>
              </w:rPr>
              <w:t>1.0008</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61185230" w14:textId="36613DAE">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4C8E3CD"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1EF65C3C" w14:textId="04019CA2">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5A9327B2" w:rsidP="799A1817" w:rsidRDefault="5A9327B2" w14:paraId="4B7E6567" w14:textId="0360D4D7">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48E80B4F" w:rsidP="799A1817" w:rsidRDefault="48E80B4F" w14:paraId="054AE8DE" w14:textId="6DDB2DB2">
            <w:pPr>
              <w:spacing w:after="0"/>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43502C1F" w14:textId="0141EAFB">
            <w:pPr>
              <w:spacing w:after="0"/>
              <w:jc w:val="right"/>
            </w:pPr>
            <w:r w:rsidRPr="799A1817">
              <w:rPr>
                <w:rFonts w:ascii="Aptos Narrow" w:hAnsi="Aptos Narrow" w:eastAsia="Aptos Narrow" w:cs="Aptos Narrow"/>
                <w:color w:val="000000" w:themeColor="text1"/>
                <w:sz w:val="22"/>
                <w:szCs w:val="22"/>
              </w:rPr>
              <w:t>0.9978</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4A6B8AFD" w14:textId="42158977">
            <w:pPr>
              <w:spacing w:after="0"/>
              <w:jc w:val="right"/>
            </w:pPr>
            <w:r w:rsidRPr="799A1817">
              <w:rPr>
                <w:rFonts w:ascii="Aptos Narrow" w:hAnsi="Aptos Narrow" w:eastAsia="Aptos Narrow" w:cs="Aptos Narrow"/>
                <w:color w:val="000000" w:themeColor="text1"/>
                <w:sz w:val="22"/>
                <w:szCs w:val="22"/>
              </w:rPr>
              <w:t>0.6817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5C6A529" w14:textId="3D9C1578">
            <w:pPr>
              <w:spacing w:after="0"/>
              <w:jc w:val="right"/>
            </w:pPr>
            <w:r w:rsidRPr="799A1817">
              <w:rPr>
                <w:rFonts w:ascii="Aptos Narrow" w:hAnsi="Aptos Narrow" w:eastAsia="Aptos Narrow" w:cs="Aptos Narrow"/>
                <w:color w:val="000000" w:themeColor="text1"/>
                <w:sz w:val="22"/>
                <w:szCs w:val="22"/>
              </w:rPr>
              <w:t>0.9874</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180065B" w14:textId="5A737108">
            <w:pPr>
              <w:spacing w:after="0"/>
              <w:jc w:val="right"/>
            </w:pPr>
            <w:r w:rsidRPr="799A1817">
              <w:rPr>
                <w:rFonts w:ascii="Aptos Narrow" w:hAnsi="Aptos Narrow" w:eastAsia="Aptos Narrow" w:cs="Aptos Narrow"/>
                <w:color w:val="000000" w:themeColor="text1"/>
                <w:sz w:val="22"/>
                <w:szCs w:val="22"/>
              </w:rPr>
              <w:t>1.0083</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247EAEC3" w14:textId="01805EC5">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422F0573"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67E5D0D5" w14:textId="4C845D2E">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595421B8" w:rsidP="799A1817" w:rsidRDefault="595421B8" w14:paraId="02B17423" w14:textId="4FF69D02">
            <w:pPr>
              <w:spacing w:after="0"/>
            </w:pPr>
            <w:r w:rsidRPr="799A1817">
              <w:rPr>
                <w:rFonts w:ascii="Aptos Narrow" w:hAnsi="Aptos Narrow" w:eastAsia="Aptos Narrow" w:cs="Aptos Narrow"/>
                <w:color w:val="000000" w:themeColor="text1"/>
                <w:sz w:val="22"/>
                <w:szCs w:val="22"/>
              </w:rPr>
              <w:t>M</w:t>
            </w:r>
            <w:r w:rsidRPr="799A1817" w:rsid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5D409AF" w:rsidP="799A1817" w:rsidRDefault="75D409AF" w14:paraId="331EA69D" w14:textId="57C49B09">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0BA11BB6" w14:textId="6A8303D2">
            <w:pPr>
              <w:spacing w:after="0"/>
              <w:jc w:val="right"/>
            </w:pPr>
            <w:r w:rsidRPr="799A1817">
              <w:rPr>
                <w:rFonts w:ascii="Aptos Narrow" w:hAnsi="Aptos Narrow" w:eastAsia="Aptos Narrow" w:cs="Aptos Narrow"/>
                <w:color w:val="000000" w:themeColor="text1"/>
                <w:sz w:val="22"/>
                <w:szCs w:val="22"/>
              </w:rPr>
              <w:t>1.0011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42F9C4E3" w14:textId="7D41A2E4">
            <w:pPr>
              <w:spacing w:after="0"/>
              <w:jc w:val="right"/>
            </w:pPr>
            <w:r w:rsidRPr="799A1817">
              <w:rPr>
                <w:rFonts w:ascii="Aptos Narrow" w:hAnsi="Aptos Narrow" w:eastAsia="Aptos Narrow" w:cs="Aptos Narrow"/>
                <w:color w:val="000000" w:themeColor="text1"/>
                <w:sz w:val="22"/>
                <w:szCs w:val="22"/>
              </w:rPr>
              <w:t>0.7511</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0771CB0" w14:textId="2E411C2E">
            <w:pPr>
              <w:spacing w:after="0"/>
              <w:jc w:val="right"/>
            </w:pPr>
            <w:r w:rsidRPr="799A1817">
              <w:rPr>
                <w:rFonts w:ascii="Aptos Narrow" w:hAnsi="Aptos Narrow" w:eastAsia="Aptos Narrow" w:cs="Aptos Narrow"/>
                <w:color w:val="000000" w:themeColor="text1"/>
                <w:sz w:val="22"/>
                <w:szCs w:val="22"/>
              </w:rPr>
              <w:t>0.9943</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1485B89" w14:textId="1D23CF32">
            <w:pPr>
              <w:spacing w:after="0"/>
              <w:jc w:val="right"/>
            </w:pPr>
            <w:r w:rsidRPr="799A1817">
              <w:rPr>
                <w:rFonts w:ascii="Aptos Narrow" w:hAnsi="Aptos Narrow" w:eastAsia="Aptos Narrow" w:cs="Aptos Narrow"/>
                <w:color w:val="000000" w:themeColor="text1"/>
                <w:sz w:val="22"/>
                <w:szCs w:val="22"/>
              </w:rPr>
              <w:t>1.0079</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611D4B0" w14:textId="5B3AE44D">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1C49D41A"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A5CB477" w14:textId="7F733D1D">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5B51BFC8" w:rsidP="799A1817" w:rsidRDefault="5B51BFC8" w14:paraId="0A62FD56" w14:textId="5A0B31E3">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2FC614E3" w:rsidP="799A1817" w:rsidRDefault="2FC614E3" w14:paraId="7771111A" w14:textId="5B025FDB">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2692638" w14:textId="1EDAA976">
            <w:pPr>
              <w:spacing w:after="0"/>
              <w:jc w:val="right"/>
            </w:pPr>
            <w:r w:rsidRPr="799A1817">
              <w:rPr>
                <w:rFonts w:ascii="Aptos Narrow" w:hAnsi="Aptos Narrow" w:eastAsia="Aptos Narrow" w:cs="Aptos Narrow"/>
                <w:color w:val="000000" w:themeColor="text1"/>
                <w:sz w:val="22"/>
                <w:szCs w:val="22"/>
              </w:rPr>
              <w:t>0.9896</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00F84ABB" w14:textId="28BE7C91">
            <w:pPr>
              <w:spacing w:after="0"/>
              <w:jc w:val="right"/>
            </w:pPr>
            <w:r w:rsidRPr="799A1817">
              <w:rPr>
                <w:rFonts w:ascii="Aptos Narrow" w:hAnsi="Aptos Narrow" w:eastAsia="Aptos Narrow" w:cs="Aptos Narrow"/>
                <w:color w:val="000000" w:themeColor="text1"/>
                <w:sz w:val="22"/>
                <w:szCs w:val="22"/>
              </w:rPr>
              <w:t>0.8038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DAC1AFD" w14:textId="4865A25E">
            <w:pPr>
              <w:spacing w:after="0"/>
              <w:jc w:val="right"/>
            </w:pPr>
            <w:r w:rsidRPr="799A1817">
              <w:rPr>
                <w:rFonts w:ascii="Aptos Narrow" w:hAnsi="Aptos Narrow" w:eastAsia="Aptos Narrow" w:cs="Aptos Narrow"/>
                <w:color w:val="000000" w:themeColor="text1"/>
                <w:sz w:val="22"/>
                <w:szCs w:val="22"/>
              </w:rPr>
              <w:t>0.9112</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936DB77" w14:textId="6318879F">
            <w:pPr>
              <w:spacing w:after="0"/>
              <w:jc w:val="right"/>
            </w:pPr>
            <w:r w:rsidRPr="799A1817">
              <w:rPr>
                <w:rFonts w:ascii="Aptos Narrow" w:hAnsi="Aptos Narrow" w:eastAsia="Aptos Narrow" w:cs="Aptos Narrow"/>
                <w:color w:val="000000" w:themeColor="text1"/>
                <w:sz w:val="22"/>
                <w:szCs w:val="22"/>
              </w:rPr>
              <w:t>1.0747</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5521C4AA" w14:textId="2F5924BE">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26FB75D6"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FE9BF99" w14:textId="1889A882">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00B47A5C" w14:textId="37CE31B4">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50625D09" w:rsidP="799A1817" w:rsidRDefault="50625D09" w14:paraId="6566D0D1" w14:textId="0940CEE1">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 xml:space="preserve">Intertidal </w:t>
            </w:r>
            <w:r w:rsidRPr="799A1817" w:rsidR="799A1817">
              <w:rPr>
                <w:rFonts w:ascii="Aptos Narrow" w:hAnsi="Aptos Narrow" w:eastAsia="Aptos Narrow" w:cs="Aptos Narrow"/>
                <w:color w:val="000000" w:themeColor="text1"/>
                <w:sz w:val="22"/>
                <w:szCs w:val="22"/>
              </w:rPr>
              <w:t>Loss</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1B2B499" w14:textId="500C4163">
            <w:pPr>
              <w:spacing w:after="0"/>
              <w:jc w:val="right"/>
            </w:pPr>
            <w:r w:rsidRPr="799A1817">
              <w:rPr>
                <w:rFonts w:ascii="Aptos Narrow" w:hAnsi="Aptos Narrow" w:eastAsia="Aptos Narrow" w:cs="Aptos Narrow"/>
                <w:color w:val="000000" w:themeColor="text1"/>
                <w:sz w:val="22"/>
                <w:szCs w:val="22"/>
              </w:rPr>
              <w:t>0.9925</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9025675" w14:textId="6C507053">
            <w:pPr>
              <w:spacing w:after="0"/>
              <w:jc w:val="right"/>
            </w:pPr>
            <w:r w:rsidRPr="799A1817">
              <w:rPr>
                <w:rFonts w:ascii="Aptos Narrow" w:hAnsi="Aptos Narrow" w:eastAsia="Aptos Narrow" w:cs="Aptos Narrow"/>
                <w:color w:val="000000" w:themeColor="text1"/>
                <w:sz w:val="22"/>
                <w:szCs w:val="22"/>
              </w:rPr>
              <w:t>0.8065</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BA55755" w14:textId="1F1CDBFE">
            <w:pPr>
              <w:spacing w:after="0"/>
              <w:jc w:val="right"/>
            </w:pPr>
            <w:r w:rsidRPr="799A1817">
              <w:rPr>
                <w:rFonts w:ascii="Aptos Narrow" w:hAnsi="Aptos Narrow" w:eastAsia="Aptos Narrow" w:cs="Aptos Narrow"/>
                <w:color w:val="000000" w:themeColor="text1"/>
                <w:sz w:val="22"/>
                <w:szCs w:val="22"/>
              </w:rPr>
              <w:t>0.9348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487A8803" w14:textId="7F7DB32A">
            <w:pPr>
              <w:spacing w:after="0"/>
              <w:jc w:val="right"/>
            </w:pPr>
            <w:r w:rsidRPr="799A1817">
              <w:rPr>
                <w:rFonts w:ascii="Aptos Narrow" w:hAnsi="Aptos Narrow" w:eastAsia="Aptos Narrow" w:cs="Aptos Narrow"/>
                <w:color w:val="000000" w:themeColor="text1"/>
                <w:sz w:val="22"/>
                <w:szCs w:val="22"/>
              </w:rPr>
              <w:t>1.0538</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B0FDFAF" w14:textId="6732415A">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447D6875"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EC82C34" w14:textId="0FD53332">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5A7FE551" w14:textId="71921517">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58450788" w:rsidP="799A1817" w:rsidRDefault="58450788" w14:paraId="6B1B0889" w14:textId="73C75CF6">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4EA0F5B2" w14:textId="16362588">
            <w:pPr>
              <w:spacing w:after="0"/>
              <w:jc w:val="right"/>
            </w:pPr>
            <w:r w:rsidRPr="799A1817">
              <w:rPr>
                <w:rFonts w:ascii="Aptos Narrow" w:hAnsi="Aptos Narrow" w:eastAsia="Aptos Narrow" w:cs="Aptos Narrow"/>
                <w:color w:val="000000" w:themeColor="text1"/>
                <w:sz w:val="22"/>
                <w:szCs w:val="22"/>
              </w:rPr>
              <w:t>0.9999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73EB0B2E" w14:textId="0845E366">
            <w:pPr>
              <w:spacing w:after="0"/>
              <w:jc w:val="right"/>
            </w:pPr>
            <w:r w:rsidRPr="799A1817">
              <w:rPr>
                <w:rFonts w:ascii="Aptos Narrow" w:hAnsi="Aptos Narrow" w:eastAsia="Aptos Narrow" w:cs="Aptos Narrow"/>
                <w:color w:val="000000" w:themeColor="text1"/>
                <w:sz w:val="22"/>
                <w:szCs w:val="22"/>
              </w:rPr>
              <w:t>0.8523</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0417BBE3" w14:textId="36CDECA6">
            <w:pPr>
              <w:spacing w:after="0"/>
              <w:jc w:val="right"/>
            </w:pPr>
            <w:r w:rsidRPr="799A1817">
              <w:rPr>
                <w:rFonts w:ascii="Aptos Narrow" w:hAnsi="Aptos Narrow" w:eastAsia="Aptos Narrow" w:cs="Aptos Narrow"/>
                <w:color w:val="000000" w:themeColor="text1"/>
                <w:sz w:val="22"/>
                <w:szCs w:val="22"/>
              </w:rPr>
              <w:t>0.9992</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A4462AA" w14:textId="49321DC6">
            <w:pPr>
              <w:spacing w:after="0"/>
              <w:jc w:val="right"/>
            </w:pPr>
            <w:r w:rsidRPr="799A1817">
              <w:rPr>
                <w:rFonts w:ascii="Aptos Narrow" w:hAnsi="Aptos Narrow" w:eastAsia="Aptos Narrow" w:cs="Aptos Narrow"/>
                <w:color w:val="000000" w:themeColor="text1"/>
                <w:sz w:val="22"/>
                <w:szCs w:val="22"/>
              </w:rPr>
              <w:t>1.0007</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1824E939" w14:textId="5386EB72">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3EF7F243"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0AC70DA3" w14:textId="39303408">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3F0450D7" w:rsidP="799A1817" w:rsidRDefault="3F0450D7" w14:paraId="675A6631" w14:textId="7848EE32">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M</w:t>
            </w:r>
          </w:p>
        </w:tc>
        <w:tc>
          <w:tcPr>
            <w:tcW w:w="1822" w:type="dxa"/>
            <w:tcBorders>
              <w:top w:val="nil"/>
              <w:left w:val="nil"/>
              <w:bottom w:val="nil"/>
              <w:right w:val="nil"/>
            </w:tcBorders>
            <w:tcMar>
              <w:top w:w="15" w:type="dxa"/>
              <w:left w:w="15" w:type="dxa"/>
              <w:right w:w="15" w:type="dxa"/>
            </w:tcMar>
            <w:vAlign w:val="bottom"/>
          </w:tcPr>
          <w:p w:rsidR="38C7E70A" w:rsidP="799A1817" w:rsidRDefault="38C7E70A" w14:paraId="1FFFC460" w14:textId="087DA3B2">
            <w:pPr>
              <w:spacing w:after="0"/>
            </w:pPr>
            <w:r w:rsidRPr="799A1817">
              <w:rPr>
                <w:rFonts w:ascii="Aptos Narrow" w:hAnsi="Aptos Narrow" w:eastAsia="Aptos Narrow" w:cs="Aptos Narrow"/>
                <w:color w:val="000000" w:themeColor="text1"/>
                <w:sz w:val="22"/>
                <w:szCs w:val="22"/>
              </w:rPr>
              <w:t>Extent</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69C9A9EE" w14:textId="5F017A7F">
            <w:pPr>
              <w:spacing w:after="0"/>
              <w:jc w:val="right"/>
            </w:pPr>
            <w:r w:rsidRPr="799A1817">
              <w:rPr>
                <w:rFonts w:ascii="Aptos Narrow" w:hAnsi="Aptos Narrow" w:eastAsia="Aptos Narrow" w:cs="Aptos Narrow"/>
                <w:color w:val="000000" w:themeColor="text1"/>
                <w:sz w:val="22"/>
                <w:szCs w:val="22"/>
              </w:rPr>
              <w:t>0.9999</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130B3B98" w14:textId="34C4D54A">
            <w:pPr>
              <w:spacing w:after="0"/>
              <w:jc w:val="right"/>
            </w:pPr>
            <w:r w:rsidRPr="799A1817">
              <w:rPr>
                <w:rFonts w:ascii="Aptos Narrow" w:hAnsi="Aptos Narrow" w:eastAsia="Aptos Narrow" w:cs="Aptos Narrow"/>
                <w:color w:val="000000" w:themeColor="text1"/>
                <w:sz w:val="22"/>
                <w:szCs w:val="22"/>
              </w:rPr>
              <w:t>0.9149</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7B330DA2" w14:textId="5AB49A45">
            <w:pPr>
              <w:spacing w:after="0"/>
              <w:jc w:val="right"/>
            </w:pPr>
            <w:r w:rsidRPr="799A1817">
              <w:rPr>
                <w:rFonts w:ascii="Aptos Narrow" w:hAnsi="Aptos Narrow" w:eastAsia="Aptos Narrow" w:cs="Aptos Narrow"/>
                <w:color w:val="000000" w:themeColor="text1"/>
                <w:sz w:val="22"/>
                <w:szCs w:val="22"/>
              </w:rPr>
              <w:t>0.9982</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910042D" w14:textId="6E4F5008">
            <w:pPr>
              <w:spacing w:after="0"/>
              <w:jc w:val="right"/>
            </w:pPr>
            <w:r w:rsidRPr="799A1817">
              <w:rPr>
                <w:rFonts w:ascii="Aptos Narrow" w:hAnsi="Aptos Narrow" w:eastAsia="Aptos Narrow" w:cs="Aptos Narrow"/>
                <w:color w:val="000000" w:themeColor="text1"/>
                <w:sz w:val="22"/>
                <w:szCs w:val="22"/>
              </w:rPr>
              <w:t>1.0016</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38A31641" w14:textId="07C2B312">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6A98611F"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129B691C" w14:textId="50EE67AC">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3D2195D2" w14:textId="4D54738A">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799A1817" w:rsidP="799A1817" w:rsidRDefault="799A1817" w14:paraId="6A9A5871" w14:textId="07E962A5">
            <w:pPr>
              <w:spacing w:after="0"/>
              <w:rPr>
                <w:rFonts w:ascii="Aptos Narrow" w:hAnsi="Aptos Narrow" w:eastAsia="Aptos Narrow" w:cs="Aptos Narrow"/>
                <w:color w:val="000000" w:themeColor="text1"/>
                <w:sz w:val="22"/>
                <w:szCs w:val="22"/>
              </w:rPr>
            </w:pPr>
            <w:r w:rsidRPr="799A1817">
              <w:rPr>
                <w:rFonts w:ascii="Aptos Narrow" w:hAnsi="Aptos Narrow" w:eastAsia="Aptos Narrow" w:cs="Aptos Narrow"/>
                <w:color w:val="000000" w:themeColor="text1"/>
                <w:sz w:val="22"/>
                <w:szCs w:val="22"/>
              </w:rPr>
              <w:t>Restoration</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1AE6EEE8" w14:textId="4D61911F">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6DECA307" w14:textId="28CD5798">
            <w:pPr>
              <w:spacing w:after="0"/>
              <w:jc w:val="right"/>
            </w:pPr>
            <w:r w:rsidRPr="799A1817">
              <w:rPr>
                <w:rFonts w:ascii="Aptos Narrow" w:hAnsi="Aptos Narrow" w:eastAsia="Aptos Narrow" w:cs="Aptos Narrow"/>
                <w:color w:val="000000" w:themeColor="text1"/>
                <w:sz w:val="22"/>
                <w:szCs w:val="22"/>
              </w:rPr>
              <w:t>0.9233</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5D35F818" w14:textId="047E993E">
            <w:pPr>
              <w:spacing w:after="0"/>
              <w:jc w:val="right"/>
            </w:pPr>
            <w:r w:rsidRPr="799A1817">
              <w:rPr>
                <w:rFonts w:ascii="Aptos Narrow" w:hAnsi="Aptos Narrow" w:eastAsia="Aptos Narrow" w:cs="Aptos Narrow"/>
                <w:color w:val="000000" w:themeColor="text1"/>
                <w:sz w:val="22"/>
                <w:szCs w:val="22"/>
              </w:rPr>
              <w:t>0.9998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357E7063" w14:textId="3492C0DA">
            <w:pPr>
              <w:spacing w:after="0"/>
              <w:jc w:val="right"/>
            </w:pPr>
            <w:r w:rsidRPr="799A1817">
              <w:rPr>
                <w:rFonts w:ascii="Aptos Narrow" w:hAnsi="Aptos Narrow" w:eastAsia="Aptos Narrow" w:cs="Aptos Narrow"/>
                <w:color w:val="000000" w:themeColor="text1"/>
                <w:sz w:val="22"/>
                <w:szCs w:val="22"/>
              </w:rPr>
              <w:t>1.0002</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0C74AE15" w14:textId="7745C9EB">
            <w:pPr>
              <w:spacing w:after="0"/>
              <w:jc w:val="center"/>
            </w:pPr>
            <w:r w:rsidRPr="799A1817">
              <w:rPr>
                <w:rFonts w:ascii="Aptos Narrow" w:hAnsi="Aptos Narrow" w:eastAsia="Aptos Narrow" w:cs="Aptos Narrow"/>
                <w:color w:val="000000" w:themeColor="text1"/>
                <w:sz w:val="22"/>
                <w:szCs w:val="22"/>
              </w:rPr>
              <w:t>FALSE</w:t>
            </w:r>
          </w:p>
        </w:tc>
      </w:tr>
      <w:tr w:rsidR="799A1817" w:rsidTr="799A1817" w14:paraId="33FA6C4D" w14:textId="77777777">
        <w:trPr>
          <w:trHeight w:val="285"/>
        </w:trPr>
        <w:tc>
          <w:tcPr>
            <w:tcW w:w="1076" w:type="dxa"/>
            <w:tcBorders>
              <w:top w:val="nil"/>
              <w:left w:val="nil"/>
              <w:bottom w:val="nil"/>
              <w:right w:val="nil"/>
            </w:tcBorders>
            <w:tcMar>
              <w:top w:w="15" w:type="dxa"/>
              <w:left w:w="15" w:type="dxa"/>
              <w:right w:w="15" w:type="dxa"/>
            </w:tcMar>
            <w:vAlign w:val="bottom"/>
          </w:tcPr>
          <w:p w:rsidR="799A1817" w:rsidP="799A1817" w:rsidRDefault="799A1817" w14:paraId="5C2A9647" w14:textId="6853A138">
            <w:pPr>
              <w:spacing w:after="0"/>
            </w:pPr>
            <w:r w:rsidRPr="799A1817">
              <w:rPr>
                <w:rFonts w:ascii="Aptos Narrow" w:hAnsi="Aptos Narrow" w:eastAsia="Aptos Narrow" w:cs="Aptos Narrow"/>
                <w:color w:val="000000" w:themeColor="text1"/>
                <w:sz w:val="22"/>
                <w:szCs w:val="22"/>
              </w:rPr>
              <w:t>TM</w:t>
            </w:r>
          </w:p>
        </w:tc>
        <w:tc>
          <w:tcPr>
            <w:tcW w:w="1320" w:type="dxa"/>
            <w:tcBorders>
              <w:top w:val="nil"/>
              <w:left w:val="nil"/>
              <w:bottom w:val="nil"/>
              <w:right w:val="nil"/>
            </w:tcBorders>
            <w:tcMar>
              <w:top w:w="15" w:type="dxa"/>
              <w:left w:w="15" w:type="dxa"/>
              <w:right w:w="15" w:type="dxa"/>
            </w:tcMar>
            <w:vAlign w:val="bottom"/>
          </w:tcPr>
          <w:p w:rsidR="799A1817" w:rsidP="799A1817" w:rsidRDefault="799A1817" w14:paraId="1F78B35C" w14:textId="33E4433C">
            <w:pPr>
              <w:spacing w:after="0"/>
            </w:pPr>
            <w:r w:rsidRPr="799A1817">
              <w:rPr>
                <w:rFonts w:ascii="Aptos Narrow" w:hAnsi="Aptos Narrow" w:eastAsia="Aptos Narrow" w:cs="Aptos Narrow"/>
                <w:color w:val="000000" w:themeColor="text1"/>
                <w:sz w:val="22"/>
                <w:szCs w:val="22"/>
              </w:rPr>
              <w:t>R</w:t>
            </w:r>
          </w:p>
        </w:tc>
        <w:tc>
          <w:tcPr>
            <w:tcW w:w="1822" w:type="dxa"/>
            <w:tcBorders>
              <w:top w:val="nil"/>
              <w:left w:val="nil"/>
              <w:bottom w:val="nil"/>
              <w:right w:val="nil"/>
            </w:tcBorders>
            <w:tcMar>
              <w:top w:w="15" w:type="dxa"/>
              <w:left w:w="15" w:type="dxa"/>
              <w:right w:w="15" w:type="dxa"/>
            </w:tcMar>
            <w:vAlign w:val="bottom"/>
          </w:tcPr>
          <w:p w:rsidR="32FCE173" w:rsidP="799A1817" w:rsidRDefault="32FCE173" w14:paraId="01199C55" w14:textId="5F405268">
            <w:pPr>
              <w:spacing w:after="0"/>
            </w:pPr>
            <w:r w:rsidRPr="799A1817">
              <w:rPr>
                <w:rFonts w:ascii="Aptos Narrow" w:hAnsi="Aptos Narrow" w:eastAsia="Aptos Narrow" w:cs="Aptos Narrow"/>
                <w:color w:val="000000" w:themeColor="text1"/>
                <w:sz w:val="22"/>
                <w:szCs w:val="22"/>
              </w:rPr>
              <w:t>Protected Area</w:t>
            </w:r>
          </w:p>
        </w:tc>
        <w:tc>
          <w:tcPr>
            <w:tcW w:w="1161" w:type="dxa"/>
            <w:tcBorders>
              <w:top w:val="nil"/>
              <w:left w:val="nil"/>
              <w:bottom w:val="nil"/>
              <w:right w:val="nil"/>
            </w:tcBorders>
            <w:tcMar>
              <w:top w:w="15" w:type="dxa"/>
              <w:left w:w="15" w:type="dxa"/>
              <w:right w:w="15" w:type="dxa"/>
            </w:tcMar>
            <w:vAlign w:val="bottom"/>
          </w:tcPr>
          <w:p w:rsidR="799A1817" w:rsidP="799A1817" w:rsidRDefault="799A1817" w14:paraId="7AD9B5BE" w14:textId="76BC804B">
            <w:pPr>
              <w:spacing w:after="0"/>
              <w:jc w:val="right"/>
            </w:pPr>
            <w:r w:rsidRPr="799A1817">
              <w:rPr>
                <w:rFonts w:ascii="Aptos Narrow" w:hAnsi="Aptos Narrow" w:eastAsia="Aptos Narrow" w:cs="Aptos Narrow"/>
                <w:color w:val="000000" w:themeColor="text1"/>
                <w:sz w:val="22"/>
                <w:szCs w:val="22"/>
              </w:rPr>
              <w:t>1</w:t>
            </w:r>
          </w:p>
        </w:tc>
        <w:tc>
          <w:tcPr>
            <w:tcW w:w="815" w:type="dxa"/>
            <w:tcBorders>
              <w:top w:val="nil"/>
              <w:left w:val="nil"/>
              <w:bottom w:val="nil"/>
              <w:right w:val="nil"/>
            </w:tcBorders>
            <w:tcMar>
              <w:top w:w="15" w:type="dxa"/>
              <w:left w:w="15" w:type="dxa"/>
              <w:right w:w="15" w:type="dxa"/>
            </w:tcMar>
            <w:vAlign w:val="bottom"/>
          </w:tcPr>
          <w:p w:rsidR="799A1817" w:rsidP="799A1817" w:rsidRDefault="799A1817" w14:paraId="2AE3F668" w14:textId="05CEF83B">
            <w:pPr>
              <w:spacing w:after="0"/>
              <w:jc w:val="right"/>
            </w:pPr>
            <w:r w:rsidRPr="799A1817">
              <w:rPr>
                <w:rFonts w:ascii="Aptos Narrow" w:hAnsi="Aptos Narrow" w:eastAsia="Aptos Narrow" w:cs="Aptos Narrow"/>
                <w:color w:val="000000" w:themeColor="text1"/>
                <w:sz w:val="22"/>
                <w:szCs w:val="22"/>
              </w:rPr>
              <w:t>0.9347</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60B1D277" w14:textId="595DD4BA">
            <w:pPr>
              <w:spacing w:after="0"/>
              <w:jc w:val="right"/>
            </w:pPr>
            <w:r w:rsidRPr="799A1817">
              <w:rPr>
                <w:rFonts w:ascii="Aptos Narrow" w:hAnsi="Aptos Narrow" w:eastAsia="Aptos Narrow" w:cs="Aptos Narrow"/>
                <w:color w:val="000000" w:themeColor="text1"/>
                <w:sz w:val="22"/>
                <w:szCs w:val="22"/>
              </w:rPr>
              <w:t>0.9988</w:t>
            </w:r>
          </w:p>
        </w:tc>
        <w:tc>
          <w:tcPr>
            <w:tcW w:w="941" w:type="dxa"/>
            <w:tcBorders>
              <w:top w:val="nil"/>
              <w:left w:val="nil"/>
              <w:bottom w:val="nil"/>
              <w:right w:val="nil"/>
            </w:tcBorders>
            <w:tcMar>
              <w:top w:w="15" w:type="dxa"/>
              <w:left w:w="15" w:type="dxa"/>
              <w:right w:w="15" w:type="dxa"/>
            </w:tcMar>
            <w:vAlign w:val="bottom"/>
          </w:tcPr>
          <w:p w:rsidR="799A1817" w:rsidP="799A1817" w:rsidRDefault="799A1817" w14:paraId="115718E1" w14:textId="339CB923">
            <w:pPr>
              <w:spacing w:after="0"/>
              <w:jc w:val="right"/>
            </w:pPr>
            <w:r w:rsidRPr="799A1817">
              <w:rPr>
                <w:rFonts w:ascii="Aptos Narrow" w:hAnsi="Aptos Narrow" w:eastAsia="Aptos Narrow" w:cs="Aptos Narrow"/>
                <w:color w:val="000000" w:themeColor="text1"/>
                <w:sz w:val="22"/>
                <w:szCs w:val="22"/>
              </w:rPr>
              <w:t>1.0011</w:t>
            </w:r>
          </w:p>
        </w:tc>
        <w:tc>
          <w:tcPr>
            <w:tcW w:w="1015" w:type="dxa"/>
            <w:tcBorders>
              <w:top w:val="nil"/>
              <w:left w:val="nil"/>
              <w:bottom w:val="nil"/>
              <w:right w:val="nil"/>
            </w:tcBorders>
            <w:tcMar>
              <w:top w:w="15" w:type="dxa"/>
              <w:left w:w="15" w:type="dxa"/>
              <w:right w:w="15" w:type="dxa"/>
            </w:tcMar>
            <w:vAlign w:val="bottom"/>
          </w:tcPr>
          <w:p w:rsidR="799A1817" w:rsidP="799A1817" w:rsidRDefault="799A1817" w14:paraId="7DD51AC0" w14:textId="5B8AF4D7">
            <w:pPr>
              <w:spacing w:after="0"/>
              <w:jc w:val="center"/>
            </w:pPr>
            <w:r w:rsidRPr="799A1817">
              <w:rPr>
                <w:rFonts w:ascii="Aptos Narrow" w:hAnsi="Aptos Narrow" w:eastAsia="Aptos Narrow" w:cs="Aptos Narrow"/>
                <w:color w:val="000000" w:themeColor="text1"/>
                <w:sz w:val="22"/>
                <w:szCs w:val="22"/>
              </w:rPr>
              <w:t>FALSE</w:t>
            </w:r>
          </w:p>
        </w:tc>
      </w:tr>
    </w:tbl>
    <w:p w:rsidR="799A1817" w:rsidP="799A1817" w:rsidRDefault="799A1817" w14:paraId="179EBE42" w14:textId="682111F3">
      <w:pPr>
        <w:rPr>
          <w:rFonts w:ascii="Calibri" w:hAnsi="Calibri" w:eastAsia="Calibri" w:cs="Calibri"/>
          <w:color w:val="000000" w:themeColor="text1"/>
        </w:rPr>
      </w:pPr>
    </w:p>
    <w:p w:rsidR="00BF6BB6" w:rsidP="799A1817" w:rsidRDefault="00BF6BB6" w14:paraId="326578F2" w14:textId="77777777">
      <w:pPr>
        <w:rPr>
          <w:rFonts w:ascii="Calibri" w:hAnsi="Calibri" w:eastAsia="Calibri" w:cs="Calibri"/>
          <w:b/>
          <w:bCs/>
          <w:color w:val="000000" w:themeColor="text1"/>
        </w:rPr>
      </w:pPr>
    </w:p>
    <w:p w:rsidR="00BF6BB6" w:rsidP="799A1817" w:rsidRDefault="00BF6BB6" w14:paraId="48CF0794" w14:textId="77777777">
      <w:pPr>
        <w:rPr>
          <w:rFonts w:ascii="Calibri" w:hAnsi="Calibri" w:eastAsia="Calibri" w:cs="Calibri"/>
          <w:b/>
          <w:bCs/>
          <w:color w:val="000000" w:themeColor="text1"/>
        </w:rPr>
      </w:pPr>
    </w:p>
    <w:p w:rsidR="00BF6BB6" w:rsidP="799A1817" w:rsidRDefault="00BF6BB6" w14:paraId="67540252" w14:textId="77777777">
      <w:pPr>
        <w:rPr>
          <w:rFonts w:ascii="Calibri" w:hAnsi="Calibri" w:eastAsia="Calibri" w:cs="Calibri"/>
          <w:b/>
          <w:bCs/>
          <w:color w:val="000000" w:themeColor="text1"/>
        </w:rPr>
      </w:pPr>
    </w:p>
    <w:p w:rsidR="00BF6BB6" w:rsidP="799A1817" w:rsidRDefault="00BF6BB6" w14:paraId="56B3CF72" w14:textId="77777777">
      <w:pPr>
        <w:rPr>
          <w:rFonts w:ascii="Calibri" w:hAnsi="Calibri" w:eastAsia="Calibri" w:cs="Calibri"/>
          <w:b/>
          <w:bCs/>
          <w:color w:val="000000" w:themeColor="text1"/>
        </w:rPr>
      </w:pPr>
    </w:p>
    <w:p w:rsidR="00BF6BB6" w:rsidP="799A1817" w:rsidRDefault="00BF6BB6" w14:paraId="2E593C48" w14:textId="77777777">
      <w:pPr>
        <w:rPr>
          <w:rFonts w:ascii="Calibri" w:hAnsi="Calibri" w:eastAsia="Calibri" w:cs="Calibri"/>
          <w:b/>
          <w:bCs/>
          <w:color w:val="000000" w:themeColor="text1"/>
        </w:rPr>
      </w:pPr>
    </w:p>
    <w:p w:rsidR="00BF6BB6" w:rsidP="799A1817" w:rsidRDefault="00BF6BB6" w14:paraId="7C12B56E" w14:textId="77777777">
      <w:pPr>
        <w:rPr>
          <w:rFonts w:ascii="Calibri" w:hAnsi="Calibri" w:eastAsia="Calibri" w:cs="Calibri"/>
          <w:b/>
          <w:bCs/>
          <w:color w:val="000000" w:themeColor="text1"/>
        </w:rPr>
      </w:pPr>
    </w:p>
    <w:p w:rsidR="00BF6BB6" w:rsidP="799A1817" w:rsidRDefault="00BF6BB6" w14:paraId="18B65AB3" w14:textId="77777777">
      <w:pPr>
        <w:rPr>
          <w:rFonts w:ascii="Calibri" w:hAnsi="Calibri" w:eastAsia="Calibri" w:cs="Calibri"/>
          <w:b/>
          <w:bCs/>
          <w:color w:val="000000" w:themeColor="text1"/>
        </w:rPr>
      </w:pPr>
    </w:p>
    <w:p w:rsidR="00BF6BB6" w:rsidP="799A1817" w:rsidRDefault="00BF6BB6" w14:paraId="060F66BE" w14:textId="77777777">
      <w:pPr>
        <w:rPr>
          <w:rFonts w:ascii="Calibri" w:hAnsi="Calibri" w:eastAsia="Calibri" w:cs="Calibri"/>
          <w:b/>
          <w:bCs/>
          <w:color w:val="000000" w:themeColor="text1"/>
        </w:rPr>
      </w:pPr>
    </w:p>
    <w:p w:rsidR="00BF6BB6" w:rsidP="799A1817" w:rsidRDefault="00BF6BB6" w14:paraId="5149C36E" w14:textId="77777777">
      <w:pPr>
        <w:rPr>
          <w:rFonts w:ascii="Calibri" w:hAnsi="Calibri" w:eastAsia="Calibri" w:cs="Calibri"/>
          <w:b/>
          <w:bCs/>
          <w:color w:val="000000" w:themeColor="text1"/>
        </w:rPr>
      </w:pPr>
    </w:p>
    <w:p w:rsidR="00BF6BB6" w:rsidP="799A1817" w:rsidRDefault="00BF6BB6" w14:paraId="12D71738" w14:textId="77777777">
      <w:pPr>
        <w:rPr>
          <w:rFonts w:ascii="Calibri" w:hAnsi="Calibri" w:eastAsia="Calibri" w:cs="Calibri"/>
          <w:b/>
          <w:bCs/>
          <w:color w:val="000000" w:themeColor="text1"/>
        </w:rPr>
      </w:pPr>
    </w:p>
    <w:p w:rsidR="00BF6BB6" w:rsidP="799A1817" w:rsidRDefault="00BF6BB6" w14:paraId="5412E8D7" w14:textId="77777777">
      <w:pPr>
        <w:rPr>
          <w:rFonts w:ascii="Calibri" w:hAnsi="Calibri" w:eastAsia="Calibri" w:cs="Calibri"/>
          <w:b/>
          <w:bCs/>
          <w:color w:val="000000" w:themeColor="text1"/>
        </w:rPr>
      </w:pPr>
    </w:p>
    <w:p w:rsidR="00BF6BB6" w:rsidP="799A1817" w:rsidRDefault="00BF6BB6" w14:paraId="39C67B24" w14:textId="77777777">
      <w:pPr>
        <w:rPr>
          <w:rFonts w:ascii="Calibri" w:hAnsi="Calibri" w:eastAsia="Calibri" w:cs="Calibri"/>
          <w:b/>
          <w:bCs/>
          <w:color w:val="000000" w:themeColor="text1"/>
        </w:rPr>
      </w:pPr>
    </w:p>
    <w:p w:rsidR="3FC172E8" w:rsidP="799A1817" w:rsidRDefault="3FC172E8" w14:paraId="6A109A03" w14:textId="747B505A">
      <w:pPr>
        <w:rPr>
          <w:rFonts w:ascii="Calibri" w:hAnsi="Calibri" w:eastAsia="Calibri" w:cs="Calibri"/>
          <w:b/>
          <w:bCs/>
          <w:color w:val="000000" w:themeColor="text1"/>
          <w:lang w:val="en-SG"/>
        </w:rPr>
      </w:pPr>
      <w:r w:rsidRPr="799A1817">
        <w:rPr>
          <w:rFonts w:ascii="Calibri" w:hAnsi="Calibri" w:eastAsia="Calibri" w:cs="Calibri"/>
          <w:b/>
          <w:bCs/>
          <w:color w:val="000000" w:themeColor="text1"/>
        </w:rPr>
        <w:lastRenderedPageBreak/>
        <w:t xml:space="preserve">Supplementary </w:t>
      </w:r>
      <w:r w:rsidRPr="799A1817" w:rsidR="21B462C3">
        <w:rPr>
          <w:rFonts w:ascii="Calibri" w:hAnsi="Calibri" w:eastAsia="Calibri" w:cs="Calibri"/>
          <w:b/>
          <w:bCs/>
          <w:color w:val="000000" w:themeColor="text1"/>
        </w:rPr>
        <w:t>Table 2: Global datasets on blue carbon ecosystem extent, carbon stocks, protection and restoration</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7"/>
        <w:gridCol w:w="921"/>
        <w:gridCol w:w="1234"/>
        <w:gridCol w:w="1304"/>
        <w:gridCol w:w="1526"/>
        <w:gridCol w:w="980"/>
        <w:gridCol w:w="671"/>
        <w:gridCol w:w="990"/>
        <w:gridCol w:w="921"/>
      </w:tblGrid>
      <w:tr w:rsidRPr="00905608" w:rsidR="00166881" w:rsidTr="00905608" w14:paraId="03A73AC2" w14:textId="77777777">
        <w:trPr>
          <w:trHeight w:val="1170"/>
        </w:trPr>
        <w:tc>
          <w:tcPr>
            <w:tcW w:w="972"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4A2499BC"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Ecosystem</w:t>
            </w:r>
            <w:r w:rsidRPr="00905608">
              <w:rPr>
                <w:rFonts w:ascii="Calibri" w:hAnsi="Calibri" w:eastAsia="Calibri" w:cs="Calibri"/>
                <w:color w:val="000000" w:themeColor="text1"/>
                <w:sz w:val="20"/>
                <w:szCs w:val="20"/>
                <w:lang w:val="en-SG"/>
              </w:rPr>
              <w:t> </w:t>
            </w:r>
          </w:p>
        </w:tc>
        <w:tc>
          <w:tcPr>
            <w:tcW w:w="2200" w:type="dxa"/>
            <w:gridSpan w:val="2"/>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792AAE50"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Extent</w:t>
            </w:r>
            <w:r w:rsidRPr="00905608">
              <w:rPr>
                <w:rFonts w:ascii="Calibri" w:hAnsi="Calibri" w:eastAsia="Calibri" w:cs="Calibri"/>
                <w:color w:val="000000" w:themeColor="text1"/>
                <w:sz w:val="20"/>
                <w:szCs w:val="20"/>
                <w:lang w:val="en-SG"/>
              </w:rPr>
              <w:t> </w:t>
            </w:r>
          </w:p>
        </w:tc>
        <w:tc>
          <w:tcPr>
            <w:tcW w:w="2985" w:type="dxa"/>
            <w:gridSpan w:val="2"/>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756E3E47"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Carbon stocks</w:t>
            </w:r>
            <w:r w:rsidRPr="00905608">
              <w:rPr>
                <w:rFonts w:ascii="Calibri" w:hAnsi="Calibri" w:eastAsia="Calibri" w:cs="Calibri"/>
                <w:color w:val="000000" w:themeColor="text1"/>
                <w:sz w:val="20"/>
                <w:szCs w:val="20"/>
                <w:lang w:val="en-SG"/>
              </w:rPr>
              <w:t> </w:t>
            </w:r>
          </w:p>
        </w:tc>
        <w:tc>
          <w:tcPr>
            <w:tcW w:w="1198"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21581684"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Carbon Sequestration</w:t>
            </w:r>
            <w:r w:rsidRPr="00905608">
              <w:rPr>
                <w:rFonts w:ascii="Calibri" w:hAnsi="Calibri" w:eastAsia="Calibri" w:cs="Calibri"/>
                <w:color w:val="000000" w:themeColor="text1"/>
                <w:sz w:val="20"/>
                <w:szCs w:val="20"/>
                <w:lang w:val="en-SG"/>
              </w:rPr>
              <w:t> </w:t>
            </w:r>
          </w:p>
        </w:tc>
        <w:tc>
          <w:tcPr>
            <w:tcW w:w="823"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4B648F02"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Protected Area</w:t>
            </w:r>
            <w:r w:rsidRPr="00905608">
              <w:rPr>
                <w:rFonts w:ascii="Calibri" w:hAnsi="Calibri" w:eastAsia="Calibri" w:cs="Calibri"/>
                <w:color w:val="000000" w:themeColor="text1"/>
                <w:sz w:val="20"/>
                <w:szCs w:val="20"/>
                <w:lang w:val="en-SG"/>
              </w:rPr>
              <w:t> </w:t>
            </w:r>
          </w:p>
        </w:tc>
        <w:tc>
          <w:tcPr>
            <w:tcW w:w="155" w:type="dxa"/>
            <w:tcBorders>
              <w:top w:val="single" w:color="auto" w:sz="6" w:space="0"/>
              <w:left w:val="single" w:color="auto" w:sz="6" w:space="0"/>
              <w:bottom w:val="single" w:color="auto" w:sz="6" w:space="0"/>
              <w:right w:val="single" w:color="auto" w:sz="6" w:space="0"/>
            </w:tcBorders>
          </w:tcPr>
          <w:p w:rsidRPr="00905608" w:rsidR="00905608" w:rsidP="00905608" w:rsidRDefault="00905608" w14:paraId="74C6A56F" w14:textId="6FACAAC7">
            <w:pPr>
              <w:spacing w:line="48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Deforestation Rate</w:t>
            </w:r>
          </w:p>
        </w:tc>
        <w:tc>
          <w:tcPr>
            <w:tcW w:w="1011"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6BCF1D62" w14:textId="5CE26842">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Restoration</w:t>
            </w:r>
            <w:r w:rsidRPr="00905608">
              <w:rPr>
                <w:rFonts w:ascii="Calibri" w:hAnsi="Calibri" w:eastAsia="Calibri" w:cs="Calibri"/>
                <w:color w:val="000000" w:themeColor="text1"/>
                <w:sz w:val="20"/>
                <w:szCs w:val="20"/>
                <w:lang w:val="en-SG"/>
              </w:rPr>
              <w:t> </w:t>
            </w:r>
          </w:p>
        </w:tc>
      </w:tr>
      <w:tr w:rsidRPr="00905608" w:rsidR="00FA67B9" w:rsidTr="00905608" w14:paraId="66890B6B"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4185C538" w14:textId="77777777">
            <w:pPr>
              <w:spacing w:line="480" w:lineRule="auto"/>
              <w:rPr>
                <w:rFonts w:ascii="Calibri" w:hAnsi="Calibri" w:eastAsia="Calibri" w:cs="Calibri"/>
                <w:color w:val="000000" w:themeColor="text1"/>
                <w:sz w:val="20"/>
                <w:szCs w:val="20"/>
                <w:lang w:val="en-SG"/>
              </w:rPr>
            </w:pPr>
          </w:p>
        </w:tc>
        <w:tc>
          <w:tcPr>
            <w:tcW w:w="693"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43EBDDA5"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Dataset</w:t>
            </w:r>
            <w:r w:rsidRPr="00905608">
              <w:rPr>
                <w:rFonts w:ascii="Calibri" w:hAnsi="Calibri" w:eastAsia="Calibri" w:cs="Calibri"/>
                <w:color w:val="000000" w:themeColor="text1"/>
                <w:sz w:val="20"/>
                <w:szCs w:val="20"/>
                <w:lang w:val="en-SG"/>
              </w:rPr>
              <w:t> </w:t>
            </w:r>
          </w:p>
        </w:tc>
        <w:tc>
          <w:tcPr>
            <w:tcW w:w="1507"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4AA2D6C9"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Accuracy; resolution; year</w:t>
            </w:r>
            <w:r w:rsidRPr="00905608">
              <w:rPr>
                <w:rFonts w:ascii="Calibri" w:hAnsi="Calibri" w:eastAsia="Calibri" w:cs="Calibri"/>
                <w:color w:val="000000" w:themeColor="text1"/>
                <w:sz w:val="20"/>
                <w:szCs w:val="20"/>
                <w:lang w:val="en-SG"/>
              </w:rPr>
              <w:t> </w:t>
            </w:r>
          </w:p>
        </w:tc>
        <w:tc>
          <w:tcPr>
            <w:tcW w:w="112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6416C0AC"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Dataset</w:t>
            </w:r>
            <w:r w:rsidRPr="00905608">
              <w:rPr>
                <w:rFonts w:ascii="Calibri" w:hAnsi="Calibri" w:eastAsia="Calibri" w:cs="Calibri"/>
                <w:color w:val="000000" w:themeColor="text1"/>
                <w:sz w:val="20"/>
                <w:szCs w:val="20"/>
                <w:lang w:val="en-SG"/>
              </w:rPr>
              <w:t> </w:t>
            </w:r>
          </w:p>
        </w:tc>
        <w:tc>
          <w:tcPr>
            <w:tcW w:w="1864"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7EA76A7"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Accuracy; resolution; year</w:t>
            </w:r>
            <w:r w:rsidRPr="00905608">
              <w:rPr>
                <w:rFonts w:ascii="Calibri" w:hAnsi="Calibri" w:eastAsia="Calibri" w:cs="Calibri"/>
                <w:color w:val="000000" w:themeColor="text1"/>
                <w:sz w:val="20"/>
                <w:szCs w:val="20"/>
                <w:lang w:val="en-SG"/>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58D6BB49"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40DBB876" w14:textId="77777777">
            <w:pPr>
              <w:spacing w:line="480" w:lineRule="auto"/>
              <w:rPr>
                <w:rFonts w:ascii="Calibri" w:hAnsi="Calibri" w:eastAsia="Calibri" w:cs="Calibri"/>
                <w:color w:val="000000" w:themeColor="text1"/>
                <w:sz w:val="20"/>
                <w:szCs w:val="20"/>
                <w:lang w:val="en-SG"/>
              </w:rPr>
            </w:pPr>
          </w:p>
        </w:tc>
        <w:tc>
          <w:tcPr>
            <w:tcW w:w="0" w:type="auto"/>
            <w:tcBorders>
              <w:top w:val="single" w:color="auto" w:sz="6" w:space="0"/>
              <w:left w:val="single" w:color="auto" w:sz="6" w:space="0"/>
              <w:bottom w:val="single" w:color="auto" w:sz="6" w:space="0"/>
              <w:right w:val="single" w:color="auto" w:sz="6" w:space="0"/>
            </w:tcBorders>
          </w:tcPr>
          <w:p w:rsidRPr="00905608" w:rsidR="00905608" w:rsidP="00905608" w:rsidRDefault="00905608" w14:paraId="7E01AB0A"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484051A5" w14:textId="3DA85640">
            <w:pPr>
              <w:spacing w:line="480" w:lineRule="auto"/>
              <w:rPr>
                <w:rFonts w:ascii="Calibri" w:hAnsi="Calibri" w:eastAsia="Calibri" w:cs="Calibri"/>
                <w:color w:val="000000" w:themeColor="text1"/>
                <w:sz w:val="20"/>
                <w:szCs w:val="20"/>
                <w:lang w:val="en-SG"/>
              </w:rPr>
            </w:pPr>
          </w:p>
        </w:tc>
      </w:tr>
      <w:tr w:rsidRPr="00905608" w:rsidR="00166881" w:rsidTr="00905608" w14:paraId="21FDE1D8" w14:textId="77777777">
        <w:trPr>
          <w:trHeight w:val="300"/>
        </w:trPr>
        <w:tc>
          <w:tcPr>
            <w:tcW w:w="972"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3287F7F7"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Mangroves</w:t>
            </w:r>
            <w:r w:rsidRPr="00905608">
              <w:rPr>
                <w:rFonts w:ascii="Calibri" w:hAnsi="Calibri" w:eastAsia="Calibri" w:cs="Calibri"/>
                <w:color w:val="000000" w:themeColor="text1"/>
                <w:sz w:val="20"/>
                <w:szCs w:val="20"/>
                <w:lang w:val="en-SG"/>
              </w:rPr>
              <w:t> </w:t>
            </w:r>
          </w:p>
        </w:tc>
        <w:tc>
          <w:tcPr>
            <w:tcW w:w="693"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57000B" w14:paraId="25408E62" w14:textId="010E2942">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{"citationID":"AETFxpFm","properties":{"formattedCitation":"(Bunting et al., 2018)","plainCitation":"(Bunting et al., 2018)","noteIndex":0},"citationItems":[{"id":1415,"uris":["http://zotero.org/users/19517417/items/DRPCVG6C"],"itemData":{"id":1415,"type":"article-journal","abstract":"This study presents a new global baseline of mangrove extent for 2010 and has been released as the first output of the Global Mangrove Watch (GMW) initiative. This is the first study to apply a globally consistent and automated method for mapping mangroves, identifying a global extent of 137,600 km     2    . The overall accuracy for mangrove extent was 94.0% with a 99% likelihood that the true value is between 93.6–94.5%, using 53,878 accuracy points across 20 sites distributed globally. Using the geographic regions of the Ramsar Convention on Wetlands, Asia has the highest proportion of mangroves with 38.7% of the global total, while Latin America and the Caribbean have 20.3%, Africa has 20.0%, Oceania has 11.9%, North America has 8.4% and the European Overseas Territories have 0.7%. The methodology developed is primarily based on the classification of ALOS PALSAR and Landsat sensor data, where a habitat mask was first generated, within which the classification of mangrove was undertaken using the Extremely Randomized Trees classifier. This new globally consistent baseline will also form the basis of a mangrove monitoring system using JAXA JERS-1 SAR, ALOS PALSAR and ALOS-2 PALSAR-2 radar data to assess mangrove change from 1996 to the present. However, when using the product, users should note that a minimum mapping unit of 1 ha is recommended and that the error increases in regions of disturbance and where narrow strips or smaller fragmented areas of mangroves are present. Artefacts due to cloud cover and the Landsat-7 SLC-off error are also present in some areas, particularly regions of West Africa due to the lack of Landsat-5 data and persistence cloud cover. In the future, consideration will be given to the production of a new global baseline based on 10 m Sentinel-2 composites.","container-title":"Remote Sensing","DOI":"10.3390/rs10101669","ISSN":"2072-4292","issue":"10","language":"en","license":"http://creativecommons.org/licenses/by/3.0/","note":"number: 10","page":"1669","publisher":"Multidisciplinary Digital Publishing Institute","source":"www.mdpi.com","title":"The Global Mangrove Watch—A New 2010 Global Baseline of Mangrove Extent","volume":"10","author":[{"family":"Bunting","given":"Pete"},{"family":"Rosenqvist","given":"Ake"},{"family":"Lucas","given":"Richard M."},{"family":"Rebelo","given":"Lisa-Maria"},{"family":"Hilarides","given":"Lammert"},{"family":"Thomas","given":"Nathan"},{"family":"Hardy","given":"Andy"},{"family":"Itoh","given":"Takuya"},{"family":"Shimada","given":"Masanobu"},{"family":"Finlayson","given":"C. Max"}],"issued":{"date-parts":[["2018",10]]}}}],"schema":"https://github.com/citation-style-language/schema/raw/master/csl-citation.json"}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57000B">
              <w:rPr>
                <w:rFonts w:ascii="Calibri" w:hAnsi="Calibri" w:cs="Calibri"/>
                <w:sz w:val="20"/>
              </w:rPr>
              <w:t>(Bunting et al., 2018)</w:t>
            </w:r>
            <w:r>
              <w:rPr>
                <w:rFonts w:ascii="Calibri" w:hAnsi="Calibri" w:eastAsia="Calibri" w:cs="Calibri"/>
                <w:color w:val="000000" w:themeColor="text1"/>
                <w:sz w:val="20"/>
                <w:szCs w:val="20"/>
                <w:lang w:val="en-SG"/>
              </w:rPr>
              <w:fldChar w:fldCharType="end"/>
            </w:r>
          </w:p>
        </w:tc>
        <w:tc>
          <w:tcPr>
            <w:tcW w:w="1507"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38A2FC4D"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94</w:t>
            </w:r>
            <w:proofErr w:type="gramStart"/>
            <w:r w:rsidRPr="00905608">
              <w:rPr>
                <w:rFonts w:ascii="Calibri" w:hAnsi="Calibri" w:eastAsia="Calibri" w:cs="Calibri"/>
                <w:color w:val="000000" w:themeColor="text1"/>
                <w:sz w:val="20"/>
                <w:szCs w:val="20"/>
              </w:rPr>
              <w:t>% ;</w:t>
            </w:r>
            <w:proofErr w:type="gramEnd"/>
            <w:r w:rsidRPr="00905608">
              <w:rPr>
                <w:rFonts w:ascii="Calibri" w:hAnsi="Calibri" w:eastAsia="Calibri" w:cs="Calibri"/>
                <w:color w:val="000000" w:themeColor="text1"/>
                <w:sz w:val="20"/>
                <w:szCs w:val="20"/>
              </w:rPr>
              <w:t> 25 </w:t>
            </w:r>
            <w:proofErr w:type="gramStart"/>
            <w:r w:rsidRPr="00905608">
              <w:rPr>
                <w:rFonts w:ascii="Calibri" w:hAnsi="Calibri" w:eastAsia="Calibri" w:cs="Calibri"/>
                <w:color w:val="000000" w:themeColor="text1"/>
                <w:sz w:val="20"/>
                <w:szCs w:val="20"/>
              </w:rPr>
              <w:t>m ;</w:t>
            </w:r>
            <w:proofErr w:type="gramEnd"/>
            <w:r w:rsidRPr="00905608">
              <w:rPr>
                <w:rFonts w:ascii="Calibri" w:hAnsi="Calibri" w:eastAsia="Calibri" w:cs="Calibri"/>
                <w:color w:val="000000" w:themeColor="text1"/>
                <w:sz w:val="20"/>
                <w:szCs w:val="20"/>
              </w:rPr>
              <w:t> 2020</w:t>
            </w:r>
            <w:r w:rsidRPr="00905608">
              <w:rPr>
                <w:rFonts w:ascii="Calibri" w:hAnsi="Calibri" w:eastAsia="Calibri" w:cs="Calibri"/>
                <w:color w:val="000000" w:themeColor="text1"/>
                <w:sz w:val="20"/>
                <w:szCs w:val="20"/>
                <w:lang w:val="en-SG"/>
              </w:rPr>
              <w:t> </w:t>
            </w:r>
          </w:p>
        </w:tc>
        <w:tc>
          <w:tcPr>
            <w:tcW w:w="112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FB5E060" w14:textId="73D7EA0A">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Aboveground Carbon</w:t>
            </w:r>
            <w:r w:rsidR="0057000B">
              <w:rPr>
                <w:rFonts w:ascii="Calibri" w:hAnsi="Calibri" w:eastAsia="Calibri" w:cs="Calibri"/>
                <w:color w:val="000000" w:themeColor="text1"/>
                <w:sz w:val="20"/>
                <w:szCs w:val="20"/>
              </w:rPr>
              <w:fldChar w:fldCharType="begin"/>
            </w:r>
            <w:r w:rsidR="0057000B">
              <w:rPr>
                <w:rFonts w:ascii="Calibri" w:hAnsi="Calibri" w:eastAsia="Calibri" w:cs="Calibri"/>
                <w:color w:val="000000" w:themeColor="text1"/>
                <w:sz w:val="20"/>
                <w:szCs w:val="20"/>
              </w:rPr>
              <w:instrText xml:space="preserve"> ADDIN ZOTERO_ITEM CSL_CITATION {"citationID":"QEQP7yW0","properties":{"formattedCitation":"(Simard et al., 2019)","plainCitation":"(Simard et al., 2019)","noteIndex":0},"citationItems":[{"id":530,"uris":["http://zotero.org/users/19517417/items/4NQAMEU7"],"itemData":{"id":530,"type":"article-journal","abstract":"Mangrove wetlands are among the most productive and carbon-dense ecosystems in the world. Their structural attributes vary considerably across spatial scales, yielding large uncertainties in regional and global estimates of carbon stocks. Here, we present a global analysis of mangrove canopy height gradients and aboveground carbon stocks based on remotely sensed measurements and field data. Our study highlights that precipitation, temperature and cyclone frequency explain 74% of the global trends in maximum canopy height, with other geophysical factors influencing the observed variability at local and regional scales. We find the tallest mangrove forests in Gabon, equatorial Africa, where stands attain 62.8 m. The total global mangrove carbon stock (above- and belowground biomass, and soil) is estimated at 5.03 Pg, with a quarter of this value stored in Indonesia. Our analysis implies sensitivity of mangrove structure to climate change, and offers a baseline to monitor national and regional trends in mangrove carbon stocks.","container-title":"Nature Geoscience","DOI":"10.1038/s41561-018-0279-1","ISSN":"1752-0908","issue":"1","journalAbbreviation":"Nature Geosci","language":"en","license":"2018 The Author(s), under exclusive licence to Springer Nature Limited","note":"number: 1","page":"40-45","publisher":"Nature Publishing Group","source":"www.nature.com","title":"Mangrove canopy height globally related to precipitation, temperature and cyclone frequency","volume":"12","author":[{"family":"Simard","given":"Marc"},{"family":"Fatoyinbo","given":"Lola"},{"family":"Smetanka","given":"Charlotte"},{"family":"Rivera-Monroy","given":"Victor H."},{"family":"Castañeda-Moya","given":"Edward"},{"family":"Thomas","given":"Nathan"},{"family":"Van der Stocken","given":"Tom"}],"issued":{"date-parts":[["2019",1]]}}}],"schema":"https://github.com/citation-style-language/schema/raw/master/csl-citation.json"} </w:instrText>
            </w:r>
            <w:r w:rsidR="0057000B">
              <w:rPr>
                <w:rFonts w:ascii="Calibri" w:hAnsi="Calibri" w:eastAsia="Calibri" w:cs="Calibri"/>
                <w:color w:val="000000" w:themeColor="text1"/>
                <w:sz w:val="20"/>
                <w:szCs w:val="20"/>
              </w:rPr>
              <w:fldChar w:fldCharType="separate"/>
            </w:r>
            <w:r w:rsidRPr="0057000B" w:rsidR="0057000B">
              <w:rPr>
                <w:rFonts w:ascii="Calibri" w:hAnsi="Calibri" w:cs="Calibri"/>
                <w:sz w:val="20"/>
              </w:rPr>
              <w:t>(Simard et al., 2019)</w:t>
            </w:r>
            <w:r w:rsidR="0057000B">
              <w:rPr>
                <w:rFonts w:ascii="Calibri" w:hAnsi="Calibri" w:eastAsia="Calibri" w:cs="Calibri"/>
                <w:color w:val="000000" w:themeColor="text1"/>
                <w:sz w:val="20"/>
                <w:szCs w:val="20"/>
              </w:rPr>
              <w:fldChar w:fldCharType="end"/>
            </w:r>
          </w:p>
        </w:tc>
        <w:tc>
          <w:tcPr>
            <w:tcW w:w="1864"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F6DAAE0"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Root mean Square (RMSE) from ground validation was 3.6m; 30m; 2000</w:t>
            </w:r>
            <w:r w:rsidRPr="00905608">
              <w:rPr>
                <w:rFonts w:ascii="Calibri" w:hAnsi="Calibri" w:eastAsia="Calibri" w:cs="Calibri"/>
                <w:color w:val="000000" w:themeColor="text1"/>
                <w:sz w:val="20"/>
                <w:szCs w:val="20"/>
                <w:lang w:val="en-SG"/>
              </w:rPr>
              <w:t> </w:t>
            </w:r>
          </w:p>
        </w:tc>
        <w:tc>
          <w:tcPr>
            <w:tcW w:w="1198"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2239FC" w14:paraId="0D4131B7" w14:textId="3373C739">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{"citationID":"oNs0w5cN","properties":{"formattedCitation":"(Howard et al., 2023)","plainCitation":"(Howard et al., 2023)","noteIndex":0},"citationItems":[{"id":141,"uris":["http://zotero.org/users/19517417/items/CTUMYK8C"],"itemData":{"id":141,"type":"article-journal","abstract":"As interest in natural climate mitigation solutions continues to grow, there is an essential role for coastal and ocean ecosystems (“blue carbon”) to play. To meet mitigation targets, however, it is crucial that human actions to protect or restore blue carbon sinks are based on solid science and actionable human management opportunities to increase sinks and reduce emissions from ecosystem loss. Here, we reaffirm the role of coastal wetlands in climate mitigation opportunities. We update the state of the science regarding existing blue carbon pathways and explore expanding the blue carbon opportunities to new systems. Specifically, we analyze new science for those blue carbon pathways we categorize as “emerging” (e.g., management interventions involving macroalgae - both cultivated and wild, tidal flats, and marine sediments) where human action may be able to increase these sinks, but we currently have insufficient information to ensure that their climate mitigation benefit is additional. We revisit those that are “non-actionable” (e.g., management interventions involving calcifying organisms and marine fauna) where the scientific evidence is clear that there is no mitigation benefit, or the science is too uncertain to claim that human action can definitively increase these carbon sinks. With limited funding for climate action, it is critical that efforts focus on projects with the most mitigation potential. Blue carbon management is only one piece in the climate mitigation challenge, but it is an important one. Continued scientific research and investment in developing policy pathways is warranted for these actionable and emerging systems. At the same time, the world must continue to work to decrease emissions rapidly, invest in other natural climate solutions, and scale renewable energy technologies.","container-title":"Marine Policy","DOI":"10.1016/j.marpol.2023.105788","ISSN":"0308-597X","journalAbbreviation":"Marine Policy","page":"105788","source":"ScienceDirect","title":"Blue carbon pathways for climate mitigation: Known, emerging and unlikely","title-short":"Blue carbon pathways for climate mitigation","volume":"156","author":[{"family":"Howard","given":"Jennifer"},{"family":"Sutton-Grier","given":"Ariana E."},{"family":"Smart","given":"Lindsey S."},{"family":"Lopes","given":"Christian C."},{"family":"Hamilton","given":"Jill"},{"family":"Kleypas","given":"Joan"},{"family":"Simpson","given":"Stefanie"},{"family":"McGowan","given":"Jennifer"},{"family":"Pessarrodona","given":"Albert"},{"family":"Alleway","given":"Heidi K."},{"family":"Landis","given":"Emily"}],"issued":{"date-parts":[["2023",10,1]]}}}],"schema":"https://github.com/citation-style-language/schema/raw/master/csl-citation.json"}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2239FC">
              <w:rPr>
                <w:rFonts w:ascii="Calibri" w:hAnsi="Calibri" w:cs="Calibri"/>
                <w:sz w:val="20"/>
              </w:rPr>
              <w:t>(Howard et al., 2023)</w:t>
            </w:r>
            <w:r>
              <w:rPr>
                <w:rFonts w:ascii="Calibri" w:hAnsi="Calibri" w:eastAsia="Calibri" w:cs="Calibri"/>
                <w:color w:val="000000" w:themeColor="text1"/>
                <w:sz w:val="20"/>
                <w:szCs w:val="20"/>
                <w:lang w:val="en-SG"/>
              </w:rPr>
              <w:fldChar w:fldCharType="end"/>
            </w:r>
          </w:p>
        </w:tc>
        <w:tc>
          <w:tcPr>
            <w:tcW w:w="823"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2239FC" w14:paraId="191CE0E5" w14:textId="2A82FE44">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{"citationID":"58W4siys","properties":{"formattedCitation":"(IUCN &amp; UNEP-WCMC, 2024)","plainCitation":"(IUCN &amp; UNEP-WCMC, 2024)","noteIndex":0},"citationItems":[{"id":2784,"uris":["http://zotero.org/users/19517417/items/8FKA4UTS"],"itemData":{"id":2784,"type":"dataset","title":"The World Database on Protected Areas (WDPA) and Other Effective area-based Conservation Measures (OECM)","URL":"www.protectedplanet.net","author":[{"literal":"IUCN"},{"literal":"UNEP-WCMC"}],"issued":{"date-parts":[["2024"]]}}}],"schema":"https://github.com/citation-style-language/schema/raw/master/csl-citation.json"}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2239FC">
              <w:rPr>
                <w:rFonts w:ascii="Calibri" w:hAnsi="Calibri" w:cs="Calibri"/>
                <w:sz w:val="20"/>
              </w:rPr>
              <w:t>(IUCN &amp; UNEP-WCMC, 2024)</w:t>
            </w:r>
            <w:r>
              <w:rPr>
                <w:rFonts w:ascii="Calibri" w:hAnsi="Calibri" w:eastAsia="Calibri" w:cs="Calibri"/>
                <w:color w:val="000000" w:themeColor="text1"/>
                <w:sz w:val="20"/>
                <w:szCs w:val="20"/>
                <w:lang w:val="en-SG"/>
              </w:rPr>
              <w:fldChar w:fldCharType="end"/>
            </w:r>
          </w:p>
        </w:tc>
        <w:tc>
          <w:tcPr>
            <w:tcW w:w="155" w:type="dxa"/>
            <w:tcBorders>
              <w:top w:val="single" w:color="auto" w:sz="6" w:space="0"/>
              <w:left w:val="single" w:color="auto" w:sz="6" w:space="0"/>
              <w:bottom w:val="single" w:color="auto" w:sz="6" w:space="0"/>
              <w:right w:val="single" w:color="auto" w:sz="6" w:space="0"/>
            </w:tcBorders>
          </w:tcPr>
          <w:p w:rsidRPr="00905608" w:rsidR="00905608" w:rsidP="00905608" w:rsidRDefault="00905608" w14:paraId="5D99138C" w14:textId="033CD748">
            <w:pPr>
              <w:spacing w:line="480" w:lineRule="auto"/>
              <w:rPr>
                <w:rFonts w:ascii="Calibri" w:hAnsi="Calibri" w:eastAsia="Calibri" w:cs="Calibri"/>
                <w:color w:val="000000" w:themeColor="text1"/>
                <w:sz w:val="20"/>
                <w:szCs w:val="20"/>
                <w:vertAlign w:val="superscript"/>
              </w:rPr>
            </w:pPr>
            <w:r>
              <w:rPr>
                <w:rFonts w:ascii="Calibri" w:hAnsi="Calibri" w:eastAsia="Calibri" w:cs="Calibri"/>
                <w:color w:val="000000" w:themeColor="text1"/>
                <w:sz w:val="20"/>
                <w:szCs w:val="20"/>
                <w:vertAlign w:val="superscript"/>
              </w:rPr>
              <w:fldChar w:fldCharType="begin"/>
            </w:r>
            <w:r>
              <w:rPr>
                <w:rFonts w:ascii="Calibri" w:hAnsi="Calibri" w:eastAsia="Calibri" w:cs="Calibri"/>
                <w:color w:val="000000" w:themeColor="text1"/>
                <w:sz w:val="20"/>
                <w:szCs w:val="20"/>
                <w:vertAlign w:val="superscript"/>
              </w:rPr>
              <w:instrText xml:space="preserve"> ADDIN ZOTERO_ITEM CSL_CITATION {"citationID":"f6JncQGP","properties":{"formattedCitation":"(Leal &amp; Spalding, 2024)","plainCitation":"(Leal &amp; Spalding, 2024)","noteIndex":0},"citationItems":[{"id":163,"uris":["http://zotero.org/users/19517417/items/NUG75YCW"],"itemData":{"id":163,"type":"book","abstract":"Mangroves are critical ecosystems, bridging land, freshwater, and sea. They host tremendous diversity and protect and provide for countless coastal communities around the world. This 2024 edition of The State of the World’s Mangroves highlights the tremendous advances that have been made on multiple fronts to safeguard these ecosystems. It showcases progress in: science and understanding; collaboration and information sharing; practical management interventions; and the many policy, legal, and financial tools that will help to secure a better future for these ecosystems.","number-of-pages":"71","publisher":"Global Mangrove Alliance","source":"icsfarchives.net","title":"The state of the world's mangroves 2024","URL":"https://www.mangrovealliance.org/wp-content/uploads/2024/07/SOWM-2024-HR.pdf","author":[{"family":"Leal","given":"Marice"},{"family":"Spalding","given":"Mark D."}],"accessed":{"date-parts":[["2025",7,29]]},"issued":{"date-parts":[["2024"]]}}}],"schema":"https://github.com/citation-style-language/schema/raw/master/csl-citation.json"} </w:instrText>
            </w:r>
            <w:r>
              <w:rPr>
                <w:rFonts w:ascii="Calibri" w:hAnsi="Calibri" w:eastAsia="Calibri" w:cs="Calibri"/>
                <w:color w:val="000000" w:themeColor="text1"/>
                <w:sz w:val="20"/>
                <w:szCs w:val="20"/>
                <w:vertAlign w:val="superscript"/>
              </w:rPr>
              <w:fldChar w:fldCharType="separate"/>
            </w:r>
            <w:r w:rsidRPr="00905608">
              <w:rPr>
                <w:rFonts w:ascii="Calibri" w:hAnsi="Calibri" w:cs="Calibri"/>
                <w:sz w:val="20"/>
              </w:rPr>
              <w:t>(Leal &amp; Spalding, 2024)</w:t>
            </w:r>
            <w:r>
              <w:rPr>
                <w:rFonts w:ascii="Calibri" w:hAnsi="Calibri" w:eastAsia="Calibri" w:cs="Calibri"/>
                <w:color w:val="000000" w:themeColor="text1"/>
                <w:sz w:val="20"/>
                <w:szCs w:val="20"/>
                <w:vertAlign w:val="superscript"/>
              </w:rPr>
              <w:fldChar w:fldCharType="end"/>
            </w:r>
          </w:p>
        </w:tc>
        <w:tc>
          <w:tcPr>
            <w:tcW w:w="1011" w:type="dxa"/>
            <w:vMerge w:val="restart"/>
            <w:tcBorders>
              <w:top w:val="single" w:color="auto" w:sz="6" w:space="0"/>
              <w:left w:val="single" w:color="auto" w:sz="6" w:space="0"/>
              <w:bottom w:val="single" w:color="auto" w:sz="6" w:space="0"/>
              <w:right w:val="single" w:color="auto" w:sz="6" w:space="0"/>
            </w:tcBorders>
            <w:hideMark/>
          </w:tcPr>
          <w:p w:rsidRPr="00905608" w:rsidR="00905608" w:rsidP="00905608" w:rsidRDefault="002239FC" w14:paraId="03EC7980" w14:textId="183E5501">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{"citationID":"ySXARy3X","properties":{"formattedCitation":"(Worthington et al., 2024)","plainCitation":"(Worthington et al., 2024)","noteIndex":0},"citationItems":[{"id":219,"uris":["http://zotero.org/users/19517417/items/CEUAD6J6"],"itemData":{"id":219,"type":"article-journal","abstract":"Aim Tidal marsh ecosystems are heavily impacted by human activities, highlighting a pressing need to address gaps in our knowledge of their distribution. To better understand the global distribution and changes in tidal marsh extent, and identify opportunities for their conservation and restoration, it is critical to develop a spatial knowledge base of their global occurrence. Here, we develop a globally consistent tidal marsh distribution map for the year 2020 at 10-m resolution. Location Global. Time period 2020. Major taxa studied Tidal marshes. Methods To map the location of the world's tidal marshes at 10-m resolution, we applied a random forest classification model to Earth observation data from the year 2020. We trained the classification model with a reference dataset developed to support distribution mapping of coastal ecosystems, and predicted the spatial distribution of tidal marshes between 60° N and 60° S. We validated the tidal marsh map using standard accuracy assessment methods, with our final map having an overall accuracy score of 0.85. Results We estimate the global extent of tidal marshes in 2020 to be 52,880 km2 (95% CI: 32,030 to 59,780 km2) distributed across 120 countries and territories. Tidal marsh distribution is centred in temperate and Arctic regions, with nearly half of the global extent of tidal marshes occurring in the temperate Northern Atlantic (45%) region. At the national scale, over a third of the global extent (18,510 km2; CI: 11,200–20,900) occurs within the USA. Main conclusions Our analysis provides the most detailed spatial data on global tidal marsh distribution to date and shows that tidal marshes occur in more countries and across a greater proportion of the world's coastline than previous mapping studies. Our map fills a major knowledge gap regarding the distribution of the world's coastal ecosystems and provides the baseline needed for measuring changes in tidal marsh extent and estimating their value in terms of ecosystem services.","container-title":"Global Ecology and Biogeography","DOI":"10.1111/geb.13852","ISSN":"1466-8238","issue":"8","language":"en","license":"© 2024 The Authors. Global Ecology and Biogeography published by John Wiley &amp; Sons Ltd.","note":"_eprint: https://onlinelibrary.wiley.com/doi/pdf/10.1111/geb.13852","page":"e13852","source":"Wiley Online Library","title":"The distribution of global tidal marshes from Earth observation data","volume":"33","author":[{"family":"Worthington","given":"Thomas A."},{"family":"Spalding","given":"Mark"},{"family":"Landis","given":"Emily"},{"family":"Maxwell","given":"Tania L."},{"family":"Navarro","given":"Alejandro"},{"family":"Smart","given":"Lindsey S."},{"family":"Murray","given":"Nicholas J."}],"issued":{"date-parts":[["2024"]]}}}],"schema":"https://github.com/citation-style-language/schema/raw/master/csl-citation.json"}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2239FC">
              <w:rPr>
                <w:rFonts w:ascii="Calibri" w:hAnsi="Calibri" w:cs="Calibri"/>
                <w:sz w:val="20"/>
              </w:rPr>
              <w:t>(Worthington et al., 2024)</w:t>
            </w:r>
            <w:r>
              <w:rPr>
                <w:rFonts w:ascii="Calibri" w:hAnsi="Calibri" w:eastAsia="Calibri" w:cs="Calibri"/>
                <w:color w:val="000000" w:themeColor="text1"/>
                <w:sz w:val="20"/>
                <w:szCs w:val="20"/>
                <w:lang w:val="en-SG"/>
              </w:rPr>
              <w:fldChar w:fldCharType="end"/>
            </w:r>
            <w:r w:rsidRPr="00905608" w:rsidR="00905608">
              <w:rPr>
                <w:rFonts w:ascii="Calibri" w:hAnsi="Calibri" w:eastAsia="Calibri" w:cs="Calibri"/>
                <w:color w:val="000000" w:themeColor="text1"/>
                <w:sz w:val="20"/>
                <w:szCs w:val="20"/>
                <w:lang w:val="en-SG"/>
              </w:rPr>
              <w:t> </w:t>
            </w:r>
          </w:p>
        </w:tc>
      </w:tr>
      <w:tr w:rsidRPr="00905608" w:rsidR="00FA67B9" w:rsidTr="00905608" w14:paraId="70718DAE"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23CDD3BE"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2A40E350"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165D2BE3" w14:textId="77777777">
            <w:pPr>
              <w:spacing w:line="480" w:lineRule="auto"/>
              <w:rPr>
                <w:rFonts w:ascii="Calibri" w:hAnsi="Calibri" w:eastAsia="Calibri" w:cs="Calibri"/>
                <w:color w:val="000000" w:themeColor="text1"/>
                <w:sz w:val="20"/>
                <w:szCs w:val="20"/>
                <w:lang w:val="en-SG"/>
              </w:rPr>
            </w:pPr>
          </w:p>
        </w:tc>
        <w:tc>
          <w:tcPr>
            <w:tcW w:w="112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0F69634F" w14:textId="4ECFAC92">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Soil Carbon</w:t>
            </w:r>
            <w:r w:rsidR="0057000B">
              <w:rPr>
                <w:rFonts w:ascii="Calibri" w:hAnsi="Calibri" w:eastAsia="Calibri" w:cs="Calibri"/>
                <w:color w:val="000000" w:themeColor="text1"/>
                <w:sz w:val="20"/>
                <w:szCs w:val="20"/>
              </w:rPr>
              <w:fldChar w:fldCharType="begin"/>
            </w:r>
            <w:r w:rsidR="0057000B">
              <w:rPr>
                <w:rFonts w:ascii="Calibri" w:hAnsi="Calibri" w:eastAsia="Calibri" w:cs="Calibri"/>
                <w:color w:val="000000" w:themeColor="text1"/>
                <w:sz w:val="20"/>
                <w:szCs w:val="20"/>
              </w:rPr>
              <w:instrText xml:space="preserve"> ADDIN ZOTERO_ITEM CSL_CITATION {"citationID":"Qe6TuVR9","properties":{"formattedCitation":"(Sanderman et al., 2018)","plainCitation":"(Sanderman et al., 2018)","noteIndex":0},"citationItems":[{"id":3150,"uris":["http://zotero.org/users/19517417/items/69T2F65X"],"itemData":{"id":3150,"type":"article-journal","abstract":"With the growing recognition that effective action on climate change will require a combination of emissions reductions and carbon sequestration, protecting, enhancing and restoring natural carbon sinks have become political priorities. Mangrove forests are considered some of the most carbon-dense ecosystems in the world with most of the carbon stored in the soil. In order for mangrove forests to be included in climate mitigation efforts, knowledge of the spatial distribution of mangrove soil carbon stocks are critical. Current global estimates do not capture enough of the finer scale variability that would be required to inform local decisions on siting protection and restoration projects. To close this knowledge gap, we have compiled a large georeferenced database of mangrove soil carbon measurements and developed a novel machine-learning based statistical model of the distribution of carbon density using spatially comprehensive data at a 30 m resolution. This model, which included a prior estimate of soil carbon from the global SoilGrids 250 m model, was able to capture 63% of the vertical and horizontal variability in soil organic carbon density (RMSE of 10.9 kg m−3). Of the local variables, total suspended sediment load and Landsat imagery were the most important variable explaining soil carbon density. Projecting this model across the global mangrove forest distribution for the year 2000 yielded an estimate of 6.4 Pg C for the top meter of soil with an 86–729 Mg C ha−1 range across all pixels. By utilizing remotely-sensed mangrove forest cover change data, loss of soil carbon due to mangrove habitat loss between 2000 and 2015 was 30–122 Tg C with &gt;75% of this loss attributable to Indonesia, Malaysia and Myanmar. The resulting map products from this work are intended to serve nations seeking to include mangrove habitats in payment-for- ecosystem services projects and in designing effective mangrove conservation strategies.","container-title":"Environmental Research Letters","DOI":"10.1088/1748-9326/aabe1c","ISSN":"1748-9326","issue":"5","journalAbbreviation":"Environ. Res. Lett.","language":"en","page":"055002","publisher":"IOP Publishing","source":"Institute of Physics","title":"A global map of mangrove forest soil carbon at 30 m spatial resolution","volume":"13","author":[{"family":"Sanderman","given":"Jonathan"},{"family":"Hengl","given":"Tomislav"},{"family":"Fiske","given":"Greg"},{"family":"Solvik","given":"Kylen"},{"family":"Adame","given":"Maria Fernanda"},{"family":"Benson","given":"Lisa"},{"family":"Bukoski","given":"Jacob J"},{"family":"Carnell","given":"Paul"},{"family":"Cifuentes-Jara","given":"Miguel"},{"family":"Donato","given":"Daniel"},{"family":"Duncan","given":"Clare"},{"family":"Eid","given":"Ebrahem M"},{"family":"Ermgassen","given":"Philine","dropping-particle":"zu"},{"family":"Lewis","given":"Carolyn J Ewers"},{"family":"Macreadie","given":"Peter I"},{"family":"Glass","given":"Leah"},{"family":"Gress","given":"Selena"},{"family":"Jardine","given":"Sunny L"},{"family":"Jones","given":"Trevor G"},{"family":"Nsombo","given":"Eugéne Ndemem"},{"family":"Rahman","given":"Md Mizanur"},{"family":"Sanders","given":"Christian J"},{"family":"Spalding","given":"Mark"},{"family":"Landis","given":"Emily"}],"issued":{"date-parts":[["2018",4]]}}}],"schema":"https://github.com/citation-style-language/schema/raw/master/csl-citation.json"} </w:instrText>
            </w:r>
            <w:r w:rsidR="0057000B">
              <w:rPr>
                <w:rFonts w:ascii="Calibri" w:hAnsi="Calibri" w:eastAsia="Calibri" w:cs="Calibri"/>
                <w:color w:val="000000" w:themeColor="text1"/>
                <w:sz w:val="20"/>
                <w:szCs w:val="20"/>
              </w:rPr>
              <w:fldChar w:fldCharType="separate"/>
            </w:r>
            <w:r w:rsidRPr="0057000B" w:rsidR="0057000B">
              <w:rPr>
                <w:rFonts w:ascii="Calibri" w:hAnsi="Calibri" w:cs="Calibri"/>
                <w:sz w:val="20"/>
              </w:rPr>
              <w:t>(Sanderman et al., 2018)</w:t>
            </w:r>
            <w:r w:rsidR="0057000B">
              <w:rPr>
                <w:rFonts w:ascii="Calibri" w:hAnsi="Calibri" w:eastAsia="Calibri" w:cs="Calibri"/>
                <w:color w:val="000000" w:themeColor="text1"/>
                <w:sz w:val="20"/>
                <w:szCs w:val="20"/>
              </w:rPr>
              <w:fldChar w:fldCharType="end"/>
            </w:r>
          </w:p>
        </w:tc>
        <w:tc>
          <w:tcPr>
            <w:tcW w:w="1864"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91377E2"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Their model captured 84% of the variation; 30 </w:t>
            </w:r>
            <w:proofErr w:type="gramStart"/>
            <w:r w:rsidRPr="00905608">
              <w:rPr>
                <w:rFonts w:ascii="Calibri" w:hAnsi="Calibri" w:eastAsia="Calibri" w:cs="Calibri"/>
                <w:color w:val="000000" w:themeColor="text1"/>
                <w:sz w:val="20"/>
                <w:szCs w:val="20"/>
              </w:rPr>
              <w:t>m ;</w:t>
            </w:r>
            <w:proofErr w:type="gramEnd"/>
            <w:r w:rsidRPr="00905608">
              <w:rPr>
                <w:rFonts w:ascii="Calibri" w:hAnsi="Calibri" w:eastAsia="Calibri" w:cs="Calibri"/>
                <w:color w:val="000000" w:themeColor="text1"/>
                <w:sz w:val="20"/>
                <w:szCs w:val="20"/>
              </w:rPr>
              <w:t> 2000</w:t>
            </w:r>
            <w:r w:rsidRPr="00905608">
              <w:rPr>
                <w:rFonts w:ascii="Calibri" w:hAnsi="Calibri" w:eastAsia="Calibri" w:cs="Calibri"/>
                <w:color w:val="000000" w:themeColor="text1"/>
                <w:sz w:val="20"/>
                <w:szCs w:val="20"/>
                <w:lang w:val="en-SG"/>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5AEAFD0E"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03FAE7C5" w14:textId="77777777">
            <w:pPr>
              <w:spacing w:line="480" w:lineRule="auto"/>
              <w:rPr>
                <w:rFonts w:ascii="Calibri" w:hAnsi="Calibri" w:eastAsia="Calibri" w:cs="Calibri"/>
                <w:color w:val="000000" w:themeColor="text1"/>
                <w:sz w:val="20"/>
                <w:szCs w:val="20"/>
                <w:lang w:val="en-SG"/>
              </w:rPr>
            </w:pPr>
          </w:p>
        </w:tc>
        <w:tc>
          <w:tcPr>
            <w:tcW w:w="0" w:type="auto"/>
            <w:tcBorders>
              <w:top w:val="single" w:color="auto" w:sz="6" w:space="0"/>
              <w:left w:val="single" w:color="auto" w:sz="6" w:space="0"/>
              <w:bottom w:val="single" w:color="auto" w:sz="6" w:space="0"/>
              <w:right w:val="single" w:color="auto" w:sz="6" w:space="0"/>
            </w:tcBorders>
          </w:tcPr>
          <w:p w:rsidRPr="00905608" w:rsidR="00905608" w:rsidP="00905608" w:rsidRDefault="00905608" w14:paraId="1D3BD0CF" w14:textId="002B2D03">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4B9A1056" w14:textId="1A4D2973">
            <w:pPr>
              <w:spacing w:line="480" w:lineRule="auto"/>
              <w:rPr>
                <w:rFonts w:ascii="Calibri" w:hAnsi="Calibri" w:eastAsia="Calibri" w:cs="Calibri"/>
                <w:color w:val="000000" w:themeColor="text1"/>
                <w:sz w:val="20"/>
                <w:szCs w:val="20"/>
                <w:lang w:val="en-SG"/>
              </w:rPr>
            </w:pPr>
          </w:p>
        </w:tc>
      </w:tr>
      <w:tr w:rsidRPr="00905608" w:rsidR="00FA67B9" w:rsidTr="00905608" w14:paraId="42F96DA7" w14:textId="77777777">
        <w:trPr>
          <w:trHeight w:val="300"/>
        </w:trPr>
        <w:tc>
          <w:tcPr>
            <w:tcW w:w="972"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4F552F44"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Seagrasses</w:t>
            </w:r>
            <w:r w:rsidRPr="00905608">
              <w:rPr>
                <w:rFonts w:ascii="Calibri" w:hAnsi="Calibri" w:eastAsia="Calibri" w:cs="Calibri"/>
                <w:color w:val="000000" w:themeColor="text1"/>
                <w:sz w:val="20"/>
                <w:szCs w:val="20"/>
                <w:lang w:val="en-SG"/>
              </w:rPr>
              <w:t> </w:t>
            </w:r>
          </w:p>
        </w:tc>
        <w:tc>
          <w:tcPr>
            <w:tcW w:w="693" w:type="dxa"/>
            <w:tcBorders>
              <w:top w:val="single" w:color="auto" w:sz="6" w:space="0"/>
              <w:left w:val="single" w:color="auto" w:sz="6" w:space="0"/>
              <w:bottom w:val="single" w:color="auto" w:sz="6" w:space="0"/>
              <w:right w:val="single" w:color="auto" w:sz="6" w:space="0"/>
            </w:tcBorders>
            <w:hideMark/>
          </w:tcPr>
          <w:p w:rsidRPr="00905608" w:rsidR="00905608" w:rsidP="00905608" w:rsidRDefault="00166881" w14:paraId="120322A4" w14:textId="76DF18D3">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{"citationID":"ANZbBdch","properties":{"formattedCitation":"(McKenzie et al., 2020)","plainCitation":"(McKenzie et al., 2020)","noteIndex":0},"citationItems":[{"id":320,"uris":["http://zotero.org/users/19517417/items/RWMDT3L4"],"itemData":{"id":320,"type":"article-journal","abstract":"Seagrass meadows globally are under pressure with worldwide loss and degradation, but there is a growing recognition of the global importance of seagrass ecosystem services, particularly as a major carbon sink and as fisheries habitat. Estimates of global seagrass spatial distribution differ greatly throughout the published literature, ranging from 177 000 to 600 000 km2 with models suggesting potential distribution an order of magnitude higher. The requirements of the Paris Climate Agreement by outlining National Determined Contributions (NDC’s) to reduce emissions is placing an increased global focus on the spatial extent, loss and restoration of seagrass meadows. Now more than ever there is a need to provide a more accurate and consistent measure of the global spatial distribution of seagrass. There is also a need to be able to assess the global spread of other seagrass ecosystem services and in their extension, the values of these services. In this study, by rationalising and updating a range of existing datasets of seagrass distribution around the globe, we have estimated with Moderate to High confidence the global seagrass area to date as 160 387 km2, but possibly 266 562 km2 with lower confidence. We break this global estimate down to a national level with a detailed analysis of the current state of mapped distribution and estimates of seagrass area per country. Accurate estimates, however, are challenged by large areas remaining unmapped and inconsistent measures being used. Through the examination of current global maps, we are able to propose a pathway forward for improving mapping of this important resource. More accurate measure of global #seagrass distribution, critical for assessing current state and trends","container-title":"Environmental Research Letters","DOI":"10.1088/1748-9326/ab7d06","ISSN":"1748-9326","issue":"7","journalAbbreviation":"Environ. Res. Lett.","language":"en","page":"074041","publisher":"IOP Publishing","source":"Institute of Physics","title":"The global distribution of seagrass meadows","volume":"15","author":[{"family":"McKenzie","given":"Len J"},{"family":"Nordlund","given":"Lina M"},{"family":"Jones","given":"Benjamin L"},{"family":"Cullen-Unsworth","given":"Leanne C"},{"family":"Roelfsema","given":"Chris"},{"family":"Unsworth","given":"Richard K F"}],"issued":{"date-parts":[["2020",7]]}}}],"schema":"https://github.com/citation-style-language/schema/raw/master/csl-citation.json"}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166881">
              <w:rPr>
                <w:rFonts w:ascii="Calibri" w:hAnsi="Calibri" w:cs="Calibri"/>
                <w:sz w:val="20"/>
              </w:rPr>
              <w:t>(McKenzie et al., 2020)</w:t>
            </w:r>
            <w:r>
              <w:rPr>
                <w:rFonts w:ascii="Calibri" w:hAnsi="Calibri" w:eastAsia="Calibri" w:cs="Calibri"/>
                <w:color w:val="000000" w:themeColor="text1"/>
                <w:sz w:val="20"/>
                <w:szCs w:val="20"/>
                <w:lang w:val="en-SG"/>
              </w:rPr>
              <w:fldChar w:fldCharType="end"/>
            </w:r>
          </w:p>
        </w:tc>
        <w:tc>
          <w:tcPr>
            <w:tcW w:w="1507"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1D54A660"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Not Reported; 30 </w:t>
            </w:r>
            <w:proofErr w:type="gramStart"/>
            <w:r w:rsidRPr="00905608">
              <w:rPr>
                <w:rFonts w:ascii="Calibri" w:hAnsi="Calibri" w:eastAsia="Calibri" w:cs="Calibri"/>
                <w:color w:val="000000" w:themeColor="text1"/>
                <w:sz w:val="20"/>
                <w:szCs w:val="20"/>
              </w:rPr>
              <w:t>m ;</w:t>
            </w:r>
            <w:proofErr w:type="gramEnd"/>
            <w:r w:rsidRPr="00905608">
              <w:rPr>
                <w:rFonts w:ascii="Calibri" w:hAnsi="Calibri" w:eastAsia="Calibri" w:cs="Calibri"/>
                <w:color w:val="000000" w:themeColor="text1"/>
                <w:sz w:val="20"/>
                <w:szCs w:val="20"/>
              </w:rPr>
              <w:t> 2020</w:t>
            </w:r>
            <w:r w:rsidRPr="00905608">
              <w:rPr>
                <w:rFonts w:ascii="Calibri" w:hAnsi="Calibri" w:eastAsia="Calibri" w:cs="Calibri"/>
                <w:color w:val="000000" w:themeColor="text1"/>
                <w:sz w:val="20"/>
                <w:szCs w:val="20"/>
                <w:lang w:val="en-SG"/>
              </w:rPr>
              <w:t> </w:t>
            </w:r>
          </w:p>
        </w:tc>
        <w:tc>
          <w:tcPr>
            <w:tcW w:w="112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37F7E93" w14:textId="606DEEF8">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Aboveground and soil carbon</w:t>
            </w:r>
            <w:r w:rsidR="00166881">
              <w:rPr>
                <w:rFonts w:ascii="Calibri" w:hAnsi="Calibri" w:eastAsia="Calibri" w:cs="Calibri"/>
                <w:color w:val="000000" w:themeColor="text1"/>
                <w:sz w:val="20"/>
                <w:szCs w:val="20"/>
              </w:rPr>
              <w:fldChar w:fldCharType="begin"/>
            </w:r>
            <w:r w:rsidR="00166881">
              <w:rPr>
                <w:rFonts w:ascii="Calibri" w:hAnsi="Calibri" w:eastAsia="Calibri" w:cs="Calibri"/>
                <w:color w:val="000000" w:themeColor="text1"/>
                <w:sz w:val="20"/>
                <w:szCs w:val="20"/>
              </w:rPr>
              <w:instrText xml:space="preserve"> ADDIN ZOTERO_ITEM CSL_CITATION {"citationID":"kn9BqNSv","properties":{"formattedCitation":"(Krause et al., 2025)","plainCitation":"(Krause et al., 2025)","noteIndex":0},"citationItems":[{"id":3141,"uris":["http://zotero.org/users/19517417/items/86AFLF7M"],"itemData":{"id":3141,"type":"article-journal","abstract":"Seagrass ecosystems are recognized for their capacity to sequester and store organic carbon, but there is large variability in soil organic carbon stocks associated with plant traits and environmental conditions, making the quantification and scaling of carbon storage and fluxes needed to contribute to climate change mitigation highly challenging. Here, we provide estimates of carbon stocks associated with seagrass systems (biomass and soil) through analyses of a comprehensive global database including 2700+ seagrass soil cores. The median global soil Corg stock estimate is 24.2 (12.4 – 44.9) Mg Corg ha−1 in the top 30 cm of soil, 27% lower than estimates from previous global syntheses, refining the IPCC Tier 1 soil Corg stock currently used for carbon accounting in places without local data. We estimate that seagrass carbon stocks at risk of degradation could emit 1,154 Tg (665 – 1699) CO2 with a social cost of $213 billion (2020 US dollars), if no action is taken to conserve these habitats.","container-title":"Nature Communications","DOI":"10.1038/s41467-025-59204-4","ISSN":"2041-1723","issue":"1","journalAbbreviation":"Nat Commun","language":"en","license":"2025 The Author(s)","page":"3798","publisher":"Nature Publishing Group","source":"www-nature-com.libproxy1.nus.edu.sg","title":"Global seagrass carbon stock variability and emissions from seagrass loss","volume":"16","author":[{"family":"Krause","given":"Johannes R."},{"family":"Cameron","given":"Clint"},{"family":"Arias-Ortiz","given":"Ariane"},{"family":"Cifuentes-Jara","given":"Miguel"},{"family":"Crooks","given":"Steve"},{"family":"Dahl","given":"Martin"},{"family":"Friess","given":"Daniel A."},{"family":"Kennedy","given":"Hilary"},{"family":"Lim","given":"Kiah Eng"},{"family":"Lovelock","given":"Catherine E."},{"family":"Marbà","given":"Núria"},{"family":"McGlathery","given":"Karen J."},{"family":"Oreska","given":"Matthew P. J."},{"family":"Pidgeon","given":"Emily"},{"family":"Serrano","given":"Oscar"},{"family":"Vanderklift","given":"Mathew A."},{"family":"Wong","given":"Lynn-Wei"},{"family":"Yaakub","given":"Siti Maryam"},{"family":"Fourqurean","given":"James W."}],"issued":{"date-parts":[["2025",5,6]]}}}],"schema":"https://github.com/citation-style-language/schema/raw/master/csl-citation.json"} </w:instrText>
            </w:r>
            <w:r w:rsidR="00166881">
              <w:rPr>
                <w:rFonts w:ascii="Calibri" w:hAnsi="Calibri" w:eastAsia="Calibri" w:cs="Calibri"/>
                <w:color w:val="000000" w:themeColor="text1"/>
                <w:sz w:val="20"/>
                <w:szCs w:val="20"/>
              </w:rPr>
              <w:fldChar w:fldCharType="separate"/>
            </w:r>
            <w:r w:rsidRPr="00166881" w:rsidR="00166881">
              <w:rPr>
                <w:rFonts w:ascii="Calibri" w:hAnsi="Calibri" w:cs="Calibri"/>
                <w:sz w:val="20"/>
              </w:rPr>
              <w:t>(Krause et al., 2025)</w:t>
            </w:r>
            <w:r w:rsidR="00166881">
              <w:rPr>
                <w:rFonts w:ascii="Calibri" w:hAnsi="Calibri" w:eastAsia="Calibri" w:cs="Calibri"/>
                <w:color w:val="000000" w:themeColor="text1"/>
                <w:sz w:val="20"/>
                <w:szCs w:val="20"/>
              </w:rPr>
              <w:fldChar w:fldCharType="end"/>
            </w:r>
            <w:r w:rsidRPr="00905608">
              <w:rPr>
                <w:rFonts w:ascii="Calibri" w:hAnsi="Calibri" w:eastAsia="Calibri" w:cs="Calibri"/>
                <w:color w:val="000000" w:themeColor="text1"/>
                <w:sz w:val="20"/>
                <w:szCs w:val="20"/>
                <w:lang w:val="en-SG"/>
              </w:rPr>
              <w:t> </w:t>
            </w:r>
          </w:p>
        </w:tc>
        <w:tc>
          <w:tcPr>
            <w:tcW w:w="1864"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D27B51A"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Confidence Interval = 12.4 to 44.9 Mg </w:t>
            </w:r>
            <w:proofErr w:type="spellStart"/>
            <w:r w:rsidRPr="00905608">
              <w:rPr>
                <w:rFonts w:ascii="Calibri" w:hAnsi="Calibri" w:eastAsia="Calibri" w:cs="Calibri"/>
                <w:color w:val="000000" w:themeColor="text1"/>
                <w:sz w:val="20"/>
                <w:szCs w:val="20"/>
              </w:rPr>
              <w:t>Corg</w:t>
            </w:r>
            <w:proofErr w:type="spellEnd"/>
            <w:r w:rsidRPr="00905608">
              <w:rPr>
                <w:rFonts w:ascii="Calibri" w:hAnsi="Calibri" w:eastAsia="Calibri" w:cs="Calibri"/>
                <w:color w:val="000000" w:themeColor="text1"/>
                <w:sz w:val="20"/>
                <w:szCs w:val="20"/>
              </w:rPr>
              <w:t>​ ha−</w:t>
            </w:r>
            <w:proofErr w:type="gramStart"/>
            <w:r w:rsidRPr="00905608">
              <w:rPr>
                <w:rFonts w:ascii="Calibri" w:hAnsi="Calibri" w:eastAsia="Calibri" w:cs="Calibri"/>
                <w:color w:val="000000" w:themeColor="text1"/>
                <w:sz w:val="20"/>
                <w:szCs w:val="20"/>
              </w:rPr>
              <w:t>1 ;</w:t>
            </w:r>
            <w:proofErr w:type="gramEnd"/>
            <w:r w:rsidRPr="00905608">
              <w:rPr>
                <w:rFonts w:ascii="Calibri" w:hAnsi="Calibri" w:eastAsia="Calibri" w:cs="Calibri"/>
                <w:color w:val="000000" w:themeColor="text1"/>
                <w:sz w:val="20"/>
                <w:szCs w:val="20"/>
              </w:rPr>
              <w:t> 30 </w:t>
            </w:r>
            <w:proofErr w:type="gramStart"/>
            <w:r w:rsidRPr="00905608">
              <w:rPr>
                <w:rFonts w:ascii="Calibri" w:hAnsi="Calibri" w:eastAsia="Calibri" w:cs="Calibri"/>
                <w:color w:val="000000" w:themeColor="text1"/>
                <w:sz w:val="20"/>
                <w:szCs w:val="20"/>
              </w:rPr>
              <w:t>m ;</w:t>
            </w:r>
            <w:proofErr w:type="gramEnd"/>
            <w:r w:rsidRPr="00905608">
              <w:rPr>
                <w:rFonts w:ascii="Calibri" w:hAnsi="Calibri" w:eastAsia="Calibri" w:cs="Calibri"/>
                <w:color w:val="000000" w:themeColor="text1"/>
                <w:sz w:val="20"/>
                <w:szCs w:val="20"/>
              </w:rPr>
              <w:t> variable</w:t>
            </w:r>
            <w:r w:rsidRPr="00905608">
              <w:rPr>
                <w:rFonts w:ascii="Calibri" w:hAnsi="Calibri" w:eastAsia="Calibri" w:cs="Calibri"/>
                <w:color w:val="000000" w:themeColor="text1"/>
                <w:sz w:val="20"/>
                <w:szCs w:val="20"/>
                <w:lang w:val="en-SG"/>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575B8F45"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6E942853" w14:textId="77777777">
            <w:pPr>
              <w:spacing w:line="480" w:lineRule="auto"/>
              <w:rPr>
                <w:rFonts w:ascii="Calibri" w:hAnsi="Calibri" w:eastAsia="Calibri" w:cs="Calibri"/>
                <w:color w:val="000000" w:themeColor="text1"/>
                <w:sz w:val="20"/>
                <w:szCs w:val="20"/>
                <w:lang w:val="en-SG"/>
              </w:rPr>
            </w:pPr>
          </w:p>
        </w:tc>
        <w:tc>
          <w:tcPr>
            <w:tcW w:w="155" w:type="dxa"/>
            <w:tcBorders>
              <w:top w:val="single" w:color="auto" w:sz="6" w:space="0"/>
              <w:left w:val="single" w:color="auto" w:sz="6" w:space="0"/>
              <w:bottom w:val="single" w:color="auto" w:sz="6" w:space="0"/>
              <w:right w:val="single" w:color="auto" w:sz="6" w:space="0"/>
            </w:tcBorders>
          </w:tcPr>
          <w:p w:rsidRPr="00905608" w:rsidR="00905608" w:rsidP="00905608" w:rsidRDefault="00905608" w14:paraId="204C0BCB" w14:textId="136A8869">
            <w:pPr>
              <w:spacing w:line="480" w:lineRule="auto"/>
              <w:rPr>
                <w:rFonts w:ascii="Calibri" w:hAnsi="Calibri" w:eastAsia="Calibri" w:cs="Calibri"/>
                <w:color w:val="000000" w:themeColor="text1"/>
                <w:sz w:val="20"/>
                <w:szCs w:val="20"/>
                <w:vertAlign w:val="superscript"/>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{"citationID":"8yjZljCy","properties":{"formattedCitation":"(UN Environmental Programme, 2025)","plainCitation":"(UN Environmental Programme, 2025)","noteIndex":0},"citationItems":[{"id":4057,"uris":["http://zotero.org/users/19517417/items/37G7ANBY"],"itemData":{"id":4057,"type":"webpage","abstract":"Seagrasses are marine flowering plants that are found in shallow waters in many parts of the world, from the tropics to the Arctic circle. They form extensive underwater meadows, creating complex, highly productive and biologically rich habitats.Covering only 0.1% of the ocean floor, these seagrass meadows provide food and shelter to thousands of species of fish, seahorses, turtles, etc. and sustain some of the world’s largest fisheries. They improve water quality by filtering, cycling and storing nutrients and pollutants, reducing contamination in seafood. Highly efficient carbon sinks, they can store up to 18% of the world’s oceanic carbon, making them a powerful nature-based solutions to tackle climate change impacts. Because they buffer ocean acidification, they contribute to the resilience of the most vulnerable ecosystems and species, such as coral reefs. And to the coastal populations, they act as the first line of defense along coasts by reducing wave energy, protecting people from the increasing risk of floods and storms.BackgroundIn May 2022, the General Assembly adopted A/RES/76/265 proclaiming 1 March as World Seagrass Day. The resolution highlights the urgent need to raise awareness at all levels and to promote and facilitate actions for the conservation of seagrasses in order to contribute to their health and development, bearing in mind that enhancing ecosystem services and functions is important for the achievement of the Sustainable Development Goals.Further resourcesOut of the Blue: The Value of Seagrasses to the Environment and to People (Report)Global Distribution of Seagrasses (Report)Marine and Coastal Ecosystems Framework (Report)","language":"en","publisher":"UNEP","title":"World Seagrass Day 2025","URL":"https://www.unep.org/events/un-day/world-seagrass-day-2025","author":[{"family":"UN Environmental Programme","given":""}],"accessed":{"date-parts":[["2026",2,7]]},"issued":{"date-parts":[["2025"]]}}}],"schema":"https://github.com/citation-style-language/schema/raw/master/csl-citation.json"}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905608">
              <w:rPr>
                <w:rFonts w:ascii="Calibri" w:hAnsi="Calibri" w:cs="Calibri"/>
                <w:sz w:val="20"/>
              </w:rPr>
              <w:t xml:space="preserve">(UN Environmental </w:t>
            </w:r>
            <w:proofErr w:type="spellStart"/>
            <w:r w:rsidRPr="00905608">
              <w:rPr>
                <w:rFonts w:ascii="Calibri" w:hAnsi="Calibri" w:cs="Calibri"/>
                <w:sz w:val="20"/>
              </w:rPr>
              <w:t>Programme</w:t>
            </w:r>
            <w:proofErr w:type="spellEnd"/>
            <w:r w:rsidRPr="00905608">
              <w:rPr>
                <w:rFonts w:ascii="Calibri" w:hAnsi="Calibri" w:cs="Calibri"/>
                <w:sz w:val="20"/>
              </w:rPr>
              <w:t>, 2025)</w:t>
            </w:r>
            <w:r>
              <w:rPr>
                <w:rFonts w:ascii="Calibri" w:hAnsi="Calibri" w:eastAsia="Calibri" w:cs="Calibri"/>
                <w:color w:val="000000" w:themeColor="text1"/>
                <w:sz w:val="20"/>
                <w:szCs w:val="20"/>
                <w:lang w:val="en-SG"/>
              </w:rPr>
              <w:fldChar w:fldCharType="end"/>
            </w:r>
            <w:r>
              <w:rPr>
                <w:rFonts w:ascii="Calibri" w:hAnsi="Calibri" w:eastAsia="Calibri" w:cs="Calibri"/>
                <w:color w:val="000000" w:themeColor="text1"/>
                <w:sz w:val="20"/>
                <w:szCs w:val="20"/>
                <w:vertAlign w:val="superscript"/>
              </w:rPr>
              <w:fldChar w:fldCharType="begin"/>
            </w:r>
            <w:r>
              <w:rPr>
                <w:rFonts w:ascii="Calibri" w:hAnsi="Calibri" w:eastAsia="Calibri" w:cs="Calibri"/>
                <w:color w:val="000000" w:themeColor="text1"/>
                <w:sz w:val="20"/>
                <w:szCs w:val="20"/>
                <w:vertAlign w:val="superscript"/>
              </w:rPr>
              <w:instrText xml:space="preserve"> ADDIN ZOTERO_ITEM CSL_CITATION {"citationID":"9DhtVEhg","properties":{"formattedCitation":"(Brook et al., 2025)","plainCitation":"(Brook et al., 2025)","noteIndex":0},"citationItems":[{"id":4049,"uris":["http://zotero.org/users/19517417/items/KMSKT6NV"],"itemData":{"id":4049,"type":"article-journal","container-title":"STATE OF THE WORLD","language":"en","source":"Zotero","title":"State of the World's Saltmarshes 2025","author":[{"family":"Brook","given":"Thomas"},{"family":"Millington-Drake","given":"Maddie"},{"family":"McGarrigle","given":"Aisling"},{"family":"Garbutt","given":"Angus"},{"family":"Rodriguez","given":"Kristina"}],"issued":{"date-parts":[["2025"]]}}}],"schema":"https://github.com/citation-style-language/schema/raw/master/csl-citation.json"} </w:instrText>
            </w:r>
            <w:r>
              <w:rPr>
                <w:rFonts w:ascii="Calibri" w:hAnsi="Calibri" w:eastAsia="Calibri" w:cs="Calibri"/>
                <w:color w:val="000000" w:themeColor="text1"/>
                <w:sz w:val="20"/>
                <w:szCs w:val="20"/>
                <w:vertAlign w:val="superscript"/>
              </w:rPr>
              <w:fldChar w:fldCharType="separate"/>
            </w:r>
            <w:r>
              <w:rPr>
                <w:rFonts w:ascii="Calibri" w:hAnsi="Calibri" w:eastAsia="Calibri" w:cs="Calibri"/>
                <w:color w:val="000000" w:themeColor="text1"/>
                <w:sz w:val="20"/>
                <w:szCs w:val="20"/>
                <w:vertAlign w:val="superscript"/>
              </w:rPr>
              <w:fldChar w:fldCharType="end"/>
            </w:r>
          </w:p>
        </w:tc>
        <w:tc>
          <w:tcPr>
            <w:tcW w:w="101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166881" w14:paraId="44DBE553" w14:textId="4D810784">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{"citationID":"V5IqsxxJ","properties":{"formattedCitation":"(Griscom et al., 2020)","plainCitation":"(Griscom et al., 2020)","noteIndex":0},"citationItems":[{"id":188,"uris":["http://zotero.org/users/19517417/items/A6PJWQRN"],"itemData":{"id":188,"type":"article-journal","abstract":"Better land stewardship is needed to achieve the Paris Agreement's temperature goal, particularly in the tropics, where greenhouse gas emissions from the destruction of ecosystems are largest, and where the potential for additional land carbon storage is greatest. As countries enhance their nationally determined contributions (NDCs) to the Paris Agreement, confusion persists about the potential contribution of better land stewardship to meeting the Agreement's goal to hold global warming below 2°C. We assess cost-effective tropical country-level potential of natural climate solutions (NCS)—protection, improved management and restoration of ecosystems—to deliver climate mitigation linked with sustainable development goals (SDGs). We identify groups of countries with distinctive NCS portfolios, and we explore factors (governance, financial capacity) influencing the feasibility of unlocking national NCS potential. Cost-effective tropical NCS offers globally significant climate mitigation in the coming decades (6.56 Pg CO2e yr−1 at less than 100 US$ per Mg CO2e). In half of the tropical countries, cost-effective NCS could mitigate over half of national emissions. In more than a quarter of tropical countries, cost-effective NCS potential is greater than national emissions. We identify countries where, with international financing and political will, NCS can cost-effectively deliver the majority of enhanced NDCs while transforming national economies and contributing to SDGs.\nThis article is part of the theme issue ‘Climate change and ecosystems: threats, opportunities and solutions’.","container-title":"Philosophical Transactions of the Royal Society B: Biological Sciences","DOI":"10.1098/rstb.2019.0126","issue":"1794","page":"20190126","publisher":"Royal Society","source":"royalsocietypublishing.org (Atypon)","title":"National mitigation potential from natural climate solutions in the tropics","volume":"375","author":[{"family":"Griscom","given":"Bronson W."},{"family":"Busch","given":"Jonah"},{"family":"Cook-Patton","given":"Susan C."},{"family":"Ellis","given":"Peter W."},{"family":"Funk","given":"Jason"},{"family":"Leavitt","given":"Sara M."},{"family":"Lomax","given":"Guy"},{"family":"Turner","given":"Will R."},{"family":"Chapman","given":"Melissa"},{"family":"Engelmann","given":"Jens"},{"family":"Gurwick","given":"Noel P."},{"family":"Landis","given":"Emily"},{"family":"Lawrence","given":"Deborah"},{"family":"Malhi","given":"Yadvinder"},{"family":"Schindler Murray","given":"Lisa"},{"family":"Navarrete","given":"Diego"},{"family":"Roe","given":"Stephanie"},{"family":"Scull","given":"Sabrina"},{"family":"Smith","given":"Pete"},{"family":"Streck","given":"Charlotte"},{"family":"Walker","given":"Wayne S."},{"family":"Worthington","given":"Thomas"}],"issued":{"date-parts":[["2020",1,27]]}}}],"schema":"https://github.com/citation-style-language/schema/raw/master/csl-citation.json"}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166881">
              <w:rPr>
                <w:rFonts w:ascii="Calibri" w:hAnsi="Calibri" w:cs="Calibri"/>
                <w:sz w:val="20"/>
              </w:rPr>
              <w:t>(Griscom et al., 2020)</w:t>
            </w:r>
            <w:r>
              <w:rPr>
                <w:rFonts w:ascii="Calibri" w:hAnsi="Calibri" w:eastAsia="Calibri" w:cs="Calibri"/>
                <w:color w:val="000000" w:themeColor="text1"/>
                <w:sz w:val="20"/>
                <w:szCs w:val="20"/>
                <w:lang w:val="en-SG"/>
              </w:rPr>
              <w:fldChar w:fldCharType="end"/>
            </w:r>
          </w:p>
        </w:tc>
      </w:tr>
      <w:tr w:rsidRPr="00905608" w:rsidR="00FA67B9" w:rsidTr="00905608" w14:paraId="46E1A0D9" w14:textId="77777777">
        <w:trPr>
          <w:trHeight w:val="300"/>
        </w:trPr>
        <w:tc>
          <w:tcPr>
            <w:tcW w:w="972"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75F08AF6"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lastRenderedPageBreak/>
              <w:t>Tidal Marshes</w:t>
            </w:r>
            <w:r w:rsidRPr="00905608">
              <w:rPr>
                <w:rFonts w:ascii="Calibri" w:hAnsi="Calibri" w:eastAsia="Calibri" w:cs="Calibri"/>
                <w:color w:val="000000" w:themeColor="text1"/>
                <w:sz w:val="20"/>
                <w:szCs w:val="20"/>
                <w:lang w:val="en-SG"/>
              </w:rPr>
              <w:t> </w:t>
            </w:r>
          </w:p>
        </w:tc>
        <w:tc>
          <w:tcPr>
            <w:tcW w:w="693" w:type="dxa"/>
            <w:tcBorders>
              <w:top w:val="single" w:color="auto" w:sz="6" w:space="0"/>
              <w:left w:val="single" w:color="auto" w:sz="6" w:space="0"/>
              <w:bottom w:val="single" w:color="auto" w:sz="6" w:space="0"/>
              <w:right w:val="single" w:color="auto" w:sz="6" w:space="0"/>
            </w:tcBorders>
            <w:hideMark/>
          </w:tcPr>
          <w:p w:rsidRPr="00905608" w:rsidR="00905608" w:rsidP="00905608" w:rsidRDefault="00FA67B9" w14:paraId="281003C4" w14:textId="3C7C009E">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{"citationID":"ALassIrc","properties":{"formattedCitation":"(Worthington et al., 2024)","plainCitation":"(Worthington et al., 2024)","noteIndex":0},"citationItems":[{"id":219,"uris":["http://zotero.org/users/19517417/items/CEUAD6J6"],"itemData":{"id":219,"type":"article-journal","abstract":"Aim Tidal marsh ecosystems are heavily impacted by human activities, highlighting a pressing need to address gaps in our knowledge of their distribution. To better understand the global distribution and changes in tidal marsh extent, and identify opportunities for their conservation and restoration, it is critical to develop a spatial knowledge base of their global occurrence. Here, we develop a globally consistent tidal marsh distribution map for the year 2020 at 10-m resolution. Location Global. Time period 2020. Major taxa studied Tidal marshes. Methods To map the location of the world's tidal marshes at 10-m resolution, we applied a random forest classification model to Earth observation data from the year 2020. We trained the classification model with a reference dataset developed to support distribution mapping of coastal ecosystems, and predicted the spatial distribution of tidal marshes between 60° N and 60° S. We validated the tidal marsh map using standard accuracy assessment methods, with our final map having an overall accuracy score of 0.85. Results We estimate the global extent of tidal marshes in 2020 to be 52,880 km2 (95% CI: 32,030 to 59,780 km2) distributed across 120 countries and territories. Tidal marsh distribution is centred in temperate and Arctic regions, with nearly half of the global extent of tidal marshes occurring in the temperate Northern Atlantic (45%) region. At the national scale, over a third of the global extent (18,510 km2; CI: 11,200–20,900) occurs within the USA. Main conclusions Our analysis provides the most detailed spatial data on global tidal marsh distribution to date and shows that tidal marshes occur in more countries and across a greater proportion of the world's coastline than previous mapping studies. Our map fills a major knowledge gap regarding the distribution of the world's coastal ecosystems and provides the baseline needed for measuring changes in tidal marsh extent and estimating their value in terms of ecosystem services.","container-title":"Global Ecology and Biogeography","DOI":"10.1111/geb.13852","ISSN":"1466-8238","issue":"8","language":"en","license":"© 2024 The Authors. Global Ecology and Biogeography published by John Wiley &amp; Sons Ltd.","note":"_eprint: https://onlinelibrary.wiley.com/doi/pdf/10.1111/geb.13852","page":"e13852","source":"Wiley Online Library","title":"The distribution of global tidal marshes from Earth observation data","volume":"33","author":[{"family":"Worthington","given":"Thomas A."},{"family":"Spalding","given":"Mark"},{"family":"Landis","given":"Emily"},{"family":"Maxwell","given":"Tania L."},{"family":"Navarro","given":"Alejandro"},{"family":"Smart","given":"Lindsey S."},{"family":"Murray","given":"Nicholas J."}],"issued":{"date-parts":[["2024"]]}}}],"schema":"https://github.com/citation-style-language/schema/raw/master/csl-citation.json"}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FA67B9">
              <w:rPr>
                <w:rFonts w:ascii="Calibri" w:hAnsi="Calibri" w:cs="Calibri"/>
                <w:sz w:val="20"/>
              </w:rPr>
              <w:t>(Worthington et al., 2024)</w:t>
            </w:r>
            <w:r>
              <w:rPr>
                <w:rFonts w:ascii="Calibri" w:hAnsi="Calibri" w:eastAsia="Calibri" w:cs="Calibri"/>
                <w:color w:val="000000" w:themeColor="text1"/>
                <w:sz w:val="20"/>
                <w:szCs w:val="20"/>
                <w:lang w:val="en-SG"/>
              </w:rPr>
              <w:fldChar w:fldCharType="end"/>
            </w:r>
          </w:p>
        </w:tc>
        <w:tc>
          <w:tcPr>
            <w:tcW w:w="1507"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096D4E8C"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85%; 10 m; 2020</w:t>
            </w:r>
            <w:r w:rsidRPr="00905608">
              <w:rPr>
                <w:rFonts w:ascii="Calibri" w:hAnsi="Calibri" w:eastAsia="Calibri" w:cs="Calibri"/>
                <w:color w:val="000000" w:themeColor="text1"/>
                <w:sz w:val="20"/>
                <w:szCs w:val="20"/>
                <w:lang w:val="en-SG"/>
              </w:rPr>
              <w:t> </w:t>
            </w:r>
          </w:p>
        </w:tc>
        <w:tc>
          <w:tcPr>
            <w:tcW w:w="112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416B0A41" w14:textId="643E9E03">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Total Ecosystem Carbon</w:t>
            </w:r>
            <w:r w:rsidR="00FA67B9">
              <w:rPr>
                <w:rFonts w:ascii="Calibri" w:hAnsi="Calibri" w:eastAsia="Calibri" w:cs="Calibri"/>
                <w:color w:val="000000" w:themeColor="text1"/>
                <w:sz w:val="20"/>
                <w:szCs w:val="20"/>
              </w:rPr>
              <w:fldChar w:fldCharType="begin"/>
            </w:r>
            <w:r w:rsidR="00FA67B9">
              <w:rPr>
                <w:rFonts w:ascii="Calibri" w:hAnsi="Calibri" w:eastAsia="Calibri" w:cs="Calibri"/>
                <w:color w:val="000000" w:themeColor="text1"/>
                <w:sz w:val="20"/>
                <w:szCs w:val="20"/>
              </w:rPr>
              <w:instrText xml:space="preserve"> ADDIN ZOTERO_ITEM CSL_CITATION {"citationID":"VwiArF5g","properties":{"formattedCitation":"(Macreadie et al., 2021)","plainCitation":"(Macreadie et al., 2021)","noteIndex":0},"citationItems":[{"id":15,"uris":["http://zotero.org/users/19517417/items/CI73SRE9"],"itemData":{"id":15,"type":"article-journal","abstract":"Blue carbon ecosystems (BCEs), including mangrove forests, seagrass meadows and tidal marshes, store carbon and provide co-benefits such as coastal protection and fisheries enhancement. Blue carbon sequestration has therefore been suggested as a natural climate solution. In this Review, we examine the potential for BCEs to act as carbon sinks and the opportunities to protect or restore ecosystems for this function. Globally, BCEs are calculated to store &gt;30,000 Tg C across ~185 million ha, with their conservation potentially avoiding emissions of 304 (141–466) Tg carbon dioxide equivalent (CO2e) per year. Potential BCE restoration has been estimated in the range of 0.2–3.2 million ha for tidal marshes, 8.3–25.4 million ha for seagrasses and 9–13 million ha for mangroves, which could draw down an additional 841 (621–1,064) Tg CO2e per year by 2030, collectively amounting to ~3% of global emissions (based on 2019 and 2020 global annual fossil fuel emissions). Mangrove protection and/or restoration could provide the greatest carbon-related benefits, but better understanding of other BCEs is needed. BCE destruction is unlikely to stop fully, and not all losses can be restored. However, engineering and planning for coastal protection offer opportunities for protection and restoration, especially through valuing co-benefits. BCE prioritization is potentially a cost-effective and scalable natural climate solution, but there are still barriers to overcome before blue carbon project adoption will become widespread.","container-title":"Nature Reviews Earth &amp; Environment","DOI":"10.1038/s43017-021-00224-1","ISSN":"2662-138X","issue":"12","journalAbbreviation":"Nat Rev Earth Environ","language":"en","license":"2021 Springer Nature Limited","note":"number: 12","page":"826-839","publisher":"Nature Publishing Group","source":"www-nature-com.libproxy1.nus.edu.sg","title":"Blue carbon as a natural climate solution","volume":"2","author":[{"family":"Macreadie","given":"Peter I."},{"family":"Costa","given":"Micheli D. P."},{"family":"Atwood","given":"Trisha B."},{"family":"Friess","given":"Daniel A."},{"family":"Kelleway","given":"Jeffrey J."},{"family":"Kennedy","given":"Hilary"},{"family":"Lovelock","given":"Catherine E."},{"family":"Serrano","given":"Oscar"},{"family":"Duarte","given":"Carlos M."}],"issued":{"date-parts":[["2021",12]]}}}],"schema":"https://github.com/citation-style-language/schema/raw/master/csl-citation.json"} </w:instrText>
            </w:r>
            <w:r w:rsidR="00FA67B9">
              <w:rPr>
                <w:rFonts w:ascii="Calibri" w:hAnsi="Calibri" w:eastAsia="Calibri" w:cs="Calibri"/>
                <w:color w:val="000000" w:themeColor="text1"/>
                <w:sz w:val="20"/>
                <w:szCs w:val="20"/>
              </w:rPr>
              <w:fldChar w:fldCharType="separate"/>
            </w:r>
            <w:r w:rsidRPr="00FA67B9" w:rsidR="00FA67B9">
              <w:rPr>
                <w:rFonts w:ascii="Calibri" w:hAnsi="Calibri" w:cs="Calibri"/>
                <w:sz w:val="20"/>
              </w:rPr>
              <w:t>(Macreadie et al., 2021)</w:t>
            </w:r>
            <w:r w:rsidR="00FA67B9">
              <w:rPr>
                <w:rFonts w:ascii="Calibri" w:hAnsi="Calibri" w:eastAsia="Calibri" w:cs="Calibri"/>
                <w:color w:val="000000" w:themeColor="text1"/>
                <w:sz w:val="20"/>
                <w:szCs w:val="20"/>
              </w:rPr>
              <w:fldChar w:fldCharType="end"/>
            </w:r>
          </w:p>
          <w:p w:rsidRPr="00905608" w:rsidR="00905608" w:rsidP="00905608" w:rsidRDefault="00905608" w14:paraId="42753EB3"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lang w:val="en-SG"/>
              </w:rPr>
              <w:t> </w:t>
            </w:r>
          </w:p>
        </w:tc>
        <w:tc>
          <w:tcPr>
            <w:tcW w:w="1864"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26F31FC3"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NA; extrapolate to 1m soil depth; variable</w:t>
            </w:r>
            <w:r w:rsidRPr="00905608">
              <w:rPr>
                <w:rFonts w:ascii="Calibri" w:hAnsi="Calibri" w:eastAsia="Calibri" w:cs="Calibri"/>
                <w:color w:val="000000" w:themeColor="text1"/>
                <w:sz w:val="20"/>
                <w:szCs w:val="20"/>
                <w:lang w:val="en-SG"/>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5816414C"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68D3E90F" w14:textId="77777777">
            <w:pPr>
              <w:spacing w:line="480" w:lineRule="auto"/>
              <w:rPr>
                <w:rFonts w:ascii="Calibri" w:hAnsi="Calibri" w:eastAsia="Calibri" w:cs="Calibri"/>
                <w:color w:val="000000" w:themeColor="text1"/>
                <w:sz w:val="20"/>
                <w:szCs w:val="20"/>
                <w:lang w:val="en-SG"/>
              </w:rPr>
            </w:pPr>
          </w:p>
        </w:tc>
        <w:tc>
          <w:tcPr>
            <w:tcW w:w="155" w:type="dxa"/>
            <w:tcBorders>
              <w:top w:val="single" w:color="auto" w:sz="6" w:space="0"/>
              <w:left w:val="single" w:color="auto" w:sz="6" w:space="0"/>
              <w:bottom w:val="single" w:color="auto" w:sz="6" w:space="0"/>
              <w:right w:val="single" w:color="auto" w:sz="6" w:space="0"/>
            </w:tcBorders>
          </w:tcPr>
          <w:p w:rsidRPr="00905608" w:rsidR="00905608" w:rsidP="00905608" w:rsidRDefault="00905608" w14:paraId="14A9CE9B" w14:textId="61654FCF">
            <w:pPr>
              <w:spacing w:line="480" w:lineRule="auto"/>
              <w:rPr>
                <w:rFonts w:ascii="Calibri" w:hAnsi="Calibri" w:eastAsia="Calibri" w:cs="Calibri"/>
                <w:color w:val="000000" w:themeColor="text1"/>
                <w:sz w:val="20"/>
                <w:szCs w:val="20"/>
                <w:vertAlign w:val="superscript"/>
              </w:rPr>
            </w:pPr>
            <w:r>
              <w:rPr>
                <w:rFonts w:ascii="Calibri" w:hAnsi="Calibri" w:eastAsia="Calibri" w:cs="Calibri"/>
                <w:color w:val="000000" w:themeColor="text1"/>
                <w:sz w:val="20"/>
                <w:szCs w:val="20"/>
                <w:vertAlign w:val="superscript"/>
              </w:rPr>
              <w:fldChar w:fldCharType="begin"/>
            </w:r>
            <w:r>
              <w:rPr>
                <w:rFonts w:ascii="Calibri" w:hAnsi="Calibri" w:eastAsia="Calibri" w:cs="Calibri"/>
                <w:color w:val="000000" w:themeColor="text1"/>
                <w:sz w:val="20"/>
                <w:szCs w:val="20"/>
                <w:vertAlign w:val="superscript"/>
              </w:rPr>
              <w:instrText xml:space="preserve"> ADDIN ZOTERO_ITEM CSL_CITATION {"citationID":"vZ3UKO2v","properties":{"formattedCitation":"(Brook et al., 2025)","plainCitation":"(Brook et al., 2025)","noteIndex":0},"citationItems":[{"id":4049,"uris":["http://zotero.org/users/19517417/items/KMSKT6NV"],"itemData":{"id":4049,"type":"article-journal","container-title":"STATE OF THE WORLD","language":"en","source":"Zotero","title":"State of the World's Saltmarshes 2025","author":[{"family":"Brook","given":"Thomas"},{"family":"Millington-Drake","given":"Maddie"},{"family":"McGarrigle","given":"Aisling"},{"family":"Garbutt","given":"Angus"},{"family":"Rodriguez","given":"Kristina"}],"issued":{"date-parts":[["2025"]]}}}],"schema":"https://github.com/citation-style-language/schema/raw/master/csl-citation.json"} </w:instrText>
            </w:r>
            <w:r>
              <w:rPr>
                <w:rFonts w:ascii="Calibri" w:hAnsi="Calibri" w:eastAsia="Calibri" w:cs="Calibri"/>
                <w:color w:val="000000" w:themeColor="text1"/>
                <w:sz w:val="20"/>
                <w:szCs w:val="20"/>
                <w:vertAlign w:val="superscript"/>
              </w:rPr>
              <w:fldChar w:fldCharType="separate"/>
            </w:r>
            <w:r w:rsidRPr="00905608">
              <w:rPr>
                <w:rFonts w:ascii="Calibri" w:hAnsi="Calibri" w:cs="Calibri"/>
                <w:sz w:val="20"/>
              </w:rPr>
              <w:t>(Brook et al., 2025)</w:t>
            </w:r>
            <w:r>
              <w:rPr>
                <w:rFonts w:ascii="Calibri" w:hAnsi="Calibri" w:eastAsia="Calibri" w:cs="Calibri"/>
                <w:color w:val="000000" w:themeColor="text1"/>
                <w:sz w:val="20"/>
                <w:szCs w:val="20"/>
                <w:vertAlign w:val="superscript"/>
              </w:rPr>
              <w:fldChar w:fldCharType="end"/>
            </w:r>
          </w:p>
        </w:tc>
        <w:tc>
          <w:tcPr>
            <w:tcW w:w="101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B94FEB" w14:paraId="24A0C63C" w14:textId="010344A1">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{"citationID":"fe8mMKH7","properties":{"formattedCitation":"(Griscom et al., 2020)","plainCitation":"(Griscom et al., 2020)","noteIndex":0},"citationItems":[{"id":188,"uris":["http://zotero.org/users/19517417/items/A6PJWQRN"],"itemData":{"id":188,"type":"article-journal","abstract":"Better land stewardship is needed to achieve the Paris Agreement's temperature goal, particularly in the tropics, where greenhouse gas emissions from the destruction of ecosystems are largest, and where the potential for additional land carbon storage is greatest. As countries enhance their nationally determined contributions (NDCs) to the Paris Agreement, confusion persists about the potential contribution of better land stewardship to meeting the Agreement's goal to hold global warming below 2°C. We assess cost-effective tropical country-level potential of natural climate solutions (NCS)—protection, improved management and restoration of ecosystems—to deliver climate mitigation linked with sustainable development goals (SDGs). We identify groups of countries with distinctive NCS portfolios, and we explore factors (governance, financial capacity) influencing the feasibility of unlocking national NCS potential. Cost-effective tropical NCS offers globally significant climate mitigation in the coming decades (6.56 Pg CO2e yr−1 at less than 100 US$ per Mg CO2e). In half of the tropical countries, cost-effective NCS could mitigate over half of national emissions. In more than a quarter of tropical countries, cost-effective NCS potential is greater than national emissions. We identify countries where, with international financing and political will, NCS can cost-effectively deliver the majority of enhanced NDCs while transforming national economies and contributing to SDGs.\nThis article is part of the theme issue ‘Climate change and ecosystems: threats, opportunities and solutions’.","container-title":"Philosophical Transactions of the Royal Society B: Biological Sciences","DOI":"10.1098/rstb.2019.0126","issue":"1794","page":"20190126","publisher":"Royal Society","source":"royalsocietypublishing.org (Atypon)","title":"National mitigation potential from natural climate solutions in the tropics","volume":"375","author":[{"family":"Griscom","given":"Bronson W."},{"family":"Busch","given":"Jonah"},{"family":"Cook-Patton","given":"Susan C."},{"family":"Ellis","given":"Peter W."},{"family":"Funk","given":"Jason"},{"family":"Leavitt","given":"Sara M."},{"family":"Lomax","given":"Guy"},{"family":"Turner","given":"Will R."},{"family":"Chapman","given":"Melissa"},{"family":"Engelmann","given":"Jens"},{"family":"Gurwick","given":"Noel P."},{"family":"Landis","given":"Emily"},{"family":"Lawrence","given":"Deborah"},{"family":"Malhi","given":"Yadvinder"},{"family":"Schindler Murray","given":"Lisa"},{"family":"Navarrete","given":"Diego"},{"family":"Roe","given":"Stephanie"},{"family":"Scull","given":"Sabrina"},{"family":"Smith","given":"Pete"},{"family":"Streck","given":"Charlotte"},{"family":"Walker","given":"Wayne S."},{"family":"Worthington","given":"Thomas"}],"issued":{"date-parts":[["2020",1,27]]}}}],"schema":"https://github.com/citation-style-language/schema/raw/master/csl-citation.json"}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B94FEB">
              <w:rPr>
                <w:rFonts w:ascii="Calibri" w:hAnsi="Calibri" w:cs="Calibri"/>
                <w:sz w:val="20"/>
              </w:rPr>
              <w:t>(Griscom et al., 2020)</w:t>
            </w:r>
            <w:r>
              <w:rPr>
                <w:rFonts w:ascii="Calibri" w:hAnsi="Calibri" w:eastAsia="Calibri" w:cs="Calibri"/>
                <w:color w:val="000000" w:themeColor="text1"/>
                <w:sz w:val="20"/>
                <w:szCs w:val="20"/>
                <w:lang w:val="en-SG"/>
              </w:rPr>
              <w:fldChar w:fldCharType="end"/>
            </w:r>
          </w:p>
        </w:tc>
      </w:tr>
      <w:tr w:rsidRPr="00905608" w:rsidR="00FA67B9" w:rsidTr="00905608" w14:paraId="17B0C00B" w14:textId="77777777">
        <w:trPr>
          <w:trHeight w:val="300"/>
        </w:trPr>
        <w:tc>
          <w:tcPr>
            <w:tcW w:w="972"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8E46F62"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Tidal Flats</w:t>
            </w:r>
            <w:r w:rsidRPr="00905608">
              <w:rPr>
                <w:rFonts w:ascii="Calibri" w:hAnsi="Calibri" w:eastAsia="Calibri" w:cs="Calibri"/>
                <w:color w:val="000000" w:themeColor="text1"/>
                <w:sz w:val="20"/>
                <w:szCs w:val="20"/>
                <w:lang w:val="en-SG"/>
              </w:rPr>
              <w:t> </w:t>
            </w:r>
          </w:p>
        </w:tc>
        <w:tc>
          <w:tcPr>
            <w:tcW w:w="693" w:type="dxa"/>
            <w:tcBorders>
              <w:top w:val="single" w:color="auto" w:sz="6" w:space="0"/>
              <w:left w:val="single" w:color="auto" w:sz="6" w:space="0"/>
              <w:bottom w:val="single" w:color="auto" w:sz="6" w:space="0"/>
              <w:right w:val="single" w:color="auto" w:sz="6" w:space="0"/>
            </w:tcBorders>
            <w:hideMark/>
          </w:tcPr>
          <w:p w:rsidRPr="00905608" w:rsidR="00905608" w:rsidP="00905608" w:rsidRDefault="00B94FEB" w14:paraId="4E91F88A" w14:textId="7A86869C">
            <w:pPr>
              <w:spacing w:line="480" w:lineRule="auto"/>
              <w:rPr>
                <w:rFonts w:ascii="Calibri" w:hAnsi="Calibri" w:eastAsia="Calibri" w:cs="Calibri"/>
                <w:color w:val="000000" w:themeColor="text1"/>
                <w:sz w:val="20"/>
                <w:szCs w:val="20"/>
                <w:lang w:val="en-SG"/>
              </w:rPr>
            </w:pPr>
            <w:r>
              <w:rPr>
                <w:rFonts w:ascii="Calibri" w:hAnsi="Calibri" w:eastAsia="Calibri" w:cs="Calibri"/>
                <w:color w:val="000000" w:themeColor="text1"/>
                <w:sz w:val="20"/>
                <w:szCs w:val="20"/>
                <w:lang w:val="en-SG"/>
              </w:rPr>
              <w:fldChar w:fldCharType="begin"/>
            </w:r>
            <w:r>
              <w:rPr>
                <w:rFonts w:ascii="Calibri" w:hAnsi="Calibri" w:eastAsia="Calibri" w:cs="Calibri"/>
                <w:color w:val="000000" w:themeColor="text1"/>
                <w:sz w:val="20"/>
                <w:szCs w:val="20"/>
                <w:lang w:val="en-SG"/>
              </w:rPr>
              <w:instrText xml:space="preserve"> ADDIN ZOTERO_ITEM CSL_CITATION {"citationID":"oCWbraxp","properties":{"formattedCitation":"(Murray et al., 2022)","plainCitation":"(Murray et al., 2022)","noteIndex":0},"citationItems":[{"id":406,"uris":["http://zotero.org/users/19517417/items/KB69IUKZ"],"itemData":{"id":406,"type":"article-journal","abstract":"Tidal wetlands are expected to respond dynamically to global environmental change, but the extent to which wetland losses have been offset by gains remains poorly understood. We developed a global analysis of satellite data to simultaneously monitor change in three highly interconnected intertidal ecosystem types—tidal flats, tidal marshes, and mangroves—from 1999 to 2019. Globally, 13,700 square kilometers of tidal wetlands have been lost, but these have been substantially offset by gains of 9700 km2, leading to a net change of −4000 km2 over two decades. We found that 27% of these losses and gains were associated with direct human activities such as conversion to agriculture and restoration of lost wetlands. All other changes were attributed to indirect drivers, including the effects of coastal processes and climate change.","container-title":"Science","DOI":"10.1126/science.abm9583","issue":"6594","page":"744-749","publisher":"American Association for the Advancement of Science","source":"www-science-org.libproxy1.nus.edu.sg (Atypon)","title":"High-resolution mapping of losses and gains of Earth’s tidal wetlands","volume":"376","author":[{"family":"Murray","given":"Nicholas J."},{"family":"Worthington","given":"Thomas A."},{"family":"Bunting","given":"Pete"},{"family":"Duce","given":"Stephanie"},{"family":"Hagger","given":"Valerie"},{"family":"Lovelock","given":"Catherine E."},{"family":"Lucas","given":"Richard"},{"family":"Saunders","given":"Megan I."},{"family":"Sheaves","given":"Marcus"},{"family":"Spalding","given":"Mark"},{"family":"Waltham","given":"Nathan J."},{"family":"Lyons","given":"Mitchell B."}],"issued":{"date-parts":[["2022",5,13]]}}}],"schema":"https://github.com/citation-style-language/schema/raw/master/csl-citation.json"} </w:instrText>
            </w:r>
            <w:r>
              <w:rPr>
                <w:rFonts w:ascii="Calibri" w:hAnsi="Calibri" w:eastAsia="Calibri" w:cs="Calibri"/>
                <w:color w:val="000000" w:themeColor="text1"/>
                <w:sz w:val="20"/>
                <w:szCs w:val="20"/>
                <w:lang w:val="en-SG"/>
              </w:rPr>
              <w:fldChar w:fldCharType="separate"/>
            </w:r>
            <w:r w:rsidRPr="00B94FEB">
              <w:rPr>
                <w:rFonts w:ascii="Calibri" w:hAnsi="Calibri" w:cs="Calibri"/>
                <w:sz w:val="20"/>
              </w:rPr>
              <w:t>(Murray et al., 2022)</w:t>
            </w:r>
            <w:r>
              <w:rPr>
                <w:rFonts w:ascii="Calibri" w:hAnsi="Calibri" w:eastAsia="Calibri" w:cs="Calibri"/>
                <w:color w:val="000000" w:themeColor="text1"/>
                <w:sz w:val="20"/>
                <w:szCs w:val="20"/>
                <w:lang w:val="en-SG"/>
              </w:rPr>
              <w:fldChar w:fldCharType="end"/>
            </w:r>
          </w:p>
        </w:tc>
        <w:tc>
          <w:tcPr>
            <w:tcW w:w="1507"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50F89C3A"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CI 95%; 30 m; 2020</w:t>
            </w:r>
            <w:r w:rsidRPr="00905608">
              <w:rPr>
                <w:rFonts w:ascii="Calibri" w:hAnsi="Calibri" w:eastAsia="Calibri" w:cs="Calibri"/>
                <w:color w:val="000000" w:themeColor="text1"/>
                <w:sz w:val="20"/>
                <w:szCs w:val="20"/>
                <w:lang w:val="en-SG"/>
              </w:rPr>
              <w:t> </w:t>
            </w:r>
          </w:p>
        </w:tc>
        <w:tc>
          <w:tcPr>
            <w:tcW w:w="112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6C8E2B98" w14:textId="284D9262">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Total Ecosystem Carbon</w:t>
            </w:r>
            <w:r w:rsidR="0033736F">
              <w:rPr>
                <w:rFonts w:ascii="Calibri" w:hAnsi="Calibri" w:eastAsia="Calibri" w:cs="Calibri"/>
                <w:color w:val="000000" w:themeColor="text1"/>
                <w:sz w:val="20"/>
                <w:szCs w:val="20"/>
              </w:rPr>
              <w:fldChar w:fldCharType="begin"/>
            </w:r>
            <w:r w:rsidR="0033736F">
              <w:rPr>
                <w:rFonts w:ascii="Calibri" w:hAnsi="Calibri" w:eastAsia="Calibri" w:cs="Calibri"/>
                <w:color w:val="000000" w:themeColor="text1"/>
                <w:sz w:val="20"/>
                <w:szCs w:val="20"/>
              </w:rPr>
              <w:instrText xml:space="preserve"> ADDIN ZOTERO_ITEM CSL_CITATION {"citationID":"JG0cpARu","properties":{"formattedCitation":"(Howard et al., 2023)","plainCitation":"(Howard et al., 2023)","noteIndex":0},"citationItems":[{"id":141,"uris":["http://zotero.org/users/19517417/items/CTUMYK8C"],"itemData":{"id":141,"type":"article-journal","abstract":"As interest in natural climate mitigation solutions continues to grow, there is an essential role for coastal and ocean ecosystems (“blue carbon”) to play. To meet mitigation targets, however, it is crucial that human actions to protect or restore blue carbon sinks are based on solid science and actionable human management opportunities to increase sinks and reduce emissions from ecosystem loss. Here, we reaffirm the role of coastal wetlands in climate mitigation opportunities. We update the state of the science regarding existing blue carbon pathways and explore expanding the blue carbon opportunities to new systems. Specifically, we analyze new science for those blue carbon pathways we categorize as “emerging” (e.g., management interventions involving macroalgae - both cultivated and wild, tidal flats, and marine sediments) where human action may be able to increase these sinks, but we currently have insufficient information to ensure that their climate mitigation benefit is additional. We revisit those that are “non-actionable” (e.g., management interventions involving calcifying organisms and marine fauna) where the scientific evidence is clear that there is no mitigation benefit, or the science is too uncertain to claim that human action can definitively increase these carbon sinks. With limited funding for climate action, it is critical that efforts focus on projects with the most mitigation potential. Blue carbon management is only one piece in the climate mitigation challenge, but it is an important one. Continued scientific research and investment in developing policy pathways is warranted for these actionable and emerging systems. At the same time, the world must continue to work to decrease emissions rapidly, invest in other natural climate solutions, and scale renewable energy technologies.","container-title":"Marine Policy","DOI":"10.1016/j.marpol.2023.105788","ISSN":"0308-597X","journalAbbreviation":"Marine Policy","page":"105788","source":"ScienceDirect","title":"Blue carbon pathways for climate mitigation: Known, emerging and unlikely","title-short":"Blue carbon pathways for climate mitigation","volume":"156","author":[{"family":"Howard","given":"Jennifer"},{"family":"Sutton-Grier","given":"Ariana E."},{"family":"Smart","given":"Lindsey S."},{"family":"Lopes","given":"Christian C."},{"family":"Hamilton","given":"Jill"},{"family":"Kleypas","given":"Joan"},{"family":"Simpson","given":"Stefanie"},{"family":"McGowan","given":"Jennifer"},{"family":"Pessarrodona","given":"Albert"},{"family":"Alleway","given":"Heidi K."},{"family":"Landis","given":"Emily"}],"issued":{"date-parts":[["2023",10,1]]}}}],"schema":"https://github.com/citation-style-language/schema/raw/master/csl-citation.json"} </w:instrText>
            </w:r>
            <w:r w:rsidR="0033736F">
              <w:rPr>
                <w:rFonts w:ascii="Calibri" w:hAnsi="Calibri" w:eastAsia="Calibri" w:cs="Calibri"/>
                <w:color w:val="000000" w:themeColor="text1"/>
                <w:sz w:val="20"/>
                <w:szCs w:val="20"/>
              </w:rPr>
              <w:fldChar w:fldCharType="separate"/>
            </w:r>
            <w:r w:rsidRPr="0033736F" w:rsidR="0033736F">
              <w:rPr>
                <w:rFonts w:ascii="Calibri" w:hAnsi="Calibri" w:cs="Calibri"/>
                <w:sz w:val="20"/>
              </w:rPr>
              <w:t>(Howard et al., 2023)</w:t>
            </w:r>
            <w:r w:rsidR="0033736F">
              <w:rPr>
                <w:rFonts w:ascii="Calibri" w:hAnsi="Calibri" w:eastAsia="Calibri" w:cs="Calibri"/>
                <w:color w:val="000000" w:themeColor="text1"/>
                <w:sz w:val="20"/>
                <w:szCs w:val="20"/>
              </w:rPr>
              <w:fldChar w:fldCharType="end"/>
            </w:r>
          </w:p>
        </w:tc>
        <w:tc>
          <w:tcPr>
            <w:tcW w:w="1864"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252B4DD9" w14:textId="7777777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NA</w:t>
            </w:r>
            <w:r w:rsidRPr="00905608">
              <w:rPr>
                <w:rFonts w:ascii="Calibri" w:hAnsi="Calibri" w:eastAsia="Calibri" w:cs="Calibri"/>
                <w:color w:val="000000" w:themeColor="text1"/>
                <w:sz w:val="20"/>
                <w:szCs w:val="20"/>
                <w:lang w:val="en-SG"/>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09563967" w14:textId="77777777">
            <w:pPr>
              <w:spacing w:line="480" w:lineRule="auto"/>
              <w:rPr>
                <w:rFonts w:ascii="Calibri" w:hAnsi="Calibri" w:eastAsia="Calibri" w:cs="Calibri"/>
                <w:color w:val="000000" w:themeColor="text1"/>
                <w:sz w:val="20"/>
                <w:szCs w:val="20"/>
                <w:lang w:val="en-SG"/>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905608" w:rsidR="00905608" w:rsidP="00905608" w:rsidRDefault="00905608" w14:paraId="4BE4E767" w14:textId="77777777">
            <w:pPr>
              <w:spacing w:line="480" w:lineRule="auto"/>
              <w:rPr>
                <w:rFonts w:ascii="Calibri" w:hAnsi="Calibri" w:eastAsia="Calibri" w:cs="Calibri"/>
                <w:color w:val="000000" w:themeColor="text1"/>
                <w:sz w:val="20"/>
                <w:szCs w:val="20"/>
                <w:lang w:val="en-SG"/>
              </w:rPr>
            </w:pPr>
          </w:p>
        </w:tc>
        <w:tc>
          <w:tcPr>
            <w:tcW w:w="155" w:type="dxa"/>
            <w:tcBorders>
              <w:top w:val="single" w:color="auto" w:sz="6" w:space="0"/>
              <w:left w:val="single" w:color="auto" w:sz="6" w:space="0"/>
              <w:bottom w:val="single" w:color="auto" w:sz="6" w:space="0"/>
              <w:right w:val="single" w:color="auto" w:sz="6" w:space="0"/>
            </w:tcBorders>
          </w:tcPr>
          <w:p w:rsidRPr="00905608" w:rsidR="00905608" w:rsidP="00905608" w:rsidRDefault="00905608" w14:paraId="528DCE78" w14:textId="0350A253">
            <w:pPr>
              <w:spacing w:line="48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fldChar w:fldCharType="begin"/>
            </w:r>
            <w:r>
              <w:rPr>
                <w:rFonts w:ascii="Calibri" w:hAnsi="Calibri" w:eastAsia="Calibri" w:cs="Calibri"/>
                <w:color w:val="000000" w:themeColor="text1"/>
                <w:sz w:val="20"/>
                <w:szCs w:val="20"/>
              </w:rPr>
              <w:instrText xml:space="preserve"> ADDIN ZOTERO_ITEM CSL_CITATION {"citationID":"WVu8Ixp6","properties":{"formattedCitation":"(Convention on Wetlands et al., 2025)","plainCitation":"(Convention on Wetlands et al., 2025)","noteIndex":0},"citationItems":[{"id":4047,"uris":["http://zotero.org/users/19517417/items/GPSN7B3M"],"itemData":{"id":4047,"type":"report","abstract":"The Global Wetland Outlook 2025 is the most comprehensive assessment to date of the state of wetlands worldwide, their value, and their future. Produced by the Scientific and Technical Review Panel (STRP) of the Convention on Wetlands, the report presents the latest data on the extent of wetlands, trends in their degradation, the value of their ecosystem services, and the scale of action and investment required to meet global restoration and conservation targets.","DOI":"10.69556/GWO-2025-eng","language":"en","note":"edition: First Edition","publisher":"Convention on Wetlands","source":"DOI.org (Crossref)","title":"Global Wetland Outlook 2025: Valuing, conserving, restoring and financing wetlands","title-short":"Global Wetland Outlook 2025","URL":"https://www.global-wetland-outlook.ramsar.org/","author":[{"literal":"Convention on Wetlands"},{"family":"Robertson","given":"H."},{"family":"Fennessy","given":"S"},{"family":"Hilton","given":"G."},{"family":"Job","given":"N."},{"family":"Kumar","given":"R."},{"family":"Simpson","given":"M."},{"family":"Aggestam","given":"F."},{"family":"Aldred","given":"M."},{"family":"Chacón","given":"A."},{"family":"Costanza","given":"R."},{"family":"Davidson","given":"N."},{"family":"Field","given":"C."},{"family":"Finlayson","given":"C.M."},{"family":"Gandra","given":"F."},{"family":"Gillis","given":"L.G."},{"family":"Hernández-Blanco","given":"M."},{"family":"Moritsch","given":"M."},{"family":"Thornton","given":"S."},{"family":"Wood","given":"K."},{"family":"Van 'T Hoff","given":"V."}],"accessed":{"date-parts":[["2026",2,7]]},"issued":{"date-parts":[["2025",7,15]]}}}],"schema":"https://github.com/citation-style-language/schema/raw/master/csl-citation.json"} </w:instrText>
            </w:r>
            <w:r>
              <w:rPr>
                <w:rFonts w:ascii="Calibri" w:hAnsi="Calibri" w:eastAsia="Calibri" w:cs="Calibri"/>
                <w:color w:val="000000" w:themeColor="text1"/>
                <w:sz w:val="20"/>
                <w:szCs w:val="20"/>
              </w:rPr>
              <w:fldChar w:fldCharType="separate"/>
            </w:r>
            <w:r w:rsidRPr="00905608">
              <w:rPr>
                <w:rFonts w:ascii="Calibri" w:hAnsi="Calibri" w:cs="Calibri"/>
                <w:sz w:val="20"/>
              </w:rPr>
              <w:t>(Convention on Wetlands et al., 2025)</w:t>
            </w:r>
            <w:r>
              <w:rPr>
                <w:rFonts w:ascii="Calibri" w:hAnsi="Calibri" w:eastAsia="Calibri" w:cs="Calibri"/>
                <w:color w:val="000000" w:themeColor="text1"/>
                <w:sz w:val="20"/>
                <w:szCs w:val="20"/>
              </w:rPr>
              <w:fldChar w:fldCharType="end"/>
            </w:r>
          </w:p>
        </w:tc>
        <w:tc>
          <w:tcPr>
            <w:tcW w:w="1011" w:type="dxa"/>
            <w:tcBorders>
              <w:top w:val="single" w:color="auto" w:sz="6" w:space="0"/>
              <w:left w:val="single" w:color="auto" w:sz="6" w:space="0"/>
              <w:bottom w:val="single" w:color="auto" w:sz="6" w:space="0"/>
              <w:right w:val="single" w:color="auto" w:sz="6" w:space="0"/>
            </w:tcBorders>
            <w:hideMark/>
          </w:tcPr>
          <w:p w:rsidRPr="00905608" w:rsidR="00905608" w:rsidP="00905608" w:rsidRDefault="00905608" w14:paraId="278E4318" w14:textId="37FF2727">
            <w:pPr>
              <w:spacing w:line="480" w:lineRule="auto"/>
              <w:rPr>
                <w:rFonts w:ascii="Calibri" w:hAnsi="Calibri" w:eastAsia="Calibri" w:cs="Calibri"/>
                <w:color w:val="000000" w:themeColor="text1"/>
                <w:sz w:val="20"/>
                <w:szCs w:val="20"/>
                <w:lang w:val="en-SG"/>
              </w:rPr>
            </w:pPr>
            <w:r w:rsidRPr="00905608">
              <w:rPr>
                <w:rFonts w:ascii="Calibri" w:hAnsi="Calibri" w:eastAsia="Calibri" w:cs="Calibri"/>
                <w:color w:val="000000" w:themeColor="text1"/>
                <w:sz w:val="20"/>
                <w:szCs w:val="20"/>
              </w:rPr>
              <w:t>No Data</w:t>
            </w:r>
            <w:r w:rsidRPr="00905608">
              <w:rPr>
                <w:rFonts w:ascii="Calibri" w:hAnsi="Calibri" w:eastAsia="Calibri" w:cs="Calibri"/>
                <w:color w:val="000000" w:themeColor="text1"/>
                <w:sz w:val="20"/>
                <w:szCs w:val="20"/>
                <w:lang w:val="en-SG"/>
              </w:rPr>
              <w:t> </w:t>
            </w:r>
          </w:p>
        </w:tc>
      </w:tr>
    </w:tbl>
    <w:p w:rsidR="799A1817" w:rsidP="799A1817" w:rsidRDefault="799A1817" w14:paraId="3F0F9448" w14:textId="1684479A">
      <w:pPr>
        <w:spacing w:line="480" w:lineRule="auto"/>
        <w:rPr>
          <w:rFonts w:ascii="Calibri" w:hAnsi="Calibri" w:eastAsia="Calibri" w:cs="Calibri"/>
          <w:color w:val="000000" w:themeColor="text1"/>
          <w:sz w:val="20"/>
          <w:szCs w:val="20"/>
          <w:lang w:val="en-SG"/>
        </w:rPr>
      </w:pPr>
    </w:p>
    <w:p w:rsidR="799A1817" w:rsidP="799A1817" w:rsidRDefault="799A1817" w14:paraId="410D62BF" w14:textId="5F15C3CD">
      <w:pPr>
        <w:rPr>
          <w:rFonts w:ascii="Calibri" w:hAnsi="Calibri" w:eastAsia="Calibri" w:cs="Calibri"/>
          <w:b/>
          <w:bCs/>
          <w:color w:val="000000" w:themeColor="text1"/>
          <w:lang w:val="en-SG"/>
        </w:rPr>
      </w:pPr>
    </w:p>
    <w:sectPr w:rsidR="799A18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904"/>
    <w:multiLevelType w:val="hybridMultilevel"/>
    <w:tmpl w:val="7EA2AB6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52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3E080A"/>
    <w:rsid w:val="000839EB"/>
    <w:rsid w:val="00166881"/>
    <w:rsid w:val="002239FC"/>
    <w:rsid w:val="0033736F"/>
    <w:rsid w:val="003B5E08"/>
    <w:rsid w:val="0057000B"/>
    <w:rsid w:val="00905608"/>
    <w:rsid w:val="00987E1E"/>
    <w:rsid w:val="00B17CAF"/>
    <w:rsid w:val="00B94FEB"/>
    <w:rsid w:val="00BF6BB6"/>
    <w:rsid w:val="00CE0794"/>
    <w:rsid w:val="00CF300D"/>
    <w:rsid w:val="00FA67B9"/>
    <w:rsid w:val="03B34AD5"/>
    <w:rsid w:val="03D04D1A"/>
    <w:rsid w:val="04A587F3"/>
    <w:rsid w:val="04F051E6"/>
    <w:rsid w:val="05E44C38"/>
    <w:rsid w:val="0624F797"/>
    <w:rsid w:val="0772809C"/>
    <w:rsid w:val="08611C2C"/>
    <w:rsid w:val="09ACEEAE"/>
    <w:rsid w:val="0AD2F8FF"/>
    <w:rsid w:val="0AE0B3DD"/>
    <w:rsid w:val="0AF11665"/>
    <w:rsid w:val="0B529ACD"/>
    <w:rsid w:val="0B96C330"/>
    <w:rsid w:val="0D9A5333"/>
    <w:rsid w:val="0F6E94B9"/>
    <w:rsid w:val="117F3FCA"/>
    <w:rsid w:val="12544702"/>
    <w:rsid w:val="127D89DA"/>
    <w:rsid w:val="130E4A1B"/>
    <w:rsid w:val="1441F70F"/>
    <w:rsid w:val="14999221"/>
    <w:rsid w:val="158D4212"/>
    <w:rsid w:val="1590422A"/>
    <w:rsid w:val="163DF056"/>
    <w:rsid w:val="16508048"/>
    <w:rsid w:val="16E5727B"/>
    <w:rsid w:val="171AD221"/>
    <w:rsid w:val="17E67CA1"/>
    <w:rsid w:val="1AFBFE21"/>
    <w:rsid w:val="1C55B77F"/>
    <w:rsid w:val="1C5B6245"/>
    <w:rsid w:val="1CF52DBD"/>
    <w:rsid w:val="1E3A21FD"/>
    <w:rsid w:val="1E6338E6"/>
    <w:rsid w:val="211866B7"/>
    <w:rsid w:val="21B462C3"/>
    <w:rsid w:val="2218F3D3"/>
    <w:rsid w:val="2219E180"/>
    <w:rsid w:val="22C571B2"/>
    <w:rsid w:val="22F70791"/>
    <w:rsid w:val="23086A4E"/>
    <w:rsid w:val="2315BC7F"/>
    <w:rsid w:val="243534EE"/>
    <w:rsid w:val="2459CE60"/>
    <w:rsid w:val="26D71A78"/>
    <w:rsid w:val="2726386C"/>
    <w:rsid w:val="274B70EC"/>
    <w:rsid w:val="27877673"/>
    <w:rsid w:val="291A6488"/>
    <w:rsid w:val="2A275F6A"/>
    <w:rsid w:val="2BC26A9A"/>
    <w:rsid w:val="2C10ED9E"/>
    <w:rsid w:val="2CAA0E69"/>
    <w:rsid w:val="2E859A7F"/>
    <w:rsid w:val="2FC614E3"/>
    <w:rsid w:val="2FD28D91"/>
    <w:rsid w:val="31903CAF"/>
    <w:rsid w:val="31C08FA9"/>
    <w:rsid w:val="32868E6C"/>
    <w:rsid w:val="32D2A794"/>
    <w:rsid w:val="32FCE173"/>
    <w:rsid w:val="334AA62A"/>
    <w:rsid w:val="3384846A"/>
    <w:rsid w:val="34DE58D4"/>
    <w:rsid w:val="3510FED3"/>
    <w:rsid w:val="35F1E891"/>
    <w:rsid w:val="369D5F11"/>
    <w:rsid w:val="377DA934"/>
    <w:rsid w:val="38C7E70A"/>
    <w:rsid w:val="399A7EEC"/>
    <w:rsid w:val="39ABDBF9"/>
    <w:rsid w:val="3AEFE53C"/>
    <w:rsid w:val="3B1ABB0D"/>
    <w:rsid w:val="3C4B204D"/>
    <w:rsid w:val="3D9FC5C5"/>
    <w:rsid w:val="3DBB48A7"/>
    <w:rsid w:val="3EC34F0F"/>
    <w:rsid w:val="3EFBDEF4"/>
    <w:rsid w:val="3F0450D7"/>
    <w:rsid w:val="3FA2E760"/>
    <w:rsid w:val="3FC172E8"/>
    <w:rsid w:val="40C1A576"/>
    <w:rsid w:val="41EE078B"/>
    <w:rsid w:val="42A5DA4A"/>
    <w:rsid w:val="42E0AFF5"/>
    <w:rsid w:val="444081B3"/>
    <w:rsid w:val="4446BEF1"/>
    <w:rsid w:val="44B20B52"/>
    <w:rsid w:val="4559741F"/>
    <w:rsid w:val="45762843"/>
    <w:rsid w:val="4711C5F6"/>
    <w:rsid w:val="4740AAD3"/>
    <w:rsid w:val="47864013"/>
    <w:rsid w:val="47BE810D"/>
    <w:rsid w:val="47CF0445"/>
    <w:rsid w:val="48E80B4F"/>
    <w:rsid w:val="4987779C"/>
    <w:rsid w:val="49A208CC"/>
    <w:rsid w:val="4A5F9F84"/>
    <w:rsid w:val="4A9A59D6"/>
    <w:rsid w:val="4C81DDF1"/>
    <w:rsid w:val="4CD47B9E"/>
    <w:rsid w:val="4E3B140F"/>
    <w:rsid w:val="4F0BF6EF"/>
    <w:rsid w:val="4FAB34CE"/>
    <w:rsid w:val="4FFB289D"/>
    <w:rsid w:val="50625D09"/>
    <w:rsid w:val="508565C8"/>
    <w:rsid w:val="51092134"/>
    <w:rsid w:val="52FEF5BA"/>
    <w:rsid w:val="5449546E"/>
    <w:rsid w:val="54E6DFFF"/>
    <w:rsid w:val="55F751E4"/>
    <w:rsid w:val="562E8932"/>
    <w:rsid w:val="56761E2F"/>
    <w:rsid w:val="56CC3E1E"/>
    <w:rsid w:val="56EB954F"/>
    <w:rsid w:val="573050B7"/>
    <w:rsid w:val="57CAA01F"/>
    <w:rsid w:val="57DDB77D"/>
    <w:rsid w:val="58450788"/>
    <w:rsid w:val="585DE7CC"/>
    <w:rsid w:val="5909E331"/>
    <w:rsid w:val="595421B8"/>
    <w:rsid w:val="5A9327B2"/>
    <w:rsid w:val="5AC90025"/>
    <w:rsid w:val="5B51BFC8"/>
    <w:rsid w:val="5C03F5F2"/>
    <w:rsid w:val="5DBD1534"/>
    <w:rsid w:val="5FB4BF98"/>
    <w:rsid w:val="60517DD7"/>
    <w:rsid w:val="611F4103"/>
    <w:rsid w:val="63773060"/>
    <w:rsid w:val="64393211"/>
    <w:rsid w:val="67018357"/>
    <w:rsid w:val="689FC328"/>
    <w:rsid w:val="68F5339C"/>
    <w:rsid w:val="6A3E080A"/>
    <w:rsid w:val="6A441577"/>
    <w:rsid w:val="6B09C047"/>
    <w:rsid w:val="6B7BDEA3"/>
    <w:rsid w:val="6C6A7499"/>
    <w:rsid w:val="6E3BF31E"/>
    <w:rsid w:val="6EADC30E"/>
    <w:rsid w:val="6FADC7A1"/>
    <w:rsid w:val="702E3A3D"/>
    <w:rsid w:val="715521FB"/>
    <w:rsid w:val="718C49BF"/>
    <w:rsid w:val="722F7CCC"/>
    <w:rsid w:val="733119AE"/>
    <w:rsid w:val="74E53507"/>
    <w:rsid w:val="75714E0B"/>
    <w:rsid w:val="75D409AF"/>
    <w:rsid w:val="767BE8CF"/>
    <w:rsid w:val="769951A9"/>
    <w:rsid w:val="76D472CB"/>
    <w:rsid w:val="7751850A"/>
    <w:rsid w:val="77B245A3"/>
    <w:rsid w:val="77EDCEFF"/>
    <w:rsid w:val="78672942"/>
    <w:rsid w:val="799A1817"/>
    <w:rsid w:val="79B8C594"/>
    <w:rsid w:val="79F9B916"/>
    <w:rsid w:val="7A056F27"/>
    <w:rsid w:val="7A10E59A"/>
    <w:rsid w:val="7A32EDF6"/>
    <w:rsid w:val="7ABD30BB"/>
    <w:rsid w:val="7B95E068"/>
    <w:rsid w:val="7C1B4C38"/>
    <w:rsid w:val="7C255F52"/>
    <w:rsid w:val="7CDB4E19"/>
    <w:rsid w:val="7FE1EBDE"/>
    <w:rsid w:val="7FEC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080A"/>
  <w15:chartTrackingRefBased/>
  <w15:docId w15:val="{071B016B-C26E-4C87-A696-39E07788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B17CAF"/>
    <w:pPr>
      <w:spacing w:line="278" w:lineRule="auto"/>
      <w:ind w:left="720"/>
      <w:contextualSpacing/>
    </w:pPr>
    <w:rPr>
      <w:kern w:val="2"/>
      <w:lang w:val="en-SG" w:eastAsia="zh-CN"/>
      <w14:ligatures w14:val="standardContextual"/>
    </w:rPr>
  </w:style>
  <w:style w:type="paragraph" w:styleId="CommentText">
    <w:name w:val="annotation text"/>
    <w:basedOn w:val="Normal"/>
    <w:link w:val="CommentTextChar"/>
    <w:uiPriority w:val="99"/>
    <w:unhideWhenUsed/>
    <w:rsid w:val="00B17CAF"/>
    <w:pPr>
      <w:spacing w:line="240" w:lineRule="auto"/>
    </w:pPr>
    <w:rPr>
      <w:sz w:val="20"/>
      <w:szCs w:val="20"/>
    </w:rPr>
  </w:style>
  <w:style w:type="character" w:styleId="CommentTextChar" w:customStyle="1">
    <w:name w:val="Comment Text Char"/>
    <w:basedOn w:val="DefaultParagraphFont"/>
    <w:link w:val="CommentText"/>
    <w:uiPriority w:val="99"/>
    <w:rsid w:val="00B17CAF"/>
    <w:rPr>
      <w:sz w:val="20"/>
      <w:szCs w:val="20"/>
    </w:rPr>
  </w:style>
  <w:style w:type="character" w:styleId="CommentReference">
    <w:name w:val="annotation reference"/>
    <w:basedOn w:val="DefaultParagraphFont"/>
    <w:uiPriority w:val="99"/>
    <w:semiHidden/>
    <w:unhideWhenUsed/>
    <w:rsid w:val="00B17C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C0040FDBD0A499D422768120C4C4A" ma:contentTypeVersion="4" ma:contentTypeDescription="Create a new document." ma:contentTypeScope="" ma:versionID="8385bb775b9d036658f7f647611dabed">
  <xsd:schema xmlns:xsd="http://www.w3.org/2001/XMLSchema" xmlns:xs="http://www.w3.org/2001/XMLSchema" xmlns:p="http://schemas.microsoft.com/office/2006/metadata/properties" xmlns:ns2="adb8a78b-0ccf-4180-a429-6f38f89a46ad" targetNamespace="http://schemas.microsoft.com/office/2006/metadata/properties" ma:root="true" ma:fieldsID="800aa75d2f3728cb2df1a422177f7b91" ns2:_="">
    <xsd:import namespace="adb8a78b-0ccf-4180-a429-6f38f89a4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8a78b-0ccf-4180-a429-6f38f89a4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F144F-F4A8-4ABE-9B0A-33ADA7570CEA}">
  <ds:schemaRefs>
    <ds:schemaRef ds:uri="http://schemas.microsoft.com/sharepoint/v3/contenttype/forms"/>
  </ds:schemaRefs>
</ds:datastoreItem>
</file>

<file path=customXml/itemProps2.xml><?xml version="1.0" encoding="utf-8"?>
<ds:datastoreItem xmlns:ds="http://schemas.openxmlformats.org/officeDocument/2006/customXml" ds:itemID="{A614F024-C110-49FC-9073-FEA38747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8a78b-0ccf-4180-a429-6f38f89a4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DE9F8-91D7-4216-856D-46A8192D51C1}">
  <ds:schemaRef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adb8a78b-0ccf-4180-a429-6f38f89a46ad"/>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Radhika Bhargava</dc:creator>
  <keywords/>
  <dc:description/>
  <lastModifiedBy>Radhika Bhargava</lastModifiedBy>
  <revision>12</revision>
  <dcterms:created xsi:type="dcterms:W3CDTF">2026-02-07T05:31:00.0000000Z</dcterms:created>
  <dcterms:modified xsi:type="dcterms:W3CDTF">2026-02-23T00:48:58.6707399Z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0x0101001C6C0040FDBD0A499D422768120C4C4A</vt:lpwstr>
  </property>
  <property fmtid="{D5CDD505-2E9C-101B-9397-08002B2CF9AE}" pid="3" name="GrammarlyDocumentId">
    <vt:lpwstr>8117b9f4-d6a3-479a-9e9f-24d5885dc264</vt:lpwstr>
  </property>
  <property fmtid="{D5CDD505-2E9C-101B-9397-08002B2CF9AE}" pid="4" name="ZOTERO_PREF_1">
    <vt:lpwstr>&lt;data data-version="3" zotero-version="7.0.32"&gt;&lt;session id="VxFOKIpv"/&gt;&lt;style id="http://www.zotero.org/styles/apa" locale="en-US" hasBibliography="1" bibliographyStyleHasBeenSet="0"/&gt;&lt;prefs&gt;&lt;pref name="fieldType" value="Field"/&gt;&lt;/prefs&gt;&lt;/data&gt;</vt:lpwstr>
  </property>
</Properties>
</file>