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831" w:rsidRDefault="00D43831" w:rsidP="00D43831">
      <w:pPr>
        <w:spacing w:line="480" w:lineRule="auto"/>
        <w:rPr>
          <w:b/>
          <w:bCs/>
          <w:i/>
          <w:sz w:val="20"/>
          <w:szCs w:val="20"/>
        </w:rPr>
      </w:pPr>
      <w:r>
        <w:rPr>
          <w:b/>
          <w:bCs/>
          <w:i/>
          <w:sz w:val="20"/>
          <w:szCs w:val="20"/>
        </w:rPr>
        <w:t xml:space="preserve">Supplementary figure legends </w:t>
      </w:r>
    </w:p>
    <w:p w:rsidR="00D43831" w:rsidRDefault="00D43831" w:rsidP="00D43831">
      <w:pPr>
        <w:spacing w:line="480" w:lineRule="auto"/>
        <w:rPr>
          <w:iCs/>
          <w:sz w:val="20"/>
          <w:szCs w:val="20"/>
          <w:u w:val="single"/>
        </w:rPr>
      </w:pPr>
      <w:r>
        <w:rPr>
          <w:noProof/>
          <w:sz w:val="20"/>
          <w:szCs w:val="20"/>
          <w:lang w:val="en-US" w:eastAsia="en-US"/>
        </w:rPr>
        <w:drawing>
          <wp:inline distT="0" distB="0" distL="0" distR="0">
            <wp:extent cx="5943600" cy="4959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959350"/>
                    </a:xfrm>
                    <a:prstGeom prst="rect">
                      <a:avLst/>
                    </a:prstGeom>
                    <a:noFill/>
                    <a:ln>
                      <a:noFill/>
                    </a:ln>
                  </pic:spPr>
                </pic:pic>
              </a:graphicData>
            </a:graphic>
          </wp:inline>
        </w:drawing>
      </w:r>
    </w:p>
    <w:p w:rsidR="00D43831" w:rsidRDefault="00D43831" w:rsidP="00D43831">
      <w:pPr>
        <w:spacing w:line="480" w:lineRule="auto"/>
        <w:rPr>
          <w:iCs/>
          <w:sz w:val="20"/>
          <w:szCs w:val="20"/>
        </w:rPr>
      </w:pPr>
      <w:r>
        <w:rPr>
          <w:b/>
          <w:bCs/>
          <w:iCs/>
          <w:sz w:val="20"/>
          <w:szCs w:val="20"/>
          <w:u w:val="single"/>
        </w:rPr>
        <w:t>Figure S1:</w:t>
      </w:r>
      <w:r>
        <w:rPr>
          <w:iCs/>
          <w:sz w:val="20"/>
          <w:szCs w:val="20"/>
        </w:rPr>
        <w:t xml:space="preserve"> Experimental design and </w:t>
      </w:r>
      <w:proofErr w:type="spellStart"/>
      <w:r>
        <w:rPr>
          <w:iCs/>
          <w:sz w:val="20"/>
          <w:szCs w:val="20"/>
        </w:rPr>
        <w:t>biospecimen</w:t>
      </w:r>
      <w:proofErr w:type="spellEnd"/>
      <w:r>
        <w:rPr>
          <w:iCs/>
          <w:sz w:val="20"/>
          <w:szCs w:val="20"/>
        </w:rPr>
        <w:t xml:space="preserve"> collection.</w:t>
      </w:r>
    </w:p>
    <w:p w:rsidR="00D43831" w:rsidRDefault="00D43831" w:rsidP="00D43831">
      <w:pPr>
        <w:spacing w:line="480" w:lineRule="auto"/>
        <w:rPr>
          <w:iCs/>
          <w:sz w:val="20"/>
          <w:szCs w:val="20"/>
        </w:rPr>
      </w:pPr>
      <w:r>
        <w:rPr>
          <w:iCs/>
          <w:sz w:val="20"/>
          <w:szCs w:val="20"/>
        </w:rPr>
        <w:br w:type="page"/>
      </w:r>
    </w:p>
    <w:p w:rsidR="00D43831" w:rsidRDefault="00D43831" w:rsidP="00D43831">
      <w:pPr>
        <w:spacing w:line="480" w:lineRule="auto"/>
        <w:rPr>
          <w:iCs/>
          <w:sz w:val="20"/>
          <w:szCs w:val="20"/>
        </w:rPr>
      </w:pPr>
    </w:p>
    <w:p w:rsidR="00D43831" w:rsidRDefault="00D43831" w:rsidP="00D43831">
      <w:pPr>
        <w:spacing w:line="480" w:lineRule="auto"/>
        <w:rPr>
          <w:iCs/>
          <w:sz w:val="20"/>
          <w:szCs w:val="20"/>
        </w:rPr>
      </w:pPr>
      <w:r>
        <w:rPr>
          <w:noProof/>
          <w:sz w:val="20"/>
          <w:szCs w:val="20"/>
          <w:lang w:val="en-US" w:eastAsia="en-US"/>
        </w:rPr>
        <w:drawing>
          <wp:inline distT="0" distB="0" distL="0" distR="0">
            <wp:extent cx="4730750" cy="224599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30750" cy="2245995"/>
                    </a:xfrm>
                    <a:prstGeom prst="rect">
                      <a:avLst/>
                    </a:prstGeom>
                    <a:noFill/>
                    <a:ln>
                      <a:noFill/>
                    </a:ln>
                  </pic:spPr>
                </pic:pic>
              </a:graphicData>
            </a:graphic>
          </wp:inline>
        </w:drawing>
      </w:r>
    </w:p>
    <w:p w:rsidR="00D43831" w:rsidRDefault="00D43831" w:rsidP="00D43831">
      <w:pPr>
        <w:spacing w:line="480" w:lineRule="auto"/>
        <w:rPr>
          <w:iCs/>
          <w:sz w:val="20"/>
          <w:szCs w:val="20"/>
        </w:rPr>
      </w:pPr>
      <w:r>
        <w:rPr>
          <w:b/>
          <w:bCs/>
          <w:iCs/>
          <w:sz w:val="20"/>
          <w:szCs w:val="20"/>
          <w:u w:val="single"/>
        </w:rPr>
        <w:t>Figure S2</w:t>
      </w:r>
      <w:r>
        <w:rPr>
          <w:iCs/>
          <w:sz w:val="20"/>
          <w:szCs w:val="20"/>
        </w:rPr>
        <w:t xml:space="preserve">: Plasma FITC-dextran concentration in control and </w:t>
      </w:r>
      <w:proofErr w:type="spellStart"/>
      <w:r>
        <w:rPr>
          <w:iCs/>
          <w:sz w:val="20"/>
          <w:szCs w:val="20"/>
        </w:rPr>
        <w:t>melphalan</w:t>
      </w:r>
      <w:proofErr w:type="spellEnd"/>
      <w:r>
        <w:rPr>
          <w:iCs/>
          <w:sz w:val="20"/>
          <w:szCs w:val="20"/>
        </w:rPr>
        <w:t xml:space="preserve">-treated rats. </w:t>
      </w:r>
    </w:p>
    <w:p w:rsidR="00D43831" w:rsidRDefault="00D43831" w:rsidP="00D43831">
      <w:pPr>
        <w:spacing w:line="480" w:lineRule="auto"/>
        <w:rPr>
          <w:iCs/>
          <w:sz w:val="20"/>
          <w:szCs w:val="20"/>
        </w:rPr>
      </w:pPr>
      <w:r>
        <w:rPr>
          <w:iCs/>
          <w:sz w:val="20"/>
          <w:szCs w:val="20"/>
        </w:rPr>
        <w:br w:type="page"/>
      </w:r>
    </w:p>
    <w:p w:rsidR="00D43831" w:rsidRDefault="00D43831" w:rsidP="00D43831">
      <w:pPr>
        <w:spacing w:line="480" w:lineRule="auto"/>
        <w:rPr>
          <w:iCs/>
          <w:sz w:val="20"/>
          <w:szCs w:val="20"/>
        </w:rPr>
      </w:pPr>
    </w:p>
    <w:p w:rsidR="00D43831" w:rsidRDefault="00D43831" w:rsidP="00D43831">
      <w:pPr>
        <w:spacing w:line="480" w:lineRule="auto"/>
        <w:rPr>
          <w:b/>
          <w:bCs/>
          <w:sz w:val="20"/>
          <w:szCs w:val="20"/>
          <w:u w:val="single"/>
          <w:lang w:val="en-US"/>
        </w:rPr>
      </w:pPr>
      <w:r>
        <w:rPr>
          <w:b/>
          <w:noProof/>
          <w:sz w:val="20"/>
          <w:szCs w:val="20"/>
          <w:lang w:val="en-US" w:eastAsia="en-US"/>
        </w:rPr>
        <w:drawing>
          <wp:inline distT="0" distB="0" distL="0" distR="0">
            <wp:extent cx="5625465" cy="4770755"/>
            <wp:effectExtent l="0" t="0" r="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screenshot of a cell phon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25465" cy="4770755"/>
                    </a:xfrm>
                    <a:prstGeom prst="rect">
                      <a:avLst/>
                    </a:prstGeom>
                    <a:noFill/>
                    <a:ln>
                      <a:noFill/>
                    </a:ln>
                  </pic:spPr>
                </pic:pic>
              </a:graphicData>
            </a:graphic>
          </wp:inline>
        </w:drawing>
      </w:r>
    </w:p>
    <w:p w:rsidR="00D43831" w:rsidRDefault="00D43831" w:rsidP="00D43831">
      <w:pPr>
        <w:spacing w:line="480" w:lineRule="auto"/>
        <w:rPr>
          <w:sz w:val="20"/>
          <w:szCs w:val="20"/>
          <w:lang w:val="en-US"/>
        </w:rPr>
      </w:pPr>
      <w:r>
        <w:rPr>
          <w:b/>
          <w:bCs/>
          <w:sz w:val="20"/>
          <w:szCs w:val="20"/>
          <w:u w:val="single"/>
          <w:lang w:val="en-US"/>
        </w:rPr>
        <w:t>Figure S3:</w:t>
      </w:r>
      <w:r>
        <w:rPr>
          <w:b/>
          <w:bCs/>
          <w:sz w:val="20"/>
          <w:szCs w:val="20"/>
          <w:lang w:val="en-US"/>
        </w:rPr>
        <w:t xml:space="preserve"> </w:t>
      </w:r>
      <w:r>
        <w:rPr>
          <w:sz w:val="20"/>
          <w:szCs w:val="20"/>
          <w:lang w:val="en-US"/>
        </w:rPr>
        <w:t xml:space="preserve">Mechanistic framework for </w:t>
      </w:r>
      <w:proofErr w:type="spellStart"/>
      <w:r>
        <w:rPr>
          <w:sz w:val="20"/>
          <w:szCs w:val="20"/>
          <w:lang w:val="en-US"/>
        </w:rPr>
        <w:t>melphalan</w:t>
      </w:r>
      <w:proofErr w:type="spellEnd"/>
      <w:r>
        <w:rPr>
          <w:sz w:val="20"/>
          <w:szCs w:val="20"/>
          <w:lang w:val="en-US"/>
        </w:rPr>
        <w:t xml:space="preserve">-induced gut toxicity and fever. Ticks indicate data confirmed in HDM model. Thick solid lines indicate confirmed association. Thin solid lines indicate confirmed, but weak-moderate association, or associations confirmed in literature. Dotted lines indicate hypothesized association. </w:t>
      </w:r>
    </w:p>
    <w:p w:rsidR="00D43831" w:rsidRDefault="00D43831" w:rsidP="00D43831">
      <w:pPr>
        <w:spacing w:line="480" w:lineRule="auto"/>
        <w:rPr>
          <w:iCs/>
          <w:sz w:val="20"/>
          <w:szCs w:val="20"/>
        </w:rPr>
      </w:pPr>
    </w:p>
    <w:p w:rsidR="00D43831" w:rsidRDefault="00D43831" w:rsidP="00D43831">
      <w:pPr>
        <w:spacing w:beforeLines="80" w:before="192" w:afterLines="80" w:after="192" w:line="480" w:lineRule="auto"/>
        <w:rPr>
          <w:b/>
          <w:i/>
          <w:sz w:val="20"/>
          <w:szCs w:val="20"/>
        </w:rPr>
      </w:pPr>
    </w:p>
    <w:p w:rsidR="00D43831" w:rsidRDefault="00D43831" w:rsidP="00D43831">
      <w:pPr>
        <w:spacing w:line="480" w:lineRule="auto"/>
        <w:rPr>
          <w:b/>
          <w:i/>
          <w:sz w:val="20"/>
          <w:szCs w:val="20"/>
        </w:rPr>
      </w:pPr>
      <w:r>
        <w:rPr>
          <w:b/>
          <w:i/>
          <w:sz w:val="20"/>
          <w:szCs w:val="20"/>
        </w:rPr>
        <w:br w:type="page"/>
      </w:r>
    </w:p>
    <w:p w:rsidR="00D43831" w:rsidRDefault="00D43831" w:rsidP="00D43831">
      <w:pPr>
        <w:spacing w:line="480" w:lineRule="auto"/>
        <w:rPr>
          <w:b/>
          <w:i/>
          <w:sz w:val="20"/>
          <w:szCs w:val="20"/>
        </w:rPr>
      </w:pPr>
      <w:r>
        <w:rPr>
          <w:b/>
          <w:i/>
          <w:sz w:val="20"/>
          <w:szCs w:val="20"/>
        </w:rPr>
        <w:lastRenderedPageBreak/>
        <w:t>Supplementary tables</w:t>
      </w:r>
    </w:p>
    <w:p w:rsidR="00D43831" w:rsidRDefault="00D43831" w:rsidP="00D43831">
      <w:pPr>
        <w:spacing w:line="480" w:lineRule="auto"/>
        <w:rPr>
          <w:bCs/>
          <w:i/>
          <w:sz w:val="20"/>
          <w:szCs w:val="20"/>
        </w:rPr>
      </w:pPr>
    </w:p>
    <w:p w:rsidR="00D43831" w:rsidRDefault="00D43831" w:rsidP="00D43831">
      <w:pPr>
        <w:spacing w:line="480" w:lineRule="auto"/>
        <w:rPr>
          <w:bCs/>
          <w:iCs/>
          <w:sz w:val="20"/>
          <w:szCs w:val="20"/>
        </w:rPr>
      </w:pPr>
      <w:r>
        <w:rPr>
          <w:b/>
          <w:iCs/>
          <w:sz w:val="20"/>
          <w:szCs w:val="20"/>
          <w:u w:val="single"/>
        </w:rPr>
        <w:t>Table S1</w:t>
      </w:r>
      <w:r>
        <w:rPr>
          <w:b/>
          <w:iCs/>
          <w:sz w:val="20"/>
          <w:szCs w:val="20"/>
        </w:rPr>
        <w:t xml:space="preserve">: </w:t>
      </w:r>
      <w:r>
        <w:rPr>
          <w:bCs/>
          <w:iCs/>
          <w:sz w:val="20"/>
          <w:szCs w:val="20"/>
        </w:rPr>
        <w:t xml:space="preserve">Baseline characteristics according to ARRIVE guidelines </w:t>
      </w:r>
    </w:p>
    <w:tbl>
      <w:tblPr>
        <w:tblW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360"/>
        <w:gridCol w:w="2147"/>
        <w:gridCol w:w="2452"/>
        <w:gridCol w:w="2058"/>
      </w:tblGrid>
      <w:tr w:rsidR="00D43831" w:rsidTr="00D43831">
        <w:trPr>
          <w:trHeight w:val="223"/>
        </w:trPr>
        <w:tc>
          <w:tcPr>
            <w:tcW w:w="9017" w:type="dxa"/>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b/>
                <w:bCs/>
                <w:sz w:val="20"/>
                <w:szCs w:val="20"/>
              </w:rPr>
            </w:pPr>
            <w:r>
              <w:rPr>
                <w:b/>
                <w:bCs/>
                <w:sz w:val="20"/>
                <w:szCs w:val="20"/>
              </w:rPr>
              <w:t xml:space="preserve">Table S1: Baseline characteristics (mean ± SEM) </w:t>
            </w:r>
          </w:p>
        </w:tc>
      </w:tr>
      <w:tr w:rsidR="00D43831" w:rsidTr="00D43831">
        <w:trPr>
          <w:trHeight w:val="223"/>
        </w:trPr>
        <w:tc>
          <w:tcPr>
            <w:tcW w:w="236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 xml:space="preserve"> </w:t>
            </w:r>
          </w:p>
        </w:tc>
        <w:tc>
          <w:tcPr>
            <w:tcW w:w="214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Vehicle control</w:t>
            </w:r>
          </w:p>
        </w:tc>
        <w:tc>
          <w:tcPr>
            <w:tcW w:w="245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 xml:space="preserve">5 mg/kg </w:t>
            </w:r>
            <w:proofErr w:type="spellStart"/>
            <w:r>
              <w:rPr>
                <w:sz w:val="20"/>
                <w:szCs w:val="20"/>
              </w:rPr>
              <w:t>melphalan</w:t>
            </w:r>
            <w:proofErr w:type="spellEnd"/>
            <w:r>
              <w:rPr>
                <w:sz w:val="20"/>
                <w:szCs w:val="20"/>
              </w:rPr>
              <w:t xml:space="preserve"> </w:t>
            </w:r>
          </w:p>
        </w:tc>
        <w:tc>
          <w:tcPr>
            <w:tcW w:w="205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 xml:space="preserve">P value </w:t>
            </w:r>
          </w:p>
        </w:tc>
      </w:tr>
      <w:tr w:rsidR="00D43831" w:rsidTr="00D43831">
        <w:trPr>
          <w:trHeight w:val="223"/>
        </w:trPr>
        <w:tc>
          <w:tcPr>
            <w:tcW w:w="236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Body weight (g)</w:t>
            </w:r>
          </w:p>
        </w:tc>
        <w:tc>
          <w:tcPr>
            <w:tcW w:w="214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177.1 ± 4.4</w:t>
            </w:r>
          </w:p>
        </w:tc>
        <w:tc>
          <w:tcPr>
            <w:tcW w:w="245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182.4 ± 4.2</w:t>
            </w:r>
          </w:p>
        </w:tc>
        <w:tc>
          <w:tcPr>
            <w:tcW w:w="205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0.42</w:t>
            </w:r>
          </w:p>
        </w:tc>
      </w:tr>
      <w:tr w:rsidR="00D43831" w:rsidTr="00D43831">
        <w:trPr>
          <w:trHeight w:val="354"/>
        </w:trPr>
        <w:tc>
          <w:tcPr>
            <w:tcW w:w="236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Body temperature (</w:t>
            </w:r>
            <w:proofErr w:type="spellStart"/>
            <w:r>
              <w:rPr>
                <w:sz w:val="20"/>
                <w:szCs w:val="20"/>
                <w:vertAlign w:val="superscript"/>
              </w:rPr>
              <w:t>o</w:t>
            </w:r>
            <w:r>
              <w:rPr>
                <w:sz w:val="20"/>
                <w:szCs w:val="20"/>
              </w:rPr>
              <w:t>C</w:t>
            </w:r>
            <w:proofErr w:type="spellEnd"/>
            <w:r>
              <w:rPr>
                <w:sz w:val="20"/>
                <w:szCs w:val="20"/>
              </w:rPr>
              <w:t>)</w:t>
            </w:r>
          </w:p>
        </w:tc>
        <w:tc>
          <w:tcPr>
            <w:tcW w:w="214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37.24 ± 0.05</w:t>
            </w:r>
          </w:p>
        </w:tc>
        <w:tc>
          <w:tcPr>
            <w:tcW w:w="245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37.05 ± 0.04</w:t>
            </w:r>
          </w:p>
        </w:tc>
        <w:tc>
          <w:tcPr>
            <w:tcW w:w="205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0.06</w:t>
            </w:r>
          </w:p>
        </w:tc>
      </w:tr>
      <w:tr w:rsidR="00D43831" w:rsidTr="00D43831">
        <w:trPr>
          <w:trHeight w:val="223"/>
        </w:trPr>
        <w:tc>
          <w:tcPr>
            <w:tcW w:w="236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Daily food intake (g)</w:t>
            </w:r>
          </w:p>
        </w:tc>
        <w:tc>
          <w:tcPr>
            <w:tcW w:w="214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17.32 ± 0.53</w:t>
            </w:r>
          </w:p>
        </w:tc>
        <w:tc>
          <w:tcPr>
            <w:tcW w:w="245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17.14 ± 0.25</w:t>
            </w:r>
          </w:p>
        </w:tc>
        <w:tc>
          <w:tcPr>
            <w:tcW w:w="205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0.76</w:t>
            </w:r>
          </w:p>
        </w:tc>
      </w:tr>
      <w:tr w:rsidR="00D43831" w:rsidTr="00D43831">
        <w:trPr>
          <w:trHeight w:val="334"/>
        </w:trPr>
        <w:tc>
          <w:tcPr>
            <w:tcW w:w="236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Daily water intake (g)</w:t>
            </w:r>
          </w:p>
        </w:tc>
        <w:tc>
          <w:tcPr>
            <w:tcW w:w="214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 xml:space="preserve">18.36 ± 9.62  </w:t>
            </w:r>
          </w:p>
        </w:tc>
        <w:tc>
          <w:tcPr>
            <w:tcW w:w="245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 xml:space="preserve"> 20.07 ± 0.70</w:t>
            </w:r>
          </w:p>
        </w:tc>
        <w:tc>
          <w:tcPr>
            <w:tcW w:w="205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0.08</w:t>
            </w:r>
          </w:p>
        </w:tc>
      </w:tr>
      <w:tr w:rsidR="00D43831" w:rsidTr="00D43831">
        <w:trPr>
          <w:trHeight w:val="223"/>
        </w:trPr>
        <w:tc>
          <w:tcPr>
            <w:tcW w:w="236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 xml:space="preserve">Plasma </w:t>
            </w:r>
            <w:proofErr w:type="spellStart"/>
            <w:r>
              <w:rPr>
                <w:sz w:val="20"/>
                <w:szCs w:val="20"/>
              </w:rPr>
              <w:t>citrulline</w:t>
            </w:r>
            <w:proofErr w:type="spellEnd"/>
            <w:r>
              <w:rPr>
                <w:sz w:val="20"/>
                <w:szCs w:val="20"/>
              </w:rPr>
              <w:t xml:space="preserve"> (g)</w:t>
            </w:r>
          </w:p>
        </w:tc>
        <w:tc>
          <w:tcPr>
            <w:tcW w:w="2147"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 xml:space="preserve"> 90.89 ± 2.37</w:t>
            </w:r>
          </w:p>
        </w:tc>
        <w:tc>
          <w:tcPr>
            <w:tcW w:w="245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 xml:space="preserve"> 93.78 ± 2.82</w:t>
            </w:r>
          </w:p>
        </w:tc>
        <w:tc>
          <w:tcPr>
            <w:tcW w:w="205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D43831" w:rsidRDefault="00D43831">
            <w:pPr>
              <w:spacing w:beforeLines="40" w:before="96" w:afterLines="40" w:after="96" w:line="480" w:lineRule="auto"/>
              <w:rPr>
                <w:sz w:val="20"/>
                <w:szCs w:val="20"/>
              </w:rPr>
            </w:pPr>
            <w:r>
              <w:rPr>
                <w:sz w:val="20"/>
                <w:szCs w:val="20"/>
              </w:rPr>
              <w:t xml:space="preserve">0.44 </w:t>
            </w:r>
          </w:p>
        </w:tc>
      </w:tr>
    </w:tbl>
    <w:p w:rsidR="00D43831" w:rsidRDefault="00D43831" w:rsidP="00D43831">
      <w:pPr>
        <w:spacing w:line="480" w:lineRule="auto"/>
        <w:rPr>
          <w:b/>
          <w:i/>
          <w:sz w:val="20"/>
          <w:szCs w:val="20"/>
        </w:rPr>
      </w:pPr>
    </w:p>
    <w:p w:rsidR="00D43831" w:rsidRDefault="00D43831" w:rsidP="00D43831">
      <w:pPr>
        <w:spacing w:line="480" w:lineRule="auto"/>
        <w:rPr>
          <w:bCs/>
          <w:iCs/>
          <w:sz w:val="20"/>
          <w:szCs w:val="20"/>
        </w:rPr>
      </w:pPr>
      <w:r>
        <w:rPr>
          <w:b/>
          <w:iCs/>
          <w:sz w:val="20"/>
          <w:szCs w:val="20"/>
          <w:u w:val="single"/>
        </w:rPr>
        <w:t>Table S2:</w:t>
      </w:r>
      <w:r>
        <w:rPr>
          <w:bCs/>
          <w:iCs/>
          <w:sz w:val="20"/>
          <w:szCs w:val="20"/>
        </w:rPr>
        <w:t xml:space="preserve"> Plasma bile acid concentrations </w:t>
      </w:r>
    </w:p>
    <w:tbl>
      <w:tblPr>
        <w:tblW w:w="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26"/>
        <w:gridCol w:w="987"/>
        <w:gridCol w:w="572"/>
        <w:gridCol w:w="1157"/>
        <w:gridCol w:w="969"/>
        <w:gridCol w:w="1134"/>
        <w:gridCol w:w="992"/>
        <w:gridCol w:w="992"/>
      </w:tblGrid>
      <w:tr w:rsidR="00D43831" w:rsidTr="00D43831">
        <w:tc>
          <w:tcPr>
            <w:tcW w:w="7229" w:type="dxa"/>
            <w:gridSpan w:val="8"/>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ind w:left="142"/>
              <w:rPr>
                <w:rFonts w:eastAsia="Times New Roman"/>
                <w:b/>
                <w:bCs/>
                <w:color w:val="000000" w:themeColor="text1"/>
                <w:sz w:val="20"/>
                <w:szCs w:val="20"/>
              </w:rPr>
            </w:pPr>
            <w:r>
              <w:rPr>
                <w:rFonts w:eastAsia="Times New Roman"/>
                <w:b/>
                <w:bCs/>
                <w:color w:val="000000" w:themeColor="text1"/>
                <w:sz w:val="20"/>
                <w:szCs w:val="20"/>
              </w:rPr>
              <w:t>Table S2: Plasma bile acid concentrations</w:t>
            </w:r>
          </w:p>
        </w:tc>
      </w:tr>
      <w:tr w:rsidR="00D43831" w:rsidTr="00D43831">
        <w:tc>
          <w:tcPr>
            <w:tcW w:w="426"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rFonts w:eastAsia="Times New Roman"/>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D43831" w:rsidRDefault="00D43831">
            <w:pPr>
              <w:spacing w:beforeLines="40" w:before="96" w:afterLines="40" w:after="96" w:line="480" w:lineRule="auto"/>
              <w:jc w:val="center"/>
              <w:rPr>
                <w:rFonts w:eastAsia="Times New Roman"/>
                <w:sz w:val="20"/>
                <w:szCs w:val="20"/>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D9E2F3" w:themeFill="accent5" w:themeFillTint="33"/>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b/>
                <w:bCs/>
                <w:color w:val="000000" w:themeColor="text1"/>
                <w:sz w:val="20"/>
                <w:szCs w:val="20"/>
              </w:rPr>
            </w:pPr>
            <w:r>
              <w:rPr>
                <w:rFonts w:eastAsia="Times New Roman"/>
                <w:b/>
                <w:bCs/>
                <w:color w:val="000000" w:themeColor="text1"/>
                <w:sz w:val="20"/>
                <w:szCs w:val="20"/>
              </w:rPr>
              <w:t>Control</w:t>
            </w:r>
          </w:p>
        </w:tc>
        <w:tc>
          <w:tcPr>
            <w:tcW w:w="2126"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b/>
                <w:bCs/>
                <w:color w:val="000000" w:themeColor="text1"/>
                <w:sz w:val="20"/>
                <w:szCs w:val="20"/>
              </w:rPr>
            </w:pPr>
            <w:proofErr w:type="spellStart"/>
            <w:r>
              <w:rPr>
                <w:rFonts w:eastAsia="Times New Roman"/>
                <w:b/>
                <w:bCs/>
                <w:color w:val="000000" w:themeColor="text1"/>
                <w:sz w:val="20"/>
                <w:szCs w:val="20"/>
              </w:rPr>
              <w:t>Melphalan</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rFonts w:eastAsia="Times New Roman"/>
                <w:b/>
                <w:bCs/>
                <w:color w:val="000000" w:themeColor="text1"/>
                <w:sz w:val="20"/>
                <w:szCs w:val="20"/>
              </w:rPr>
            </w:pPr>
          </w:p>
        </w:tc>
      </w:tr>
      <w:tr w:rsidR="00D43831" w:rsidTr="00D43831">
        <w:tc>
          <w:tcPr>
            <w:tcW w:w="426"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rFonts w:eastAsia="Times New Roman"/>
                <w:sz w:val="20"/>
                <w:szCs w:val="20"/>
              </w:rPr>
            </w:pPr>
          </w:p>
        </w:tc>
        <w:tc>
          <w:tcPr>
            <w:tcW w:w="987"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b/>
                <w:bCs/>
                <w:sz w:val="20"/>
                <w:szCs w:val="20"/>
              </w:rPr>
            </w:pPr>
            <w:r>
              <w:rPr>
                <w:rFonts w:eastAsia="Times New Roman"/>
                <w:b/>
                <w:bCs/>
                <w:sz w:val="20"/>
                <w:szCs w:val="20"/>
              </w:rPr>
              <w:t>Day</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b/>
                <w:bCs/>
                <w:sz w:val="20"/>
                <w:szCs w:val="20"/>
              </w:rPr>
            </w:pPr>
            <w:r>
              <w:rPr>
                <w:rFonts w:eastAsia="Times New Roman"/>
                <w:b/>
                <w:bCs/>
                <w:sz w:val="20"/>
                <w:szCs w:val="20"/>
              </w:rPr>
              <w:t>Mean</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b/>
                <w:bCs/>
                <w:sz w:val="20"/>
                <w:szCs w:val="20"/>
              </w:rPr>
            </w:pPr>
            <w:r>
              <w:rPr>
                <w:rFonts w:eastAsia="Times New Roman"/>
                <w:b/>
                <w:bCs/>
                <w:sz w:val="20"/>
                <w:szCs w:val="20"/>
              </w:rPr>
              <w:t>SEM</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b/>
                <w:bCs/>
                <w:sz w:val="20"/>
                <w:szCs w:val="20"/>
              </w:rPr>
            </w:pPr>
            <w:r>
              <w:rPr>
                <w:rFonts w:eastAsia="Times New Roman"/>
                <w:b/>
                <w:bCs/>
                <w:sz w:val="20"/>
                <w:szCs w:val="20"/>
              </w:rPr>
              <w:t>Mean</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b/>
                <w:bCs/>
                <w:sz w:val="20"/>
                <w:szCs w:val="20"/>
              </w:rPr>
            </w:pPr>
            <w:r>
              <w:rPr>
                <w:rFonts w:eastAsia="Times New Roman"/>
                <w:b/>
                <w:bCs/>
                <w:sz w:val="20"/>
                <w:szCs w:val="20"/>
              </w:rPr>
              <w:t>SEM</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b/>
                <w:bCs/>
                <w:sz w:val="20"/>
                <w:szCs w:val="20"/>
              </w:rPr>
            </w:pPr>
            <w:r>
              <w:rPr>
                <w:rFonts w:eastAsia="Times New Roman"/>
                <w:b/>
                <w:bCs/>
                <w:sz w:val="20"/>
                <w:szCs w:val="20"/>
              </w:rPr>
              <w:t>Sig</w:t>
            </w:r>
          </w:p>
        </w:tc>
      </w:tr>
      <w:tr w:rsidR="00D43831" w:rsidTr="00D43831">
        <w:tc>
          <w:tcPr>
            <w:tcW w:w="1413"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Total BA pool</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19.97</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4.12</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5.36</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0.69</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8216" w:type="dxa"/>
            <w:gridSpan w:val="2"/>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22.99</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4.45</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7.16</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1.78</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8216" w:type="dxa"/>
            <w:gridSpan w:val="2"/>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19.69</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4.40</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14.68</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2.34</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D43831" w:rsidRDefault="00D43831">
            <w:pPr>
              <w:spacing w:beforeLines="40" w:before="96" w:afterLines="40" w:after="96" w:line="480" w:lineRule="auto"/>
              <w:ind w:left="113" w:right="113"/>
              <w:jc w:val="center"/>
              <w:rPr>
                <w:rFonts w:eastAsia="Times New Roman"/>
                <w:sz w:val="20"/>
                <w:szCs w:val="20"/>
              </w:rPr>
            </w:pPr>
            <w:r>
              <w:rPr>
                <w:rFonts w:eastAsia="Times New Roman"/>
                <w:sz w:val="20"/>
                <w:szCs w:val="20"/>
              </w:rPr>
              <w:lastRenderedPageBreak/>
              <w:t>Primary BA</w:t>
            </w: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10.02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1.69</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0.30</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0.12</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10.62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1.40</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2.68</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1.27</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9.82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2.56</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7.44</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1.39</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GCA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0.04</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0.07</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0.24</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0.09</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0.13</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0.20</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0.05</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0.12</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TCA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1.38</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0.28</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0.28</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0.09</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1.92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0.24</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0.48</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0.05</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1.67</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0.22</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0.57</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0.09</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CDCA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1.72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0.72</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4.00</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0.24</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1.59</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0.28</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4.00</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0.28</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1.71</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0.47</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7.00</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1.31</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GCDCA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0.00</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0.00</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TCDCA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0.17</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0.19</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0.05</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0.08</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0.24</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0.04</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0.13</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color w:val="000000"/>
                <w:spacing w:val="-4"/>
                <w:kern w:val="2"/>
                <w:sz w:val="20"/>
                <w:szCs w:val="20"/>
                <w:lang w:val="en-GB"/>
              </w:rPr>
              <w:t>α</w:t>
            </w:r>
            <w:r>
              <w:rPr>
                <w:rFonts w:eastAsia="Times New Roman"/>
                <w:sz w:val="20"/>
                <w:szCs w:val="20"/>
              </w:rPr>
              <w:t>-MCA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1.29</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0.46</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0.35</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0.15</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1.28</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0.12</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0.37</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0.16</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1.39</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0.37</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1.34</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0.21</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T-</w:t>
            </w:r>
            <w:r>
              <w:rPr>
                <w:color w:val="000000"/>
                <w:spacing w:val="-4"/>
                <w:kern w:val="2"/>
                <w:sz w:val="20"/>
                <w:szCs w:val="20"/>
                <w:lang w:val="en-GB"/>
              </w:rPr>
              <w:t>α</w:t>
            </w:r>
            <w:r>
              <w:rPr>
                <w:rFonts w:eastAsia="Times New Roman"/>
                <w:sz w:val="20"/>
                <w:szCs w:val="20"/>
              </w:rPr>
              <w:t>-MCA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0.49</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0.04</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0.17</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0.04</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0.55</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0.09</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0.23</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0.04</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0.61</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0.08</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0.35</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color w:val="000000"/>
                <w:spacing w:val="-4"/>
                <w:kern w:val="2"/>
                <w:sz w:val="20"/>
                <w:szCs w:val="20"/>
                <w:lang w:val="en-GB"/>
              </w:rPr>
              <w:t>β</w:t>
            </w:r>
            <w:r>
              <w:rPr>
                <w:rFonts w:eastAsia="Times New Roman"/>
                <w:sz w:val="20"/>
                <w:szCs w:val="20"/>
              </w:rPr>
              <w:t>-MCA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0.71</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0.26</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0.93</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0.51</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0.83</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0.16</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0.68</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0.27</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0.92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0.28</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0.97</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0.17</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sz w:val="20"/>
                <w:szCs w:val="20"/>
              </w:rPr>
            </w:pPr>
            <w:r>
              <w:rPr>
                <w:rFonts w:eastAsia="Times New Roman"/>
                <w:sz w:val="20"/>
                <w:szCs w:val="20"/>
              </w:rPr>
              <w:t>T-</w:t>
            </w:r>
            <w:r>
              <w:rPr>
                <w:color w:val="000000"/>
                <w:spacing w:val="-4"/>
                <w:kern w:val="2"/>
                <w:sz w:val="20"/>
                <w:szCs w:val="20"/>
                <w:lang w:val="en-GB"/>
              </w:rPr>
              <w:t>β</w:t>
            </w:r>
          </w:p>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-MCA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0.16</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0.09</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0.19</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0.14</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0.26</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0.05</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0.11</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D43831" w:rsidRDefault="00D43831">
            <w:pPr>
              <w:spacing w:beforeLines="40" w:before="96" w:afterLines="40" w:after="96" w:line="480" w:lineRule="auto"/>
              <w:ind w:left="113" w:right="113"/>
              <w:jc w:val="center"/>
              <w:rPr>
                <w:rFonts w:eastAsia="Times New Roman"/>
                <w:sz w:val="20"/>
                <w:szCs w:val="20"/>
              </w:rPr>
            </w:pPr>
            <w:r>
              <w:rPr>
                <w:rFonts w:eastAsia="Times New Roman"/>
                <w:sz w:val="20"/>
                <w:szCs w:val="20"/>
              </w:rPr>
              <w:t>Secondary BA</w:t>
            </w: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DCA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0.47</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0.26</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1.13</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0.57</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0.34</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0.08</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0.16</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0.43</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0.10</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0.28</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0.06</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GDCA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0.06</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TDCA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0.10</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0.44</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0.09</w:t>
            </w:r>
          </w:p>
        </w:tc>
        <w:tc>
          <w:tcPr>
            <w:tcW w:w="992" w:type="dxa"/>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color w:val="000000"/>
                <w:sz w:val="20"/>
                <w:szCs w:val="20"/>
              </w:rPr>
            </w:pPr>
            <w:r>
              <w:rPr>
                <w:color w:val="000000"/>
                <w:sz w:val="20"/>
                <w:szCs w:val="20"/>
              </w:rPr>
              <w:t>**</w:t>
            </w: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0.25</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0.13</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0.11</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0.04</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0.07</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LCA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0.03</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0.06</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0.00</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0.00</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0.01</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0.00</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color w:val="000000"/>
                <w:spacing w:val="-4"/>
                <w:kern w:val="2"/>
                <w:sz w:val="20"/>
                <w:szCs w:val="20"/>
                <w:lang w:val="en-GB"/>
              </w:rPr>
              <w:t>ω-MCA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1.22</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0.51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2.82</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0.72</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1.49</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0.38</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1.62</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0.46</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1.81</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0.41</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1.50</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0.19</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val="restart"/>
            <w:tcBorders>
              <w:top w:val="single" w:sz="4" w:space="0" w:color="auto"/>
              <w:left w:val="single" w:sz="4" w:space="0" w:color="auto"/>
              <w:bottom w:val="single" w:sz="4" w:space="0" w:color="auto"/>
              <w:right w:val="single" w:sz="4" w:space="0" w:color="auto"/>
            </w:tcBorders>
            <w:vAlign w:val="center"/>
            <w:hideMark/>
          </w:tcPr>
          <w:p w:rsidR="00D43831" w:rsidRDefault="00D43831">
            <w:pPr>
              <w:spacing w:beforeLines="40" w:before="96" w:afterLines="40" w:after="96" w:line="480" w:lineRule="auto"/>
              <w:jc w:val="center"/>
              <w:rPr>
                <w:rFonts w:eastAsia="Times New Roman"/>
                <w:sz w:val="20"/>
                <w:szCs w:val="20"/>
              </w:rPr>
            </w:pPr>
            <w:r>
              <w:rPr>
                <w:rFonts w:eastAsia="Times New Roman"/>
                <w:sz w:val="20"/>
                <w:szCs w:val="20"/>
              </w:rPr>
              <w:t>HDCA</w:t>
            </w: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4</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0.08</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0.04</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0.05</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7</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0.11</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0.05</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0.02</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r w:rsidR="00D43831" w:rsidTr="00D43831">
        <w:tc>
          <w:tcPr>
            <w:tcW w:w="7229"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rsidR="00D43831" w:rsidRDefault="00D43831">
            <w:pPr>
              <w:rPr>
                <w:rFonts w:eastAsia="Times New Roman"/>
                <w:sz w:val="20"/>
                <w:szCs w:val="20"/>
              </w:rPr>
            </w:pPr>
          </w:p>
        </w:tc>
        <w:tc>
          <w:tcPr>
            <w:tcW w:w="57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sz w:val="20"/>
                <w:szCs w:val="20"/>
              </w:rPr>
              <w:t>10</w:t>
            </w:r>
          </w:p>
        </w:tc>
        <w:tc>
          <w:tcPr>
            <w:tcW w:w="115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0.14</w:t>
            </w:r>
          </w:p>
        </w:tc>
        <w:tc>
          <w:tcPr>
            <w:tcW w:w="96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0.04</w:t>
            </w:r>
          </w:p>
        </w:tc>
        <w:tc>
          <w:tcPr>
            <w:tcW w:w="113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0.18</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rsidR="00D43831" w:rsidRDefault="00D43831">
            <w:pPr>
              <w:spacing w:beforeLines="40" w:before="96" w:afterLines="40" w:after="96" w:line="480" w:lineRule="auto"/>
              <w:jc w:val="center"/>
              <w:rPr>
                <w:rFonts w:eastAsia="Times New Roman"/>
                <w:sz w:val="20"/>
                <w:szCs w:val="20"/>
              </w:rPr>
            </w:pPr>
            <w:r>
              <w:rPr>
                <w:color w:val="000000"/>
                <w:sz w:val="20"/>
                <w:szCs w:val="20"/>
              </w:rPr>
              <w:t>0.04</w:t>
            </w:r>
          </w:p>
        </w:tc>
        <w:tc>
          <w:tcPr>
            <w:tcW w:w="992" w:type="dxa"/>
            <w:tcBorders>
              <w:top w:val="single" w:sz="4" w:space="0" w:color="auto"/>
              <w:left w:val="single" w:sz="4" w:space="0" w:color="auto"/>
              <w:bottom w:val="single" w:sz="4" w:space="0" w:color="auto"/>
              <w:right w:val="single" w:sz="4" w:space="0" w:color="auto"/>
            </w:tcBorders>
            <w:vAlign w:val="center"/>
          </w:tcPr>
          <w:p w:rsidR="00D43831" w:rsidRDefault="00D43831">
            <w:pPr>
              <w:spacing w:beforeLines="40" w:before="96" w:afterLines="40" w:after="96" w:line="480" w:lineRule="auto"/>
              <w:jc w:val="center"/>
              <w:rPr>
                <w:color w:val="000000"/>
                <w:sz w:val="20"/>
                <w:szCs w:val="20"/>
              </w:rPr>
            </w:pPr>
          </w:p>
        </w:tc>
      </w:tr>
    </w:tbl>
    <w:p w:rsidR="00D43831" w:rsidRDefault="00D43831" w:rsidP="00D43831">
      <w:pPr>
        <w:spacing w:line="480" w:lineRule="auto"/>
        <w:rPr>
          <w:bCs/>
          <w:iCs/>
          <w:sz w:val="20"/>
          <w:szCs w:val="20"/>
        </w:rPr>
      </w:pPr>
    </w:p>
    <w:p w:rsidR="00D43831" w:rsidRDefault="00D43831" w:rsidP="00D43831">
      <w:pPr>
        <w:spacing w:line="480" w:lineRule="auto"/>
        <w:rPr>
          <w:b/>
          <w:i/>
          <w:sz w:val="20"/>
          <w:szCs w:val="20"/>
        </w:rPr>
      </w:pPr>
    </w:p>
    <w:p w:rsidR="00D43831" w:rsidRDefault="00D43831" w:rsidP="00D43831">
      <w:pPr>
        <w:spacing w:line="480" w:lineRule="auto"/>
        <w:rPr>
          <w:bCs/>
          <w:i/>
          <w:sz w:val="20"/>
          <w:szCs w:val="20"/>
        </w:rPr>
      </w:pPr>
      <w:r>
        <w:rPr>
          <w:bCs/>
          <w:i/>
          <w:sz w:val="20"/>
          <w:szCs w:val="20"/>
        </w:rPr>
        <w:br w:type="page"/>
      </w:r>
    </w:p>
    <w:p w:rsidR="00D43831" w:rsidRDefault="00D43831" w:rsidP="00D43831">
      <w:pPr>
        <w:spacing w:line="480" w:lineRule="auto"/>
        <w:rPr>
          <w:b/>
          <w:i/>
          <w:sz w:val="20"/>
          <w:szCs w:val="20"/>
        </w:rPr>
      </w:pPr>
      <w:r>
        <w:rPr>
          <w:b/>
          <w:i/>
          <w:sz w:val="20"/>
          <w:szCs w:val="20"/>
        </w:rPr>
        <w:lastRenderedPageBreak/>
        <w:t xml:space="preserve">Supplementary methods </w:t>
      </w:r>
    </w:p>
    <w:p w:rsidR="00D43831" w:rsidRDefault="00D43831" w:rsidP="00D43831">
      <w:pPr>
        <w:spacing w:line="480" w:lineRule="auto"/>
        <w:rPr>
          <w:bCs/>
          <w:iCs/>
          <w:sz w:val="20"/>
          <w:szCs w:val="20"/>
        </w:rPr>
      </w:pPr>
      <w:r>
        <w:rPr>
          <w:b/>
          <w:iCs/>
          <w:sz w:val="20"/>
          <w:szCs w:val="20"/>
          <w:u w:val="single"/>
        </w:rPr>
        <w:t>Methods</w:t>
      </w:r>
      <w:r>
        <w:rPr>
          <w:bCs/>
          <w:iCs/>
          <w:sz w:val="20"/>
          <w:szCs w:val="20"/>
        </w:rPr>
        <w:t xml:space="preserve">: SCFA analysis methodological adaptations and </w:t>
      </w:r>
      <w:proofErr w:type="spellStart"/>
      <w:r>
        <w:rPr>
          <w:bCs/>
          <w:iCs/>
          <w:sz w:val="20"/>
          <w:szCs w:val="20"/>
        </w:rPr>
        <w:t>Novogene</w:t>
      </w:r>
      <w:proofErr w:type="spellEnd"/>
      <w:r>
        <w:rPr>
          <w:bCs/>
          <w:iCs/>
          <w:sz w:val="20"/>
          <w:szCs w:val="20"/>
        </w:rPr>
        <w:t xml:space="preserve"> </w:t>
      </w:r>
      <w:proofErr w:type="spellStart"/>
      <w:r>
        <w:rPr>
          <w:bCs/>
          <w:iCs/>
          <w:sz w:val="20"/>
          <w:szCs w:val="20"/>
        </w:rPr>
        <w:t>rRNA</w:t>
      </w:r>
      <w:proofErr w:type="spellEnd"/>
      <w:r>
        <w:rPr>
          <w:bCs/>
          <w:iCs/>
          <w:sz w:val="20"/>
          <w:szCs w:val="20"/>
        </w:rPr>
        <w:t xml:space="preserve"> sequencing detailed methodology. </w:t>
      </w:r>
    </w:p>
    <w:p w:rsidR="00D43831" w:rsidRDefault="00D43831" w:rsidP="00D43831">
      <w:pPr>
        <w:spacing w:before="80" w:after="80" w:line="480" w:lineRule="auto"/>
        <w:outlineLvl w:val="1"/>
        <w:rPr>
          <w:rFonts w:eastAsia="Times New Roman"/>
          <w:b/>
          <w:bCs/>
          <w:color w:val="000000" w:themeColor="text1"/>
          <w:sz w:val="20"/>
          <w:szCs w:val="20"/>
          <w:u w:val="single"/>
        </w:rPr>
      </w:pPr>
      <w:r>
        <w:rPr>
          <w:rFonts w:eastAsia="Times New Roman"/>
          <w:b/>
          <w:bCs/>
          <w:color w:val="000000" w:themeColor="text1"/>
          <w:sz w:val="20"/>
          <w:szCs w:val="20"/>
          <w:u w:val="single"/>
        </w:rPr>
        <w:t>SCFA analysis adaptations</w:t>
      </w:r>
    </w:p>
    <w:p w:rsidR="00D43831" w:rsidRDefault="00D43831" w:rsidP="00D43831">
      <w:pPr>
        <w:spacing w:before="80" w:after="80" w:line="480" w:lineRule="auto"/>
        <w:outlineLvl w:val="1"/>
        <w:rPr>
          <w:rFonts w:eastAsia="Times New Roman"/>
          <w:color w:val="000000" w:themeColor="text1"/>
          <w:sz w:val="20"/>
          <w:szCs w:val="20"/>
        </w:rPr>
      </w:pPr>
      <w:r>
        <w:rPr>
          <w:rFonts w:eastAsia="Times New Roman"/>
          <w:iCs/>
          <w:color w:val="000000" w:themeColor="text1"/>
          <w:sz w:val="20"/>
          <w:szCs w:val="20"/>
          <w:lang w:val="en-GB"/>
        </w:rPr>
        <w:t xml:space="preserve">Values were determined relative to a 7-point calibration curve (acetate: 0.0 and 8.0 </w:t>
      </w:r>
      <w:proofErr w:type="spellStart"/>
      <w:r>
        <w:rPr>
          <w:rFonts w:eastAsia="Times New Roman"/>
          <w:iCs/>
          <w:color w:val="000000" w:themeColor="text1"/>
          <w:sz w:val="20"/>
          <w:szCs w:val="20"/>
          <w:lang w:val="en-GB"/>
        </w:rPr>
        <w:t>mM</w:t>
      </w:r>
      <w:proofErr w:type="spellEnd"/>
      <w:r>
        <w:rPr>
          <w:rFonts w:eastAsia="Times New Roman"/>
          <w:iCs/>
          <w:color w:val="000000" w:themeColor="text1"/>
          <w:sz w:val="20"/>
          <w:szCs w:val="20"/>
          <w:lang w:val="en-GB"/>
        </w:rPr>
        <w:t xml:space="preserve">; propionate: 0.0 to 4.0 </w:t>
      </w:r>
      <w:proofErr w:type="spellStart"/>
      <w:r>
        <w:rPr>
          <w:rFonts w:eastAsia="Times New Roman"/>
          <w:iCs/>
          <w:color w:val="000000" w:themeColor="text1"/>
          <w:sz w:val="20"/>
          <w:szCs w:val="20"/>
          <w:lang w:val="en-GB"/>
        </w:rPr>
        <w:t>mM</w:t>
      </w:r>
      <w:proofErr w:type="spellEnd"/>
      <w:r>
        <w:rPr>
          <w:rFonts w:eastAsia="Times New Roman"/>
          <w:iCs/>
          <w:color w:val="000000" w:themeColor="text1"/>
          <w:sz w:val="20"/>
          <w:szCs w:val="20"/>
          <w:lang w:val="en-GB"/>
        </w:rPr>
        <w:t xml:space="preserve">; butyrate: 0.0 to 4.0 </w:t>
      </w:r>
      <w:proofErr w:type="spellStart"/>
      <w:r>
        <w:rPr>
          <w:rFonts w:eastAsia="Times New Roman"/>
          <w:iCs/>
          <w:color w:val="000000" w:themeColor="text1"/>
          <w:sz w:val="20"/>
          <w:szCs w:val="20"/>
          <w:lang w:val="en-GB"/>
        </w:rPr>
        <w:t>mM</w:t>
      </w:r>
      <w:proofErr w:type="spellEnd"/>
      <w:r>
        <w:rPr>
          <w:rFonts w:eastAsia="Times New Roman"/>
          <w:iCs/>
          <w:color w:val="000000" w:themeColor="text1"/>
          <w:sz w:val="20"/>
          <w:szCs w:val="20"/>
          <w:lang w:val="en-GB"/>
        </w:rPr>
        <w:t xml:space="preserve">). </w:t>
      </w:r>
      <w:proofErr w:type="spellStart"/>
      <w:r>
        <w:rPr>
          <w:rFonts w:eastAsia="Times New Roman"/>
          <w:iCs/>
          <w:color w:val="000000" w:themeColor="text1"/>
          <w:sz w:val="20"/>
          <w:szCs w:val="20"/>
          <w:lang w:val="en-GB"/>
        </w:rPr>
        <w:t>Cecal</w:t>
      </w:r>
      <w:proofErr w:type="spellEnd"/>
      <w:r>
        <w:rPr>
          <w:rFonts w:eastAsia="Times New Roman"/>
          <w:iCs/>
          <w:color w:val="000000" w:themeColor="text1"/>
          <w:sz w:val="20"/>
          <w:szCs w:val="20"/>
          <w:lang w:val="en-GB"/>
        </w:rPr>
        <w:t xml:space="preserve"> contents were thawed on ice and diluted 1:9 with sterile, </w:t>
      </w:r>
      <w:proofErr w:type="spellStart"/>
      <w:r>
        <w:rPr>
          <w:rFonts w:eastAsia="Times New Roman"/>
          <w:iCs/>
          <w:color w:val="000000" w:themeColor="text1"/>
          <w:sz w:val="20"/>
          <w:szCs w:val="20"/>
          <w:lang w:val="en-GB"/>
        </w:rPr>
        <w:t>milliQ</w:t>
      </w:r>
      <w:proofErr w:type="spellEnd"/>
      <w:r>
        <w:rPr>
          <w:rFonts w:eastAsia="Times New Roman"/>
          <w:iCs/>
          <w:color w:val="000000" w:themeColor="text1"/>
          <w:sz w:val="20"/>
          <w:szCs w:val="20"/>
          <w:lang w:val="en-GB"/>
        </w:rPr>
        <w:t xml:space="preserve"> water and refrozen at -80</w:t>
      </w:r>
      <w:r>
        <w:rPr>
          <w:rFonts w:eastAsia="Times New Roman"/>
          <w:iCs/>
          <w:color w:val="000000" w:themeColor="text1"/>
          <w:sz w:val="20"/>
          <w:szCs w:val="20"/>
          <w:vertAlign w:val="superscript"/>
          <w:lang w:val="en-GB"/>
        </w:rPr>
        <w:t>o</w:t>
      </w:r>
      <w:r>
        <w:rPr>
          <w:rFonts w:eastAsia="Times New Roman"/>
          <w:iCs/>
          <w:color w:val="000000" w:themeColor="text1"/>
          <w:sz w:val="20"/>
          <w:szCs w:val="20"/>
          <w:lang w:val="en-GB"/>
        </w:rPr>
        <w:t xml:space="preserve">C. On the day of analysis, samples were thawed on ice and 500 µl was added to 500 </w:t>
      </w:r>
      <w:proofErr w:type="spellStart"/>
      <w:r>
        <w:rPr>
          <w:rFonts w:eastAsia="Times New Roman"/>
          <w:iCs/>
          <w:color w:val="000000" w:themeColor="text1"/>
          <w:sz w:val="20"/>
          <w:szCs w:val="20"/>
          <w:lang w:val="en-GB"/>
        </w:rPr>
        <w:t>μl</w:t>
      </w:r>
      <w:proofErr w:type="spellEnd"/>
      <w:r>
        <w:rPr>
          <w:rFonts w:eastAsia="Times New Roman"/>
          <w:iCs/>
          <w:color w:val="000000" w:themeColor="text1"/>
          <w:sz w:val="20"/>
          <w:szCs w:val="20"/>
          <w:lang w:val="en-GB"/>
        </w:rPr>
        <w:t xml:space="preserve"> of calibration sample, 100 </w:t>
      </w:r>
      <w:proofErr w:type="spellStart"/>
      <w:r>
        <w:rPr>
          <w:rFonts w:eastAsia="Times New Roman"/>
          <w:iCs/>
          <w:color w:val="000000" w:themeColor="text1"/>
          <w:sz w:val="20"/>
          <w:szCs w:val="20"/>
          <w:lang w:val="en-GB"/>
        </w:rPr>
        <w:t>μl</w:t>
      </w:r>
      <w:proofErr w:type="spellEnd"/>
      <w:r>
        <w:rPr>
          <w:rFonts w:eastAsia="Times New Roman"/>
          <w:iCs/>
          <w:color w:val="000000" w:themeColor="text1"/>
          <w:sz w:val="20"/>
          <w:szCs w:val="20"/>
          <w:lang w:val="en-GB"/>
        </w:rPr>
        <w:t xml:space="preserve"> internal standard solution (1 mg/ml 2-ethylbutyrate in </w:t>
      </w:r>
      <w:proofErr w:type="spellStart"/>
      <w:r>
        <w:rPr>
          <w:rFonts w:eastAsia="Times New Roman"/>
          <w:iCs/>
          <w:color w:val="000000" w:themeColor="text1"/>
          <w:sz w:val="20"/>
          <w:szCs w:val="20"/>
          <w:lang w:val="en-GB"/>
        </w:rPr>
        <w:t>Milli</w:t>
      </w:r>
      <w:proofErr w:type="spellEnd"/>
      <w:r>
        <w:rPr>
          <w:rFonts w:eastAsia="Times New Roman"/>
          <w:iCs/>
          <w:color w:val="000000" w:themeColor="text1"/>
          <w:sz w:val="20"/>
          <w:szCs w:val="20"/>
          <w:lang w:val="en-GB"/>
        </w:rPr>
        <w:t xml:space="preserve">-Q), 20 </w:t>
      </w:r>
      <w:proofErr w:type="spellStart"/>
      <w:r>
        <w:rPr>
          <w:rFonts w:eastAsia="Times New Roman"/>
          <w:iCs/>
          <w:color w:val="000000" w:themeColor="text1"/>
          <w:sz w:val="20"/>
          <w:szCs w:val="20"/>
          <w:lang w:val="en-GB"/>
        </w:rPr>
        <w:t>μl</w:t>
      </w:r>
      <w:proofErr w:type="spellEnd"/>
      <w:r>
        <w:rPr>
          <w:rFonts w:eastAsia="Times New Roman"/>
          <w:iCs/>
          <w:color w:val="000000" w:themeColor="text1"/>
          <w:sz w:val="20"/>
          <w:szCs w:val="20"/>
          <w:lang w:val="en-GB"/>
        </w:rPr>
        <w:t xml:space="preserve"> 20% (w/v) </w:t>
      </w:r>
      <w:proofErr w:type="spellStart"/>
      <w:r>
        <w:rPr>
          <w:rFonts w:eastAsia="Times New Roman"/>
          <w:iCs/>
          <w:color w:val="000000" w:themeColor="text1"/>
          <w:sz w:val="20"/>
          <w:szCs w:val="20"/>
          <w:lang w:val="en-GB"/>
        </w:rPr>
        <w:t>sulphosalicylic</w:t>
      </w:r>
      <w:proofErr w:type="spellEnd"/>
      <w:r>
        <w:rPr>
          <w:rFonts w:eastAsia="Times New Roman"/>
          <w:iCs/>
          <w:color w:val="000000" w:themeColor="text1"/>
          <w:sz w:val="20"/>
          <w:szCs w:val="20"/>
          <w:lang w:val="en-GB"/>
        </w:rPr>
        <w:t xml:space="preserve"> acid solution and two drops 37% </w:t>
      </w:r>
      <w:proofErr w:type="spellStart"/>
      <w:r>
        <w:rPr>
          <w:rFonts w:eastAsia="Times New Roman"/>
          <w:iCs/>
          <w:color w:val="000000" w:themeColor="text1"/>
          <w:sz w:val="20"/>
          <w:szCs w:val="20"/>
          <w:lang w:val="en-GB"/>
        </w:rPr>
        <w:t>HCl</w:t>
      </w:r>
      <w:proofErr w:type="spellEnd"/>
      <w:r>
        <w:rPr>
          <w:rFonts w:eastAsia="Times New Roman"/>
          <w:iCs/>
          <w:color w:val="000000" w:themeColor="text1"/>
          <w:sz w:val="20"/>
          <w:szCs w:val="20"/>
          <w:lang w:val="en-GB"/>
        </w:rPr>
        <w:t xml:space="preserve"> were added. The sample was centrifuged at 16100 g for 20 min at 4°C, and supernatant was transferred to a glass tube containing a spatula tip of sodium chloride. 2 ml of </w:t>
      </w:r>
      <w:proofErr w:type="spellStart"/>
      <w:r>
        <w:rPr>
          <w:rFonts w:eastAsia="Times New Roman"/>
          <w:iCs/>
          <w:color w:val="000000" w:themeColor="text1"/>
          <w:sz w:val="20"/>
          <w:szCs w:val="20"/>
          <w:lang w:val="en-GB"/>
        </w:rPr>
        <w:t>diethylether</w:t>
      </w:r>
      <w:proofErr w:type="spellEnd"/>
      <w:r>
        <w:rPr>
          <w:rFonts w:eastAsia="Times New Roman"/>
          <w:iCs/>
          <w:color w:val="000000" w:themeColor="text1"/>
          <w:sz w:val="20"/>
          <w:szCs w:val="20"/>
          <w:lang w:val="en-GB"/>
        </w:rPr>
        <w:t xml:space="preserve"> was added and the sample was vortexed for 10 min at room temperature and spun down at 3000 g for 10 min at 4°C. From the clear upper layer, a 500 </w:t>
      </w:r>
      <w:proofErr w:type="spellStart"/>
      <w:r>
        <w:rPr>
          <w:rFonts w:eastAsia="Times New Roman"/>
          <w:iCs/>
          <w:color w:val="000000" w:themeColor="text1"/>
          <w:sz w:val="20"/>
          <w:szCs w:val="20"/>
          <w:lang w:val="en-GB"/>
        </w:rPr>
        <w:t>μl</w:t>
      </w:r>
      <w:proofErr w:type="spellEnd"/>
      <w:r>
        <w:rPr>
          <w:rFonts w:eastAsia="Times New Roman"/>
          <w:iCs/>
          <w:color w:val="000000" w:themeColor="text1"/>
          <w:sz w:val="20"/>
          <w:szCs w:val="20"/>
          <w:lang w:val="en-GB"/>
        </w:rPr>
        <w:t xml:space="preserve"> aliquot was taken and transferred to a glass GC-vial. 50 </w:t>
      </w:r>
      <w:proofErr w:type="spellStart"/>
      <w:r>
        <w:rPr>
          <w:rFonts w:eastAsia="Times New Roman"/>
          <w:iCs/>
          <w:color w:val="000000" w:themeColor="text1"/>
          <w:sz w:val="20"/>
          <w:szCs w:val="20"/>
          <w:lang w:val="en-GB"/>
        </w:rPr>
        <w:t>μl</w:t>
      </w:r>
      <w:proofErr w:type="spellEnd"/>
      <w:r>
        <w:rPr>
          <w:rFonts w:eastAsia="Times New Roman"/>
          <w:iCs/>
          <w:color w:val="000000" w:themeColor="text1"/>
          <w:sz w:val="20"/>
          <w:szCs w:val="20"/>
          <w:lang w:val="en-GB"/>
        </w:rPr>
        <w:t xml:space="preserve"> of MBTSTFA + 1% TBDMCS was added and left to </w:t>
      </w:r>
      <w:proofErr w:type="spellStart"/>
      <w:r>
        <w:rPr>
          <w:rFonts w:eastAsia="Times New Roman"/>
          <w:iCs/>
          <w:color w:val="000000" w:themeColor="text1"/>
          <w:sz w:val="20"/>
          <w:szCs w:val="20"/>
          <w:lang w:val="en-GB"/>
        </w:rPr>
        <w:t>derivatize</w:t>
      </w:r>
      <w:proofErr w:type="spellEnd"/>
      <w:r>
        <w:rPr>
          <w:rFonts w:eastAsia="Times New Roman"/>
          <w:iCs/>
          <w:color w:val="000000" w:themeColor="text1"/>
          <w:sz w:val="20"/>
          <w:szCs w:val="20"/>
          <w:lang w:val="en-GB"/>
        </w:rPr>
        <w:t xml:space="preserve"> overnight at room temperature. 3 </w:t>
      </w:r>
      <w:proofErr w:type="spellStart"/>
      <w:r>
        <w:rPr>
          <w:rFonts w:eastAsia="Times New Roman"/>
          <w:iCs/>
          <w:color w:val="000000" w:themeColor="text1"/>
          <w:sz w:val="20"/>
          <w:szCs w:val="20"/>
          <w:lang w:val="en-GB"/>
        </w:rPr>
        <w:t>μl</w:t>
      </w:r>
      <w:proofErr w:type="spellEnd"/>
      <w:r>
        <w:rPr>
          <w:rFonts w:eastAsia="Times New Roman"/>
          <w:iCs/>
          <w:color w:val="000000" w:themeColor="text1"/>
          <w:sz w:val="20"/>
          <w:szCs w:val="20"/>
          <w:lang w:val="en-GB"/>
        </w:rPr>
        <w:t xml:space="preserve"> </w:t>
      </w:r>
      <w:proofErr w:type="spellStart"/>
      <w:r>
        <w:rPr>
          <w:rFonts w:eastAsia="Times New Roman"/>
          <w:iCs/>
          <w:color w:val="000000" w:themeColor="text1"/>
          <w:sz w:val="20"/>
          <w:szCs w:val="20"/>
          <w:lang w:val="en-GB"/>
        </w:rPr>
        <w:t>derivatized</w:t>
      </w:r>
      <w:proofErr w:type="spellEnd"/>
      <w:r>
        <w:rPr>
          <w:rFonts w:eastAsia="Times New Roman"/>
          <w:iCs/>
          <w:color w:val="000000" w:themeColor="text1"/>
          <w:sz w:val="20"/>
          <w:szCs w:val="20"/>
          <w:lang w:val="en-GB"/>
        </w:rPr>
        <w:t xml:space="preserve"> sample was injected into the GC-MS (7890A GC System and 5975C inert XI EI/CI MSD with an EI inert 350 source). Analysis was carried out in a split mode with an inlet split ratio of 20:1. Samples were </w:t>
      </w:r>
      <w:proofErr w:type="spellStart"/>
      <w:r>
        <w:rPr>
          <w:rFonts w:eastAsia="Times New Roman"/>
          <w:iCs/>
          <w:color w:val="000000" w:themeColor="text1"/>
          <w:sz w:val="20"/>
          <w:szCs w:val="20"/>
          <w:lang w:val="en-GB"/>
        </w:rPr>
        <w:t>analyzed</w:t>
      </w:r>
      <w:proofErr w:type="spellEnd"/>
      <w:r>
        <w:rPr>
          <w:rFonts w:eastAsia="Times New Roman"/>
          <w:iCs/>
          <w:color w:val="000000" w:themeColor="text1"/>
          <w:sz w:val="20"/>
          <w:szCs w:val="20"/>
          <w:lang w:val="en-GB"/>
        </w:rPr>
        <w:t xml:space="preserve"> in SIM acquisition mode; acetate at m/z 117, propionate at m/z 131, butyrate at m/z 145 and 2-ethylbutyrate at m/z 175. Injector, source and quadrupole temperatures were 280°C, 230°C and 150°C, respectively. A </w:t>
      </w:r>
      <w:proofErr w:type="spellStart"/>
      <w:r>
        <w:rPr>
          <w:rFonts w:eastAsia="Times New Roman"/>
          <w:iCs/>
          <w:color w:val="000000" w:themeColor="text1"/>
          <w:sz w:val="20"/>
          <w:szCs w:val="20"/>
          <w:lang w:val="en-GB"/>
        </w:rPr>
        <w:t>Zebron</w:t>
      </w:r>
      <w:proofErr w:type="spellEnd"/>
      <w:r>
        <w:rPr>
          <w:rFonts w:eastAsia="Times New Roman"/>
          <w:iCs/>
          <w:color w:val="000000" w:themeColor="text1"/>
          <w:sz w:val="20"/>
          <w:szCs w:val="20"/>
          <w:lang w:val="en-GB"/>
        </w:rPr>
        <w:t xml:space="preserve"> capillary GC column of 30 m x 0.25 mm, 0.25 </w:t>
      </w:r>
      <w:proofErr w:type="spellStart"/>
      <w:r>
        <w:rPr>
          <w:rFonts w:eastAsia="Times New Roman"/>
          <w:iCs/>
          <w:color w:val="000000" w:themeColor="text1"/>
          <w:sz w:val="20"/>
          <w:szCs w:val="20"/>
          <w:lang w:val="en-GB"/>
        </w:rPr>
        <w:t>μm</w:t>
      </w:r>
      <w:proofErr w:type="spellEnd"/>
      <w:r>
        <w:rPr>
          <w:rFonts w:eastAsia="Times New Roman"/>
          <w:iCs/>
          <w:color w:val="000000" w:themeColor="text1"/>
          <w:sz w:val="20"/>
          <w:szCs w:val="20"/>
          <w:lang w:val="en-GB"/>
        </w:rPr>
        <w:t xml:space="preserve"> film thickness was used (ZB-1, </w:t>
      </w:r>
      <w:proofErr w:type="spellStart"/>
      <w:r>
        <w:rPr>
          <w:rFonts w:eastAsia="Times New Roman"/>
          <w:iCs/>
          <w:color w:val="000000" w:themeColor="text1"/>
          <w:sz w:val="20"/>
          <w:szCs w:val="20"/>
          <w:lang w:val="en-GB"/>
        </w:rPr>
        <w:t>Phenomenex</w:t>
      </w:r>
      <w:proofErr w:type="spellEnd"/>
      <w:r>
        <w:rPr>
          <w:rFonts w:eastAsia="Times New Roman"/>
          <w:iCs/>
          <w:color w:val="000000" w:themeColor="text1"/>
          <w:sz w:val="20"/>
          <w:szCs w:val="20"/>
          <w:lang w:val="en-GB"/>
        </w:rPr>
        <w:t>, Torrance, USA). The GC oven was programmed as follows: 40°C held for 0 min, increased to 70°C at 5°C min-1, held at 70°C for 3.5 min, increase to 160°C at 20°C min-1, increased to 280°C at 35°C min-1 and finally held at 280°C for 3 min with a total run time of 20.43 min. The flow was set a 1.0 ml min-1 with helium as carrier gas.</w:t>
      </w:r>
    </w:p>
    <w:p w:rsidR="00D43831" w:rsidRDefault="00D43831" w:rsidP="00D43831">
      <w:pPr>
        <w:spacing w:before="80" w:after="80" w:line="480" w:lineRule="auto"/>
        <w:outlineLvl w:val="1"/>
        <w:rPr>
          <w:rFonts w:eastAsia="Times New Roman"/>
          <w:b/>
          <w:bCs/>
          <w:color w:val="000000" w:themeColor="text1"/>
          <w:sz w:val="20"/>
          <w:szCs w:val="20"/>
          <w:u w:val="single"/>
        </w:rPr>
      </w:pPr>
    </w:p>
    <w:p w:rsidR="00D43831" w:rsidRDefault="00D43831" w:rsidP="00D43831">
      <w:pPr>
        <w:spacing w:before="80" w:after="80" w:line="480" w:lineRule="auto"/>
        <w:outlineLvl w:val="1"/>
        <w:rPr>
          <w:rFonts w:eastAsia="Times New Roman"/>
          <w:b/>
          <w:bCs/>
          <w:color w:val="000000" w:themeColor="text1"/>
          <w:sz w:val="20"/>
          <w:szCs w:val="20"/>
          <w:u w:val="single"/>
        </w:rPr>
      </w:pPr>
      <w:r>
        <w:rPr>
          <w:rFonts w:eastAsia="Times New Roman"/>
          <w:b/>
          <w:bCs/>
          <w:color w:val="000000" w:themeColor="text1"/>
          <w:sz w:val="20"/>
          <w:szCs w:val="20"/>
          <w:u w:val="single"/>
        </w:rPr>
        <w:t xml:space="preserve">16S </w:t>
      </w:r>
      <w:proofErr w:type="spellStart"/>
      <w:r>
        <w:rPr>
          <w:rFonts w:eastAsia="Times New Roman"/>
          <w:b/>
          <w:bCs/>
          <w:color w:val="000000" w:themeColor="text1"/>
          <w:sz w:val="20"/>
          <w:szCs w:val="20"/>
          <w:u w:val="single"/>
        </w:rPr>
        <w:t>rRNA</w:t>
      </w:r>
      <w:proofErr w:type="spellEnd"/>
      <w:r>
        <w:rPr>
          <w:rFonts w:eastAsia="Times New Roman"/>
          <w:b/>
          <w:bCs/>
          <w:color w:val="000000" w:themeColor="text1"/>
          <w:sz w:val="20"/>
          <w:szCs w:val="20"/>
          <w:u w:val="single"/>
        </w:rPr>
        <w:t xml:space="preserve"> Sequencing by </w:t>
      </w:r>
      <w:proofErr w:type="spellStart"/>
      <w:r>
        <w:rPr>
          <w:rFonts w:eastAsia="Times New Roman"/>
          <w:b/>
          <w:bCs/>
          <w:color w:val="000000" w:themeColor="text1"/>
          <w:sz w:val="20"/>
          <w:szCs w:val="20"/>
          <w:u w:val="single"/>
        </w:rPr>
        <w:t>Novogene</w:t>
      </w:r>
      <w:proofErr w:type="spellEnd"/>
      <w:r>
        <w:rPr>
          <w:rFonts w:eastAsia="Times New Roman"/>
          <w:b/>
          <w:bCs/>
          <w:color w:val="000000" w:themeColor="text1"/>
          <w:sz w:val="20"/>
          <w:szCs w:val="20"/>
          <w:u w:val="single"/>
        </w:rPr>
        <w:t xml:space="preserve"> </w:t>
      </w:r>
    </w:p>
    <w:p w:rsidR="00D43831" w:rsidRDefault="00D43831" w:rsidP="00D43831">
      <w:pPr>
        <w:spacing w:before="80" w:after="80" w:line="480" w:lineRule="auto"/>
        <w:outlineLvl w:val="1"/>
        <w:rPr>
          <w:rFonts w:eastAsia="Times New Roman"/>
          <w:b/>
          <w:bCs/>
          <w:color w:val="000000" w:themeColor="text1"/>
          <w:sz w:val="20"/>
          <w:szCs w:val="20"/>
        </w:rPr>
      </w:pPr>
      <w:r>
        <w:rPr>
          <w:rFonts w:eastAsia="Times New Roman"/>
          <w:b/>
          <w:bCs/>
          <w:color w:val="000000" w:themeColor="text1"/>
          <w:sz w:val="20"/>
          <w:szCs w:val="20"/>
        </w:rPr>
        <w:t xml:space="preserve">Sequencing preparation </w:t>
      </w:r>
    </w:p>
    <w:p w:rsidR="00D43831" w:rsidRDefault="00D43831" w:rsidP="00D43831">
      <w:pPr>
        <w:spacing w:before="80" w:after="80" w:line="480" w:lineRule="auto"/>
        <w:ind w:right="150"/>
        <w:rPr>
          <w:rFonts w:eastAsia="Times New Roman"/>
          <w:i/>
          <w:iCs/>
          <w:color w:val="000000" w:themeColor="text1"/>
          <w:sz w:val="20"/>
          <w:szCs w:val="20"/>
        </w:rPr>
      </w:pPr>
      <w:r>
        <w:rPr>
          <w:rFonts w:eastAsia="Times New Roman"/>
          <w:i/>
          <w:iCs/>
          <w:color w:val="000000" w:themeColor="text1"/>
          <w:sz w:val="20"/>
          <w:szCs w:val="20"/>
        </w:rPr>
        <w:t>Genomic DNA extraction</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lastRenderedPageBreak/>
        <w:t>Total genome DNA from samples was extracted using CTAB/SDS method. DNA concentration and purity was monitored on 1% agarose gels. According to the concentration, DNA was diluted to 1ng/</w:t>
      </w:r>
      <w:proofErr w:type="spellStart"/>
      <w:r>
        <w:rPr>
          <w:rFonts w:eastAsia="Times New Roman"/>
          <w:color w:val="000000" w:themeColor="text1"/>
          <w:sz w:val="20"/>
          <w:szCs w:val="20"/>
        </w:rPr>
        <w:t>μL</w:t>
      </w:r>
      <w:proofErr w:type="spellEnd"/>
      <w:r>
        <w:rPr>
          <w:rFonts w:eastAsia="Times New Roman"/>
          <w:color w:val="000000" w:themeColor="text1"/>
          <w:sz w:val="20"/>
          <w:szCs w:val="20"/>
        </w:rPr>
        <w:t xml:space="preserve"> using sterile water.</w:t>
      </w:r>
    </w:p>
    <w:p w:rsidR="00D43831" w:rsidRDefault="00D43831" w:rsidP="00D43831">
      <w:pPr>
        <w:spacing w:before="80" w:after="80" w:line="480" w:lineRule="auto"/>
        <w:ind w:right="150"/>
        <w:rPr>
          <w:rFonts w:eastAsia="Times New Roman"/>
          <w:i/>
          <w:iCs/>
          <w:color w:val="000000" w:themeColor="text1"/>
          <w:sz w:val="20"/>
          <w:szCs w:val="20"/>
        </w:rPr>
      </w:pPr>
      <w:r>
        <w:rPr>
          <w:rFonts w:eastAsia="Times New Roman"/>
          <w:i/>
          <w:iCs/>
          <w:color w:val="000000" w:themeColor="text1"/>
          <w:sz w:val="20"/>
          <w:szCs w:val="20"/>
        </w:rPr>
        <w:t>Amplicon Generation</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 xml:space="preserve">16S </w:t>
      </w:r>
      <w:proofErr w:type="spellStart"/>
      <w:r>
        <w:rPr>
          <w:rFonts w:eastAsia="Times New Roman"/>
          <w:color w:val="000000" w:themeColor="text1"/>
          <w:sz w:val="20"/>
          <w:szCs w:val="20"/>
        </w:rPr>
        <w:t>rRNA</w:t>
      </w:r>
      <w:proofErr w:type="spellEnd"/>
      <w:r>
        <w:rPr>
          <w:rFonts w:eastAsia="Times New Roman"/>
          <w:color w:val="000000" w:themeColor="text1"/>
          <w:sz w:val="20"/>
          <w:szCs w:val="20"/>
        </w:rPr>
        <w:t xml:space="preserve">/18SrRNA/ITS genes of distinct regions (16SV4/16SV3/16SV3-V4/16SV4-V5, 18S V4/18S V9, ITS1/ITS2, Arc V4) were amplified used specific primer (e.g. 16S V4: 515F-806R, 18S V4: 528F-706R, 18S V9: 1380F-1510R) with the barcode. All PCR reactions were carried out with </w:t>
      </w:r>
      <w:proofErr w:type="spellStart"/>
      <w:r>
        <w:rPr>
          <w:rFonts w:eastAsia="Times New Roman"/>
          <w:color w:val="000000" w:themeColor="text1"/>
          <w:sz w:val="20"/>
          <w:szCs w:val="20"/>
        </w:rPr>
        <w:t>Phusion</w:t>
      </w:r>
      <w:proofErr w:type="spellEnd"/>
      <w:r>
        <w:rPr>
          <w:rFonts w:eastAsia="Times New Roman"/>
          <w:color w:val="000000" w:themeColor="text1"/>
          <w:sz w:val="20"/>
          <w:szCs w:val="20"/>
        </w:rPr>
        <w:t xml:space="preserve">® High-Fidelity PCR Master Mix (New England </w:t>
      </w:r>
      <w:proofErr w:type="spellStart"/>
      <w:r>
        <w:rPr>
          <w:rFonts w:eastAsia="Times New Roman"/>
          <w:color w:val="000000" w:themeColor="text1"/>
          <w:sz w:val="20"/>
          <w:szCs w:val="20"/>
        </w:rPr>
        <w:t>Biolabs</w:t>
      </w:r>
      <w:proofErr w:type="spellEnd"/>
      <w:r>
        <w:rPr>
          <w:rFonts w:eastAsia="Times New Roman"/>
          <w:color w:val="000000" w:themeColor="text1"/>
          <w:sz w:val="20"/>
          <w:szCs w:val="20"/>
        </w:rPr>
        <w:t>).</w:t>
      </w:r>
    </w:p>
    <w:p w:rsidR="00D43831" w:rsidRDefault="00D43831" w:rsidP="00D43831">
      <w:pPr>
        <w:spacing w:before="80" w:after="80" w:line="480" w:lineRule="auto"/>
        <w:ind w:right="150"/>
        <w:rPr>
          <w:rFonts w:eastAsia="Times New Roman"/>
          <w:i/>
          <w:iCs/>
          <w:color w:val="000000" w:themeColor="text1"/>
          <w:sz w:val="20"/>
          <w:szCs w:val="20"/>
        </w:rPr>
      </w:pPr>
      <w:r>
        <w:rPr>
          <w:rFonts w:eastAsia="Times New Roman"/>
          <w:i/>
          <w:iCs/>
          <w:color w:val="000000" w:themeColor="text1"/>
          <w:sz w:val="20"/>
          <w:szCs w:val="20"/>
        </w:rPr>
        <w:t>PCR Products quantification and qualification</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Mix same volume of 1X loading buffer (contained SYB green) with PCR products and operate electrophoresis on 2% agarose gel for detection. Samples with bright main strip between 400bp-450bp were chosen for further experiments.</w:t>
      </w:r>
    </w:p>
    <w:p w:rsidR="00D43831" w:rsidRDefault="00D43831" w:rsidP="00D43831">
      <w:pPr>
        <w:spacing w:before="80" w:after="80" w:line="480" w:lineRule="auto"/>
        <w:ind w:right="150"/>
        <w:rPr>
          <w:rFonts w:eastAsia="Times New Roman"/>
          <w:i/>
          <w:iCs/>
          <w:color w:val="000000" w:themeColor="text1"/>
          <w:sz w:val="20"/>
          <w:szCs w:val="20"/>
        </w:rPr>
      </w:pPr>
      <w:r>
        <w:rPr>
          <w:rFonts w:eastAsia="Times New Roman"/>
          <w:i/>
          <w:iCs/>
          <w:color w:val="000000" w:themeColor="text1"/>
          <w:sz w:val="20"/>
          <w:szCs w:val="20"/>
        </w:rPr>
        <w:t>PCR Products Mixing and Purification</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 xml:space="preserve">PCR products was mixed at equal density ratios. The mixed PCR products were purified with </w:t>
      </w:r>
      <w:proofErr w:type="spellStart"/>
      <w:r>
        <w:rPr>
          <w:rFonts w:eastAsia="Times New Roman"/>
          <w:color w:val="000000" w:themeColor="text1"/>
          <w:sz w:val="20"/>
          <w:szCs w:val="20"/>
        </w:rPr>
        <w:t>Qiagen</w:t>
      </w:r>
      <w:proofErr w:type="spellEnd"/>
      <w:r>
        <w:rPr>
          <w:rFonts w:eastAsia="Times New Roman"/>
          <w:color w:val="000000" w:themeColor="text1"/>
          <w:sz w:val="20"/>
          <w:szCs w:val="20"/>
        </w:rPr>
        <w:t xml:space="preserve"> Gel Extraction Kit (</w:t>
      </w:r>
      <w:proofErr w:type="spellStart"/>
      <w:r>
        <w:rPr>
          <w:rFonts w:eastAsia="Times New Roman"/>
          <w:color w:val="000000" w:themeColor="text1"/>
          <w:sz w:val="20"/>
          <w:szCs w:val="20"/>
        </w:rPr>
        <w:t>Qiagen</w:t>
      </w:r>
      <w:proofErr w:type="spellEnd"/>
      <w:r>
        <w:rPr>
          <w:rFonts w:eastAsia="Times New Roman"/>
          <w:color w:val="000000" w:themeColor="text1"/>
          <w:sz w:val="20"/>
          <w:szCs w:val="20"/>
        </w:rPr>
        <w:t>, Germany).</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 xml:space="preserve">The libraries generated with </w:t>
      </w:r>
      <w:proofErr w:type="spellStart"/>
      <w:r>
        <w:rPr>
          <w:rFonts w:eastAsia="Times New Roman"/>
          <w:color w:val="000000" w:themeColor="text1"/>
          <w:sz w:val="20"/>
          <w:szCs w:val="20"/>
        </w:rPr>
        <w:t>NEBNext</w:t>
      </w:r>
      <w:proofErr w:type="spellEnd"/>
      <w:r>
        <w:rPr>
          <w:rFonts w:eastAsia="Times New Roman"/>
          <w:color w:val="000000" w:themeColor="text1"/>
          <w:sz w:val="20"/>
          <w:szCs w:val="20"/>
        </w:rPr>
        <w:t xml:space="preserve">® </w:t>
      </w:r>
      <w:proofErr w:type="spellStart"/>
      <w:r>
        <w:rPr>
          <w:rFonts w:eastAsia="Times New Roman"/>
          <w:color w:val="000000" w:themeColor="text1"/>
          <w:sz w:val="20"/>
          <w:szCs w:val="20"/>
        </w:rPr>
        <w:t>Ultra</w:t>
      </w:r>
      <w:r>
        <w:rPr>
          <w:rFonts w:eastAsia="Times New Roman"/>
          <w:color w:val="000000" w:themeColor="text1"/>
          <w:sz w:val="20"/>
          <w:szCs w:val="20"/>
          <w:vertAlign w:val="superscript"/>
        </w:rPr>
        <w:t>TM</w:t>
      </w:r>
      <w:proofErr w:type="spellEnd"/>
      <w:r>
        <w:rPr>
          <w:rFonts w:eastAsia="Times New Roman"/>
          <w:color w:val="000000" w:themeColor="text1"/>
          <w:sz w:val="20"/>
          <w:szCs w:val="20"/>
        </w:rPr>
        <w:t xml:space="preserve"> DNA Library Prep Kit for Illumina and quantified via Qubit and Q-PCR, would be </w:t>
      </w:r>
      <w:proofErr w:type="spellStart"/>
      <w:r>
        <w:rPr>
          <w:rFonts w:eastAsia="Times New Roman"/>
          <w:color w:val="000000" w:themeColor="text1"/>
          <w:sz w:val="20"/>
          <w:szCs w:val="20"/>
        </w:rPr>
        <w:t>analysed</w:t>
      </w:r>
      <w:proofErr w:type="spellEnd"/>
      <w:r>
        <w:rPr>
          <w:rFonts w:eastAsia="Times New Roman"/>
          <w:color w:val="000000" w:themeColor="text1"/>
          <w:sz w:val="20"/>
          <w:szCs w:val="20"/>
        </w:rPr>
        <w:t xml:space="preserve"> by Illumina platform.</w:t>
      </w:r>
    </w:p>
    <w:p w:rsidR="00D43831" w:rsidRDefault="00D43831" w:rsidP="00D43831">
      <w:pPr>
        <w:spacing w:before="80" w:after="80" w:line="480" w:lineRule="auto"/>
        <w:outlineLvl w:val="1"/>
        <w:rPr>
          <w:rFonts w:eastAsia="Times New Roman"/>
          <w:b/>
          <w:bCs/>
          <w:color w:val="000000" w:themeColor="text1"/>
          <w:sz w:val="20"/>
          <w:szCs w:val="20"/>
        </w:rPr>
      </w:pPr>
      <w:r>
        <w:rPr>
          <w:rFonts w:eastAsia="Times New Roman"/>
          <w:b/>
          <w:bCs/>
          <w:color w:val="000000" w:themeColor="text1"/>
          <w:sz w:val="20"/>
          <w:szCs w:val="20"/>
        </w:rPr>
        <w:t>Information analysis</w:t>
      </w:r>
    </w:p>
    <w:p w:rsidR="00D43831" w:rsidRDefault="00D43831" w:rsidP="00D43831">
      <w:pPr>
        <w:spacing w:before="80" w:after="80" w:line="480" w:lineRule="auto"/>
        <w:ind w:right="150"/>
        <w:rPr>
          <w:rFonts w:eastAsia="Times New Roman"/>
          <w:i/>
          <w:iCs/>
          <w:color w:val="000000" w:themeColor="text1"/>
          <w:sz w:val="20"/>
          <w:szCs w:val="20"/>
        </w:rPr>
      </w:pPr>
      <w:r>
        <w:rPr>
          <w:rFonts w:eastAsia="Times New Roman"/>
          <w:i/>
          <w:iCs/>
          <w:color w:val="000000" w:themeColor="text1"/>
          <w:sz w:val="20"/>
          <w:szCs w:val="20"/>
        </w:rPr>
        <w:t>Sequencing data processing</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 xml:space="preserve">Paired-end reads </w:t>
      </w:r>
      <w:proofErr w:type="gramStart"/>
      <w:r>
        <w:rPr>
          <w:rFonts w:eastAsia="Times New Roman"/>
          <w:color w:val="000000" w:themeColor="text1"/>
          <w:sz w:val="20"/>
          <w:szCs w:val="20"/>
        </w:rPr>
        <w:t>was</w:t>
      </w:r>
      <w:proofErr w:type="gramEnd"/>
      <w:r>
        <w:rPr>
          <w:rFonts w:eastAsia="Times New Roman"/>
          <w:color w:val="000000" w:themeColor="text1"/>
          <w:sz w:val="20"/>
          <w:szCs w:val="20"/>
        </w:rPr>
        <w:t xml:space="preserve"> assigned to samples based on their unique barcodes and truncated by cutting off the barcode and primer sequences. Paired-end reads were merged using FLASH (V1.2.7, </w:t>
      </w:r>
      <w:hyperlink r:id="rId7" w:tgtFrame="_blank" w:tooltip="FLASH" w:history="1">
        <w:r>
          <w:rPr>
            <w:rStyle w:val="Hyperlink"/>
            <w:rFonts w:eastAsia="Times New Roman"/>
            <w:color w:val="000000" w:themeColor="text1"/>
            <w:sz w:val="20"/>
            <w:szCs w:val="20"/>
            <w:bdr w:val="none" w:sz="0" w:space="0" w:color="auto" w:frame="1"/>
          </w:rPr>
          <w:t>http://ccb.jhu.edu/software/FLASH/</w:t>
        </w:r>
      </w:hyperlink>
      <w:r>
        <w:rPr>
          <w:rFonts w:eastAsia="Times New Roman"/>
          <w:color w:val="000000" w:themeColor="text1"/>
          <w:sz w:val="20"/>
          <w:szCs w:val="20"/>
        </w:rPr>
        <w:t>) </w:t>
      </w:r>
      <w:r>
        <w:rPr>
          <w:rFonts w:eastAsia="Times New Roman"/>
          <w:color w:val="000000" w:themeColor="text1"/>
          <w:sz w:val="20"/>
          <w:szCs w:val="20"/>
          <w:vertAlign w:val="superscript"/>
        </w:rPr>
        <w:t>[21]</w:t>
      </w:r>
      <w:r>
        <w:rPr>
          <w:rFonts w:eastAsia="Times New Roman"/>
          <w:color w:val="000000" w:themeColor="text1"/>
          <w:sz w:val="20"/>
          <w:szCs w:val="20"/>
        </w:rPr>
        <w:t>, a very fast and accurate analysis tool, which was designed to merge paired-end reads when at least some of the reads overlap the read generated from the opposite end of the same DNA fragment, and the splicing sequences were called raw tags. Quality filtering on the raw tags were performed under specific filtering conditions to obtain the high-quality clean tags</w:t>
      </w:r>
      <w:r>
        <w:rPr>
          <w:rFonts w:eastAsia="Times New Roman"/>
          <w:color w:val="000000" w:themeColor="text1"/>
          <w:sz w:val="20"/>
          <w:szCs w:val="20"/>
          <w:vertAlign w:val="superscript"/>
        </w:rPr>
        <w:t>[22]</w:t>
      </w:r>
      <w:r>
        <w:rPr>
          <w:rFonts w:eastAsia="Times New Roman"/>
          <w:color w:val="000000" w:themeColor="text1"/>
          <w:sz w:val="20"/>
          <w:szCs w:val="20"/>
        </w:rPr>
        <w:t xml:space="preserve"> according to the </w:t>
      </w:r>
      <w:proofErr w:type="spellStart"/>
      <w:r>
        <w:rPr>
          <w:rFonts w:eastAsia="Times New Roman"/>
          <w:color w:val="000000" w:themeColor="text1"/>
          <w:sz w:val="20"/>
          <w:szCs w:val="20"/>
        </w:rPr>
        <w:t>Qiime</w:t>
      </w:r>
      <w:proofErr w:type="spellEnd"/>
      <w:r>
        <w:rPr>
          <w:rFonts w:eastAsia="Times New Roman"/>
          <w:color w:val="000000" w:themeColor="text1"/>
          <w:sz w:val="20"/>
          <w:szCs w:val="20"/>
        </w:rPr>
        <w:t xml:space="preserve"> (V1.7.0, </w:t>
      </w:r>
      <w:hyperlink r:id="rId8" w:tgtFrame="_blank" w:tooltip="qiime" w:history="1">
        <w:r>
          <w:rPr>
            <w:rStyle w:val="Hyperlink"/>
            <w:rFonts w:eastAsia="Times New Roman"/>
            <w:color w:val="000000" w:themeColor="text1"/>
            <w:sz w:val="20"/>
            <w:szCs w:val="20"/>
            <w:bdr w:val="none" w:sz="0" w:space="0" w:color="auto" w:frame="1"/>
          </w:rPr>
          <w:t>http://qiime.org/scripts/split_libraries_fastq.html</w:t>
        </w:r>
      </w:hyperlink>
      <w:r>
        <w:rPr>
          <w:rFonts w:eastAsia="Times New Roman"/>
          <w:color w:val="000000" w:themeColor="text1"/>
          <w:sz w:val="20"/>
          <w:szCs w:val="20"/>
        </w:rPr>
        <w:t>)</w:t>
      </w:r>
      <w:r>
        <w:rPr>
          <w:rFonts w:eastAsia="Times New Roman"/>
          <w:color w:val="000000" w:themeColor="text1"/>
          <w:sz w:val="20"/>
          <w:szCs w:val="20"/>
          <w:vertAlign w:val="superscript"/>
        </w:rPr>
        <w:t>[23]</w:t>
      </w:r>
      <w:r>
        <w:rPr>
          <w:rFonts w:eastAsia="Times New Roman"/>
          <w:color w:val="000000" w:themeColor="text1"/>
          <w:sz w:val="20"/>
          <w:szCs w:val="20"/>
        </w:rPr>
        <w:t xml:space="preserve"> quality </w:t>
      </w:r>
      <w:r>
        <w:rPr>
          <w:rFonts w:eastAsia="Times New Roman"/>
          <w:color w:val="000000" w:themeColor="text1"/>
          <w:sz w:val="20"/>
          <w:szCs w:val="20"/>
        </w:rPr>
        <w:lastRenderedPageBreak/>
        <w:t xml:space="preserve">controlled process. The tags were compared with the reference database (Gold </w:t>
      </w:r>
      <w:proofErr w:type="spellStart"/>
      <w:r>
        <w:rPr>
          <w:rFonts w:eastAsia="Times New Roman"/>
          <w:color w:val="000000" w:themeColor="text1"/>
          <w:sz w:val="20"/>
          <w:szCs w:val="20"/>
        </w:rPr>
        <w:t>database,</w:t>
      </w:r>
      <w:hyperlink r:id="rId9" w:tgtFrame="_blank" w:tooltip="uchime" w:history="1">
        <w:r>
          <w:rPr>
            <w:rStyle w:val="Hyperlink"/>
            <w:rFonts w:eastAsia="Times New Roman"/>
            <w:color w:val="000000" w:themeColor="text1"/>
            <w:sz w:val="20"/>
            <w:szCs w:val="20"/>
            <w:bdr w:val="none" w:sz="0" w:space="0" w:color="auto" w:frame="1"/>
          </w:rPr>
          <w:t>http</w:t>
        </w:r>
        <w:proofErr w:type="spellEnd"/>
        <w:r>
          <w:rPr>
            <w:rStyle w:val="Hyperlink"/>
            <w:rFonts w:eastAsia="Times New Roman"/>
            <w:color w:val="000000" w:themeColor="text1"/>
            <w:sz w:val="20"/>
            <w:szCs w:val="20"/>
            <w:bdr w:val="none" w:sz="0" w:space="0" w:color="auto" w:frame="1"/>
          </w:rPr>
          <w:t>://drive5.com/uchime/uchime_download.html</w:t>
        </w:r>
      </w:hyperlink>
      <w:r>
        <w:rPr>
          <w:rFonts w:eastAsia="Times New Roman"/>
          <w:color w:val="000000" w:themeColor="text1"/>
          <w:sz w:val="20"/>
          <w:szCs w:val="20"/>
        </w:rPr>
        <w:t>) using UCHIME algorithm (UCHIME Algorithm,</w:t>
      </w:r>
      <w:hyperlink r:id="rId10" w:tgtFrame="_blank" w:tooltip="uchime" w:history="1">
        <w:r>
          <w:rPr>
            <w:rStyle w:val="Hyperlink"/>
            <w:rFonts w:eastAsia="Times New Roman"/>
            <w:color w:val="000000" w:themeColor="text1"/>
            <w:sz w:val="20"/>
            <w:szCs w:val="20"/>
            <w:bdr w:val="none" w:sz="0" w:space="0" w:color="auto" w:frame="1"/>
          </w:rPr>
          <w:t>http://www.drive5.com/usearch/manual/uchime_algo.html</w:t>
        </w:r>
      </w:hyperlink>
      <w:r>
        <w:rPr>
          <w:rFonts w:eastAsia="Times New Roman"/>
          <w:color w:val="000000" w:themeColor="text1"/>
          <w:sz w:val="20"/>
          <w:szCs w:val="20"/>
        </w:rPr>
        <w:t>)</w:t>
      </w:r>
      <w:r>
        <w:rPr>
          <w:rFonts w:eastAsia="Times New Roman"/>
          <w:color w:val="000000" w:themeColor="text1"/>
          <w:sz w:val="20"/>
          <w:szCs w:val="20"/>
          <w:vertAlign w:val="superscript"/>
        </w:rPr>
        <w:t>[24]</w:t>
      </w:r>
      <w:r>
        <w:rPr>
          <w:rFonts w:eastAsia="Times New Roman"/>
          <w:color w:val="000000" w:themeColor="text1"/>
          <w:sz w:val="20"/>
          <w:szCs w:val="20"/>
        </w:rPr>
        <w:t> to detect chimera sequences (</w:t>
      </w:r>
      <w:hyperlink r:id="rId11" w:tgtFrame="_blank" w:tooltip="uchime" w:history="1">
        <w:r>
          <w:rPr>
            <w:rStyle w:val="Hyperlink"/>
            <w:rFonts w:eastAsia="Times New Roman"/>
            <w:color w:val="000000" w:themeColor="text1"/>
            <w:sz w:val="20"/>
            <w:szCs w:val="20"/>
            <w:bdr w:val="none" w:sz="0" w:space="0" w:color="auto" w:frame="1"/>
          </w:rPr>
          <w:t>https://drive5.com/usearch/manual/chimeras.html</w:t>
        </w:r>
      </w:hyperlink>
      <w:r>
        <w:rPr>
          <w:rFonts w:eastAsia="Times New Roman"/>
          <w:color w:val="000000" w:themeColor="text1"/>
          <w:sz w:val="20"/>
          <w:szCs w:val="20"/>
        </w:rPr>
        <w:t>). And then the chimera sequences were removed </w:t>
      </w:r>
      <w:r>
        <w:rPr>
          <w:rFonts w:eastAsia="Times New Roman"/>
          <w:color w:val="000000" w:themeColor="text1"/>
          <w:sz w:val="20"/>
          <w:szCs w:val="20"/>
          <w:vertAlign w:val="superscript"/>
        </w:rPr>
        <w:t>[25]</w:t>
      </w:r>
      <w:r>
        <w:rPr>
          <w:rFonts w:eastAsia="Times New Roman"/>
          <w:color w:val="000000" w:themeColor="text1"/>
          <w:sz w:val="20"/>
          <w:szCs w:val="20"/>
        </w:rPr>
        <w:t>. Then the Effective Tags finally obtained.</w:t>
      </w:r>
    </w:p>
    <w:p w:rsidR="00D43831" w:rsidRDefault="00D43831" w:rsidP="00D43831">
      <w:pPr>
        <w:spacing w:before="80" w:after="80" w:line="480" w:lineRule="auto"/>
        <w:ind w:right="150"/>
        <w:rPr>
          <w:rFonts w:eastAsia="Times New Roman"/>
          <w:i/>
          <w:iCs/>
          <w:color w:val="000000" w:themeColor="text1"/>
          <w:sz w:val="20"/>
          <w:szCs w:val="20"/>
        </w:rPr>
      </w:pPr>
      <w:r>
        <w:rPr>
          <w:rFonts w:eastAsia="Times New Roman"/>
          <w:i/>
          <w:iCs/>
          <w:color w:val="000000" w:themeColor="text1"/>
          <w:sz w:val="20"/>
          <w:szCs w:val="20"/>
        </w:rPr>
        <w:t>OTU cluster and Taxonomic annotation</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 xml:space="preserve">Sequences analysis were performed by </w:t>
      </w:r>
      <w:proofErr w:type="spellStart"/>
      <w:r>
        <w:rPr>
          <w:rFonts w:eastAsia="Times New Roman"/>
          <w:color w:val="000000" w:themeColor="text1"/>
          <w:sz w:val="20"/>
          <w:szCs w:val="20"/>
        </w:rPr>
        <w:t>Uparse</w:t>
      </w:r>
      <w:proofErr w:type="spellEnd"/>
      <w:r>
        <w:rPr>
          <w:rFonts w:eastAsia="Times New Roman"/>
          <w:color w:val="000000" w:themeColor="text1"/>
          <w:sz w:val="20"/>
          <w:szCs w:val="20"/>
        </w:rPr>
        <w:t xml:space="preserve"> software (</w:t>
      </w:r>
      <w:proofErr w:type="spellStart"/>
      <w:r>
        <w:rPr>
          <w:rFonts w:eastAsia="Times New Roman"/>
          <w:color w:val="000000" w:themeColor="text1"/>
          <w:sz w:val="20"/>
          <w:szCs w:val="20"/>
        </w:rPr>
        <w:t>Uparse</w:t>
      </w:r>
      <w:proofErr w:type="spellEnd"/>
      <w:r>
        <w:rPr>
          <w:rFonts w:eastAsia="Times New Roman"/>
          <w:color w:val="000000" w:themeColor="text1"/>
          <w:sz w:val="20"/>
          <w:szCs w:val="20"/>
        </w:rPr>
        <w:t xml:space="preserve"> v7.0.1001 </w:t>
      </w:r>
      <w:hyperlink r:id="rId12" w:tgtFrame="_blank" w:tooltip="drive5" w:history="1">
        <w:r>
          <w:rPr>
            <w:rStyle w:val="Hyperlink"/>
            <w:rFonts w:eastAsia="Times New Roman"/>
            <w:color w:val="000000" w:themeColor="text1"/>
            <w:sz w:val="20"/>
            <w:szCs w:val="20"/>
            <w:bdr w:val="none" w:sz="0" w:space="0" w:color="auto" w:frame="1"/>
          </w:rPr>
          <w:t>http://drive5.com/uparse/</w:t>
        </w:r>
      </w:hyperlink>
      <w:r>
        <w:rPr>
          <w:rFonts w:eastAsia="Times New Roman"/>
          <w:color w:val="000000" w:themeColor="text1"/>
          <w:sz w:val="20"/>
          <w:szCs w:val="20"/>
        </w:rPr>
        <w:t>)</w:t>
      </w:r>
      <w:r>
        <w:rPr>
          <w:rFonts w:eastAsia="Times New Roman"/>
          <w:color w:val="000000" w:themeColor="text1"/>
          <w:sz w:val="20"/>
          <w:szCs w:val="20"/>
          <w:vertAlign w:val="superscript"/>
        </w:rPr>
        <w:t>[26]</w:t>
      </w:r>
      <w:r>
        <w:rPr>
          <w:rFonts w:eastAsia="Times New Roman"/>
          <w:color w:val="000000" w:themeColor="text1"/>
          <w:sz w:val="20"/>
          <w:szCs w:val="20"/>
        </w:rPr>
        <w:t xml:space="preserve"> using all the effective tags. Sequences with ≥97% similarity were assigned to the same OTUs. Representative sequence for each OTU was screened for further annotation. For each representative sequence, </w:t>
      </w:r>
      <w:proofErr w:type="spellStart"/>
      <w:r>
        <w:rPr>
          <w:rFonts w:eastAsia="Times New Roman"/>
          <w:color w:val="000000" w:themeColor="text1"/>
          <w:sz w:val="20"/>
          <w:szCs w:val="20"/>
        </w:rPr>
        <w:t>Mothur</w:t>
      </w:r>
      <w:proofErr w:type="spellEnd"/>
      <w:r>
        <w:rPr>
          <w:rFonts w:eastAsia="Times New Roman"/>
          <w:color w:val="000000" w:themeColor="text1"/>
          <w:sz w:val="20"/>
          <w:szCs w:val="20"/>
        </w:rPr>
        <w:t xml:space="preserve"> software was performed against the </w:t>
      </w:r>
      <w:proofErr w:type="spellStart"/>
      <w:r>
        <w:rPr>
          <w:rFonts w:eastAsia="Times New Roman"/>
          <w:color w:val="000000" w:themeColor="text1"/>
          <w:sz w:val="20"/>
          <w:szCs w:val="20"/>
        </w:rPr>
        <w:t>SSUrRNA</w:t>
      </w:r>
      <w:proofErr w:type="spellEnd"/>
      <w:r>
        <w:rPr>
          <w:rFonts w:eastAsia="Times New Roman"/>
          <w:color w:val="000000" w:themeColor="text1"/>
          <w:sz w:val="20"/>
          <w:szCs w:val="20"/>
        </w:rPr>
        <w:t xml:space="preserve"> database of SILVA Database (</w:t>
      </w:r>
      <w:hyperlink r:id="rId13" w:tgtFrame="_blank" w:tooltip="mothur" w:history="1">
        <w:r>
          <w:rPr>
            <w:rStyle w:val="Hyperlink"/>
            <w:rFonts w:eastAsia="Times New Roman"/>
            <w:color w:val="000000" w:themeColor="text1"/>
            <w:sz w:val="20"/>
            <w:szCs w:val="20"/>
            <w:bdr w:val="none" w:sz="0" w:space="0" w:color="auto" w:frame="1"/>
          </w:rPr>
          <w:t>http://www.arb-silva.de/</w:t>
        </w:r>
      </w:hyperlink>
      <w:r>
        <w:rPr>
          <w:rFonts w:eastAsia="Times New Roman"/>
          <w:color w:val="000000" w:themeColor="text1"/>
          <w:sz w:val="20"/>
          <w:szCs w:val="20"/>
        </w:rPr>
        <w:t>)</w:t>
      </w:r>
      <w:r>
        <w:rPr>
          <w:rFonts w:eastAsia="Times New Roman"/>
          <w:color w:val="000000" w:themeColor="text1"/>
          <w:sz w:val="20"/>
          <w:szCs w:val="20"/>
          <w:vertAlign w:val="superscript"/>
        </w:rPr>
        <w:t>[27]</w:t>
      </w:r>
      <w:r>
        <w:rPr>
          <w:rFonts w:eastAsia="Times New Roman"/>
          <w:color w:val="000000" w:themeColor="text1"/>
          <w:sz w:val="20"/>
          <w:szCs w:val="20"/>
        </w:rPr>
        <w:t>for species annotation at each taxonomic rank (Threshold:0.8~1)</w:t>
      </w:r>
      <w:r>
        <w:rPr>
          <w:rFonts w:eastAsia="Times New Roman"/>
          <w:color w:val="000000" w:themeColor="text1"/>
          <w:sz w:val="20"/>
          <w:szCs w:val="20"/>
          <w:vertAlign w:val="superscript"/>
        </w:rPr>
        <w:t>[28]</w:t>
      </w:r>
      <w:r>
        <w:rPr>
          <w:rFonts w:eastAsia="Times New Roman"/>
          <w:color w:val="000000" w:themeColor="text1"/>
          <w:sz w:val="20"/>
          <w:szCs w:val="20"/>
        </w:rPr>
        <w:t> (kingdom, phylum, class, order, family, genus, species). To obtain the phylogenetic relationship of all OTUs representative sequences, the MUSCLE </w:t>
      </w:r>
      <w:r>
        <w:rPr>
          <w:rFonts w:eastAsia="Times New Roman"/>
          <w:color w:val="000000" w:themeColor="text1"/>
          <w:sz w:val="20"/>
          <w:szCs w:val="20"/>
          <w:vertAlign w:val="superscript"/>
        </w:rPr>
        <w:t>[29]</w:t>
      </w:r>
      <w:r>
        <w:rPr>
          <w:rFonts w:eastAsia="Times New Roman"/>
          <w:color w:val="000000" w:themeColor="text1"/>
          <w:sz w:val="20"/>
          <w:szCs w:val="20"/>
        </w:rPr>
        <w:t> (Version 3.8.31,</w:t>
      </w:r>
      <w:hyperlink r:id="rId14" w:tgtFrame="_blank" w:tooltip="muscle" w:history="1">
        <w:r>
          <w:rPr>
            <w:rStyle w:val="Hyperlink"/>
            <w:rFonts w:eastAsia="Times New Roman"/>
            <w:color w:val="000000" w:themeColor="text1"/>
            <w:sz w:val="20"/>
            <w:szCs w:val="20"/>
            <w:bdr w:val="none" w:sz="0" w:space="0" w:color="auto" w:frame="1"/>
          </w:rPr>
          <w:t>http://www.drive5.com/muscle/</w:t>
        </w:r>
      </w:hyperlink>
      <w:r>
        <w:rPr>
          <w:rFonts w:eastAsia="Times New Roman"/>
          <w:color w:val="000000" w:themeColor="text1"/>
          <w:sz w:val="20"/>
          <w:szCs w:val="20"/>
        </w:rPr>
        <w:t>)can compare multiple sequences rapidly. OTUs abundance information were normalized using a standard of sequence number corresponding to the sample with the least sequences. Subsequent analysis of alpha diversity and beta diversity were all performed basing on this output normalized data. </w:t>
      </w:r>
    </w:p>
    <w:p w:rsidR="00D43831" w:rsidRDefault="00D43831" w:rsidP="00D43831">
      <w:pPr>
        <w:spacing w:before="80" w:after="80" w:line="480" w:lineRule="auto"/>
        <w:ind w:right="150"/>
        <w:rPr>
          <w:rFonts w:eastAsia="Times New Roman"/>
          <w:i/>
          <w:iCs/>
          <w:color w:val="000000" w:themeColor="text1"/>
          <w:sz w:val="20"/>
          <w:szCs w:val="20"/>
        </w:rPr>
      </w:pPr>
      <w:r>
        <w:rPr>
          <w:rFonts w:eastAsia="Times New Roman"/>
          <w:i/>
          <w:iCs/>
          <w:color w:val="000000" w:themeColor="text1"/>
          <w:sz w:val="20"/>
          <w:szCs w:val="20"/>
        </w:rPr>
        <w:t>Alpha Diversity</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Alpha diversity is applied in analyzing complexity of biodiversity for a sample through 6 indices, including Observed-species, Chao1, Shannon, Simpson, ACE, Good-coverage. All these indices in our samples were calculated with QIIME (Version 1.7.0) and displayed with R software (Version 2.15.3).</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Alpha Diversity Indices</w:t>
      </w:r>
      <w:r>
        <w:rPr>
          <w:rFonts w:eastAsia="MS Mincho" w:hint="eastAsia"/>
          <w:color w:val="000000" w:themeColor="text1"/>
          <w:sz w:val="20"/>
          <w:szCs w:val="20"/>
          <w:lang w:val="en-GB"/>
        </w:rPr>
        <w:t>：</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Community richness indices:</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Chao - the Chao1 estimator (</w:t>
      </w:r>
      <w:hyperlink r:id="rId15" w:anchor="skbio.diversity.alpha.chao1" w:tgtFrame="_blank" w:tooltip="Chao" w:history="1">
        <w:r>
          <w:rPr>
            <w:rStyle w:val="Hyperlink"/>
            <w:rFonts w:eastAsia="Times New Roman"/>
            <w:color w:val="000000" w:themeColor="text1"/>
            <w:sz w:val="20"/>
            <w:szCs w:val="20"/>
            <w:bdr w:val="none" w:sz="0" w:space="0" w:color="auto" w:frame="1"/>
          </w:rPr>
          <w:t>http://scikit-bio.org/docs/latest/generated/skbio.diversity.alpha.chao1.html#skbio.diversity.alpha.chao1</w:t>
        </w:r>
      </w:hyperlink>
      <w:r>
        <w:rPr>
          <w:rFonts w:eastAsia="Times New Roman"/>
          <w:color w:val="000000" w:themeColor="text1"/>
          <w:sz w:val="20"/>
          <w:szCs w:val="20"/>
        </w:rPr>
        <w:t xml:space="preserve">; ACE - the </w:t>
      </w:r>
      <w:r>
        <w:rPr>
          <w:rFonts w:eastAsia="Times New Roman"/>
          <w:color w:val="000000" w:themeColor="text1"/>
          <w:sz w:val="20"/>
          <w:szCs w:val="20"/>
        </w:rPr>
        <w:lastRenderedPageBreak/>
        <w:t>ACE estimator (</w:t>
      </w:r>
      <w:hyperlink r:id="rId16" w:anchor="skbio.diversity.alpha.ace" w:tgtFrame="_blank" w:tooltip="Ace" w:history="1">
        <w:r>
          <w:rPr>
            <w:rStyle w:val="Hyperlink"/>
            <w:rFonts w:eastAsia="Times New Roman"/>
            <w:color w:val="000000" w:themeColor="text1"/>
            <w:sz w:val="20"/>
            <w:szCs w:val="20"/>
            <w:bdr w:val="none" w:sz="0" w:space="0" w:color="auto" w:frame="1"/>
          </w:rPr>
          <w:t>http://scikit-bio.org/docs/latest/generated/skbio.diversity.alpha.ace.html#skbio.diversity.alpha.ace</w:t>
        </w:r>
      </w:hyperlink>
      <w:r>
        <w:rPr>
          <w:rFonts w:eastAsia="Times New Roman"/>
          <w:color w:val="000000" w:themeColor="text1"/>
          <w:sz w:val="20"/>
          <w:szCs w:val="20"/>
        </w:rPr>
        <w:t xml:space="preserve">); </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 xml:space="preserve">Community diversity indices: </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Shannon - the Shannon index (</w:t>
      </w:r>
      <w:hyperlink r:id="rId17" w:anchor="skbio.diversity.alpha.shannon" w:tgtFrame="_blank" w:tooltip="Shannon" w:history="1">
        <w:r>
          <w:rPr>
            <w:rStyle w:val="Hyperlink"/>
            <w:rFonts w:eastAsia="Times New Roman"/>
            <w:color w:val="000000" w:themeColor="text1"/>
            <w:sz w:val="20"/>
            <w:szCs w:val="20"/>
            <w:bdr w:val="none" w:sz="0" w:space="0" w:color="auto" w:frame="1"/>
          </w:rPr>
          <w:t>http://scikit-bio.org/docs/latest/generated/skbio.diversity.alpha.shannon.html#skbio.diversity.alpha.shannon</w:t>
        </w:r>
      </w:hyperlink>
      <w:r>
        <w:rPr>
          <w:rFonts w:eastAsia="Times New Roman"/>
          <w:color w:val="000000" w:themeColor="text1"/>
          <w:sz w:val="20"/>
          <w:szCs w:val="20"/>
        </w:rPr>
        <w:t>); Simpson - the Simpson index (</w:t>
      </w:r>
      <w:hyperlink r:id="rId18" w:anchor="skbio.diversity.alpha.simpson" w:tgtFrame="_blank" w:tooltip="Simpson" w:history="1">
        <w:r>
          <w:rPr>
            <w:rStyle w:val="Hyperlink"/>
            <w:rFonts w:eastAsia="Times New Roman"/>
            <w:color w:val="000000" w:themeColor="text1"/>
            <w:sz w:val="20"/>
            <w:szCs w:val="20"/>
            <w:bdr w:val="none" w:sz="0" w:space="0" w:color="auto" w:frame="1"/>
          </w:rPr>
          <w:t>http://scikit-bio.org/docs/latest/generated/skbio.diversity.alpha.simpson.html#skbio.diversity.alpha.simpson</w:t>
        </w:r>
      </w:hyperlink>
      <w:r>
        <w:rPr>
          <w:rFonts w:eastAsia="Times New Roman"/>
          <w:color w:val="000000" w:themeColor="text1"/>
          <w:sz w:val="20"/>
          <w:szCs w:val="20"/>
        </w:rPr>
        <w:t xml:space="preserve">); </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The index of sequencing depth:</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Coverage - the Good’s coverage (</w:t>
      </w:r>
      <w:hyperlink r:id="rId19" w:anchor="skbio.diversity.alpha.goods_coverage" w:tgtFrame="_blank" w:tooltip="Coverage" w:history="1">
        <w:r>
          <w:rPr>
            <w:rStyle w:val="Hyperlink"/>
            <w:rFonts w:eastAsia="Times New Roman"/>
            <w:color w:val="000000" w:themeColor="text1"/>
            <w:sz w:val="20"/>
            <w:szCs w:val="20"/>
            <w:bdr w:val="none" w:sz="0" w:space="0" w:color="auto" w:frame="1"/>
          </w:rPr>
          <w:t>http://scikit-bio.org/docs/latest/generated/skbio.diversity.alpha.goods_coverage.html#skbio.diversity.alpha.goods_coverage</w:t>
        </w:r>
      </w:hyperlink>
      <w:r>
        <w:rPr>
          <w:rFonts w:eastAsia="Times New Roman"/>
          <w:color w:val="000000" w:themeColor="text1"/>
          <w:sz w:val="20"/>
          <w:szCs w:val="20"/>
        </w:rPr>
        <w:t>);</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The index of phylogenetic diversity: </w:t>
      </w:r>
    </w:p>
    <w:p w:rsidR="00D43831" w:rsidRDefault="00D43831" w:rsidP="00D43831">
      <w:pPr>
        <w:spacing w:before="80" w:after="80" w:line="480" w:lineRule="auto"/>
        <w:ind w:right="150"/>
        <w:rPr>
          <w:rFonts w:eastAsia="Times New Roman"/>
          <w:color w:val="000000" w:themeColor="text1"/>
          <w:sz w:val="20"/>
          <w:szCs w:val="20"/>
        </w:rPr>
      </w:pPr>
      <w:proofErr w:type="spellStart"/>
      <w:r>
        <w:rPr>
          <w:rFonts w:eastAsia="Times New Roman"/>
          <w:color w:val="000000" w:themeColor="text1"/>
          <w:sz w:val="20"/>
          <w:szCs w:val="20"/>
        </w:rPr>
        <w:t>PD_whole_tree</w:t>
      </w:r>
      <w:proofErr w:type="spellEnd"/>
      <w:r>
        <w:rPr>
          <w:rFonts w:eastAsia="Times New Roman"/>
          <w:color w:val="000000" w:themeColor="text1"/>
          <w:sz w:val="20"/>
          <w:szCs w:val="20"/>
        </w:rPr>
        <w:t xml:space="preserve"> - </w:t>
      </w:r>
      <w:proofErr w:type="spellStart"/>
      <w:r>
        <w:rPr>
          <w:rFonts w:eastAsia="Times New Roman"/>
          <w:color w:val="000000" w:themeColor="text1"/>
          <w:sz w:val="20"/>
          <w:szCs w:val="20"/>
        </w:rPr>
        <w:t>PD_whole_tree</w:t>
      </w:r>
      <w:proofErr w:type="spellEnd"/>
      <w:r>
        <w:rPr>
          <w:rFonts w:eastAsia="Times New Roman"/>
          <w:color w:val="000000" w:themeColor="text1"/>
          <w:sz w:val="20"/>
          <w:szCs w:val="20"/>
        </w:rPr>
        <w:t xml:space="preserve"> index(</w:t>
      </w:r>
      <w:hyperlink r:id="rId20" w:anchor="skbio.diversity.alpha.faith_pd" w:tgtFrame="_blank" w:tooltip="PD_whole_tree" w:history="1">
        <w:r>
          <w:rPr>
            <w:rStyle w:val="Hyperlink"/>
            <w:rFonts w:eastAsia="Times New Roman"/>
            <w:color w:val="000000" w:themeColor="text1"/>
            <w:sz w:val="20"/>
            <w:szCs w:val="20"/>
            <w:bdr w:val="none" w:sz="0" w:space="0" w:color="auto" w:frame="1"/>
          </w:rPr>
          <w:t>http://scikit-bio.org/docs/latest/generated/skbio.diversity.alpha.faith_pd.html?highlight=pd#skbio.diversity.alpha.faith_pd</w:t>
        </w:r>
      </w:hyperlink>
      <w:r>
        <w:rPr>
          <w:rFonts w:eastAsia="Times New Roman"/>
          <w:color w:val="000000" w:themeColor="text1"/>
          <w:sz w:val="20"/>
          <w:szCs w:val="20"/>
        </w:rPr>
        <w:t>)</w:t>
      </w:r>
    </w:p>
    <w:p w:rsidR="00D43831" w:rsidRDefault="00D43831" w:rsidP="00D43831">
      <w:pPr>
        <w:spacing w:before="80" w:after="80" w:line="480" w:lineRule="auto"/>
        <w:ind w:right="150"/>
        <w:rPr>
          <w:rFonts w:eastAsia="Times New Roman"/>
          <w:i/>
          <w:iCs/>
          <w:color w:val="000000" w:themeColor="text1"/>
          <w:sz w:val="20"/>
          <w:szCs w:val="20"/>
        </w:rPr>
      </w:pPr>
      <w:r>
        <w:rPr>
          <w:rFonts w:eastAsia="Times New Roman"/>
          <w:i/>
          <w:iCs/>
          <w:color w:val="000000" w:themeColor="text1"/>
          <w:sz w:val="20"/>
          <w:szCs w:val="20"/>
        </w:rPr>
        <w:t>Beta Diversity</w:t>
      </w:r>
    </w:p>
    <w:p w:rsidR="00D43831" w:rsidRDefault="00D43831" w:rsidP="00D43831">
      <w:pPr>
        <w:spacing w:before="80" w:after="80" w:line="480" w:lineRule="auto"/>
        <w:ind w:right="150"/>
        <w:rPr>
          <w:rFonts w:eastAsia="Times New Roman"/>
          <w:color w:val="000000" w:themeColor="text1"/>
          <w:sz w:val="20"/>
          <w:szCs w:val="20"/>
        </w:rPr>
      </w:pPr>
      <w:r>
        <w:rPr>
          <w:rFonts w:eastAsia="Times New Roman"/>
          <w:color w:val="000000" w:themeColor="text1"/>
          <w:sz w:val="20"/>
          <w:szCs w:val="20"/>
        </w:rPr>
        <w:t xml:space="preserve">Beta diversity analysis was used to evaluate differences of samples in species complexity, Beta diversity on both weighted and unweighted </w:t>
      </w:r>
      <w:proofErr w:type="spellStart"/>
      <w:r>
        <w:rPr>
          <w:rFonts w:eastAsia="Times New Roman"/>
          <w:color w:val="000000" w:themeColor="text1"/>
          <w:sz w:val="20"/>
          <w:szCs w:val="20"/>
        </w:rPr>
        <w:t>unifrac</w:t>
      </w:r>
      <w:proofErr w:type="spellEnd"/>
      <w:r>
        <w:rPr>
          <w:rFonts w:eastAsia="Times New Roman"/>
          <w:color w:val="000000" w:themeColor="text1"/>
          <w:sz w:val="20"/>
          <w:szCs w:val="20"/>
        </w:rPr>
        <w:t xml:space="preserve"> were calculated by QIIME software (Version 1.7.0). Cluster analysis was preceded by principal component analysis (PCA), which was applied to reduce the dimension of the original variables using the </w:t>
      </w:r>
      <w:proofErr w:type="spellStart"/>
      <w:r>
        <w:rPr>
          <w:rFonts w:eastAsia="Times New Roman"/>
          <w:color w:val="000000" w:themeColor="text1"/>
          <w:sz w:val="20"/>
          <w:szCs w:val="20"/>
        </w:rPr>
        <w:t>FactoMineR</w:t>
      </w:r>
      <w:proofErr w:type="spellEnd"/>
      <w:r>
        <w:rPr>
          <w:rFonts w:eastAsia="Times New Roman"/>
          <w:color w:val="000000" w:themeColor="text1"/>
          <w:sz w:val="20"/>
          <w:szCs w:val="20"/>
        </w:rPr>
        <w:t xml:space="preserve"> package and ggplot2 package in R software (Version 2.15.3). Principal Coordinate Analysis (</w:t>
      </w:r>
      <w:proofErr w:type="spellStart"/>
      <w:r>
        <w:rPr>
          <w:rFonts w:eastAsia="Times New Roman"/>
          <w:color w:val="000000" w:themeColor="text1"/>
          <w:sz w:val="20"/>
          <w:szCs w:val="20"/>
        </w:rPr>
        <w:t>PCoA</w:t>
      </w:r>
      <w:proofErr w:type="spellEnd"/>
      <w:r>
        <w:rPr>
          <w:rFonts w:eastAsia="Times New Roman"/>
          <w:color w:val="000000" w:themeColor="text1"/>
          <w:sz w:val="20"/>
          <w:szCs w:val="20"/>
        </w:rPr>
        <w:t xml:space="preserve">) was performed to get principal coordinates and visualize from complex, multidimensional data. A distance matrix of weighted or unweighted </w:t>
      </w:r>
      <w:proofErr w:type="spellStart"/>
      <w:r>
        <w:rPr>
          <w:rFonts w:eastAsia="Times New Roman"/>
          <w:color w:val="000000" w:themeColor="text1"/>
          <w:sz w:val="20"/>
          <w:szCs w:val="20"/>
        </w:rPr>
        <w:t>unifrac</w:t>
      </w:r>
      <w:proofErr w:type="spellEnd"/>
      <w:r>
        <w:rPr>
          <w:rFonts w:eastAsia="Times New Roman"/>
          <w:color w:val="000000" w:themeColor="text1"/>
          <w:sz w:val="20"/>
          <w:szCs w:val="20"/>
        </w:rPr>
        <w:t xml:space="preserve"> among samples obtained before was transformed to a new set of orthogonal axes, by which the maximum variation factor is demonstrated by first principal coordinate, and the second maximum one by the second principal coordinate, and so on. </w:t>
      </w:r>
      <w:proofErr w:type="spellStart"/>
      <w:r>
        <w:rPr>
          <w:rFonts w:eastAsia="Times New Roman"/>
          <w:color w:val="000000" w:themeColor="text1"/>
          <w:sz w:val="20"/>
          <w:szCs w:val="20"/>
        </w:rPr>
        <w:t>PCoA</w:t>
      </w:r>
      <w:proofErr w:type="spellEnd"/>
      <w:r>
        <w:rPr>
          <w:rFonts w:eastAsia="Times New Roman"/>
          <w:color w:val="000000" w:themeColor="text1"/>
          <w:sz w:val="20"/>
          <w:szCs w:val="20"/>
        </w:rPr>
        <w:t xml:space="preserve"> analysis was displayed by WGCNA package, stat packages and ggplot2 package in R software (Version 2.15.3). Unweighted Pair-group Method with Arithmetic Means (UPGMA) Clustering was performed as a type of hierarchical clustering method to </w:t>
      </w:r>
      <w:r>
        <w:rPr>
          <w:rFonts w:eastAsia="Times New Roman"/>
          <w:color w:val="000000" w:themeColor="text1"/>
          <w:sz w:val="20"/>
          <w:szCs w:val="20"/>
        </w:rPr>
        <w:lastRenderedPageBreak/>
        <w:t>interpret the distance matrix using average linkage and was conducted by QIIME software (Version 1.7.0).</w:t>
      </w:r>
    </w:p>
    <w:p w:rsidR="00D43831" w:rsidRDefault="00D43831" w:rsidP="00D43831">
      <w:pPr>
        <w:spacing w:before="80" w:after="80" w:line="480" w:lineRule="auto"/>
        <w:ind w:right="150"/>
        <w:rPr>
          <w:rFonts w:eastAsia="Times New Roman"/>
          <w:color w:val="000000" w:themeColor="text1"/>
          <w:sz w:val="20"/>
          <w:szCs w:val="20"/>
        </w:rPr>
      </w:pPr>
      <w:proofErr w:type="spellStart"/>
      <w:r>
        <w:rPr>
          <w:rFonts w:eastAsia="Times New Roman"/>
          <w:color w:val="000000" w:themeColor="text1"/>
          <w:sz w:val="20"/>
          <w:szCs w:val="20"/>
        </w:rPr>
        <w:t>LEfSe</w:t>
      </w:r>
      <w:proofErr w:type="spellEnd"/>
      <w:r>
        <w:rPr>
          <w:rFonts w:eastAsia="Times New Roman"/>
          <w:color w:val="000000" w:themeColor="text1"/>
          <w:sz w:val="20"/>
          <w:szCs w:val="20"/>
        </w:rPr>
        <w:t xml:space="preserve"> analysis was conducted by </w:t>
      </w:r>
      <w:proofErr w:type="spellStart"/>
      <w:r>
        <w:rPr>
          <w:rFonts w:eastAsia="Times New Roman"/>
          <w:color w:val="000000" w:themeColor="text1"/>
          <w:sz w:val="20"/>
          <w:szCs w:val="20"/>
        </w:rPr>
        <w:t>LEfSe</w:t>
      </w:r>
      <w:proofErr w:type="spellEnd"/>
      <w:r>
        <w:rPr>
          <w:rFonts w:eastAsia="Times New Roman"/>
          <w:color w:val="000000" w:themeColor="text1"/>
          <w:sz w:val="20"/>
          <w:szCs w:val="20"/>
        </w:rPr>
        <w:t xml:space="preserve"> software. </w:t>
      </w:r>
      <w:proofErr w:type="spellStart"/>
      <w:r>
        <w:rPr>
          <w:rFonts w:eastAsia="Times New Roman"/>
          <w:color w:val="000000" w:themeColor="text1"/>
          <w:sz w:val="20"/>
          <w:szCs w:val="20"/>
        </w:rPr>
        <w:t>Metastat</w:t>
      </w:r>
      <w:proofErr w:type="spellEnd"/>
      <w:r>
        <w:rPr>
          <w:rFonts w:eastAsia="Times New Roman"/>
          <w:color w:val="000000" w:themeColor="text1"/>
          <w:sz w:val="20"/>
          <w:szCs w:val="20"/>
        </w:rPr>
        <w:t xml:space="preserve"> was calculated by R software. P-value was calculated by method of permutation test while q-value was calculated by method of </w:t>
      </w:r>
      <w:proofErr w:type="spellStart"/>
      <w:r>
        <w:rPr>
          <w:rFonts w:eastAsia="Times New Roman"/>
          <w:color w:val="000000" w:themeColor="text1"/>
          <w:sz w:val="20"/>
          <w:szCs w:val="20"/>
        </w:rPr>
        <w:t>Benjamini</w:t>
      </w:r>
      <w:proofErr w:type="spellEnd"/>
      <w:r>
        <w:rPr>
          <w:rFonts w:eastAsia="Times New Roman"/>
          <w:color w:val="000000" w:themeColor="text1"/>
          <w:sz w:val="20"/>
          <w:szCs w:val="20"/>
        </w:rPr>
        <w:t xml:space="preserve"> and Hochberg False Discovery </w:t>
      </w:r>
      <w:proofErr w:type="gramStart"/>
      <w:r>
        <w:rPr>
          <w:rFonts w:eastAsia="Times New Roman"/>
          <w:color w:val="000000" w:themeColor="text1"/>
          <w:sz w:val="20"/>
          <w:szCs w:val="20"/>
        </w:rPr>
        <w:t>Rate</w:t>
      </w:r>
      <w:r>
        <w:rPr>
          <w:rFonts w:eastAsia="Times New Roman"/>
          <w:color w:val="000000" w:themeColor="text1"/>
          <w:sz w:val="20"/>
          <w:szCs w:val="20"/>
          <w:vertAlign w:val="superscript"/>
        </w:rPr>
        <w:t>[</w:t>
      </w:r>
      <w:proofErr w:type="gramEnd"/>
      <w:r>
        <w:rPr>
          <w:rFonts w:eastAsia="Times New Roman"/>
          <w:color w:val="000000" w:themeColor="text1"/>
          <w:sz w:val="20"/>
          <w:szCs w:val="20"/>
          <w:vertAlign w:val="superscript"/>
        </w:rPr>
        <w:t>30]</w:t>
      </w:r>
      <w:r>
        <w:rPr>
          <w:rFonts w:eastAsia="Times New Roman"/>
          <w:color w:val="000000" w:themeColor="text1"/>
          <w:sz w:val="20"/>
          <w:szCs w:val="20"/>
        </w:rPr>
        <w:t xml:space="preserve">. </w:t>
      </w:r>
      <w:proofErr w:type="spellStart"/>
      <w:r>
        <w:rPr>
          <w:rFonts w:eastAsia="Times New Roman"/>
          <w:color w:val="000000" w:themeColor="text1"/>
          <w:sz w:val="20"/>
          <w:szCs w:val="20"/>
        </w:rPr>
        <w:t>Anosim</w:t>
      </w:r>
      <w:proofErr w:type="spellEnd"/>
      <w:r>
        <w:rPr>
          <w:rFonts w:eastAsia="Times New Roman"/>
          <w:color w:val="000000" w:themeColor="text1"/>
          <w:sz w:val="20"/>
          <w:szCs w:val="20"/>
        </w:rPr>
        <w:t xml:space="preserve">, MRPP and Adonis were performed by R software (Vegan package: </w:t>
      </w:r>
      <w:proofErr w:type="spellStart"/>
      <w:r>
        <w:rPr>
          <w:rFonts w:eastAsia="Times New Roman"/>
          <w:color w:val="000000" w:themeColor="text1"/>
          <w:sz w:val="20"/>
          <w:szCs w:val="20"/>
        </w:rPr>
        <w:t>anosim</w:t>
      </w:r>
      <w:proofErr w:type="spellEnd"/>
      <w:r>
        <w:rPr>
          <w:rFonts w:eastAsia="Times New Roman"/>
          <w:color w:val="000000" w:themeColor="text1"/>
          <w:sz w:val="20"/>
          <w:szCs w:val="20"/>
        </w:rPr>
        <w:t xml:space="preserve"> function, </w:t>
      </w:r>
      <w:proofErr w:type="spellStart"/>
      <w:r>
        <w:rPr>
          <w:rFonts w:eastAsia="Times New Roman"/>
          <w:color w:val="000000" w:themeColor="text1"/>
          <w:sz w:val="20"/>
          <w:szCs w:val="20"/>
        </w:rPr>
        <w:t>mrpp</w:t>
      </w:r>
      <w:proofErr w:type="spellEnd"/>
      <w:r>
        <w:rPr>
          <w:rFonts w:eastAsia="Times New Roman"/>
          <w:color w:val="000000" w:themeColor="text1"/>
          <w:sz w:val="20"/>
          <w:szCs w:val="20"/>
        </w:rPr>
        <w:t xml:space="preserve"> function and </w:t>
      </w:r>
      <w:proofErr w:type="spellStart"/>
      <w:r>
        <w:rPr>
          <w:rFonts w:eastAsia="Times New Roman"/>
          <w:color w:val="000000" w:themeColor="text1"/>
          <w:sz w:val="20"/>
          <w:szCs w:val="20"/>
        </w:rPr>
        <w:t>adonis</w:t>
      </w:r>
      <w:proofErr w:type="spellEnd"/>
      <w:r>
        <w:rPr>
          <w:rFonts w:eastAsia="Times New Roman"/>
          <w:color w:val="000000" w:themeColor="text1"/>
          <w:sz w:val="20"/>
          <w:szCs w:val="20"/>
        </w:rPr>
        <w:t xml:space="preserve"> function). AMOVA was calculated by </w:t>
      </w:r>
      <w:proofErr w:type="spellStart"/>
      <w:r>
        <w:rPr>
          <w:rFonts w:eastAsia="Times New Roman"/>
          <w:color w:val="000000" w:themeColor="text1"/>
          <w:sz w:val="20"/>
          <w:szCs w:val="20"/>
        </w:rPr>
        <w:t>mothur</w:t>
      </w:r>
      <w:proofErr w:type="spellEnd"/>
      <w:r>
        <w:rPr>
          <w:rFonts w:eastAsia="Times New Roman"/>
          <w:color w:val="000000" w:themeColor="text1"/>
          <w:sz w:val="20"/>
          <w:szCs w:val="20"/>
        </w:rPr>
        <w:t xml:space="preserve"> using </w:t>
      </w:r>
      <w:proofErr w:type="spellStart"/>
      <w:r>
        <w:rPr>
          <w:rFonts w:eastAsia="Times New Roman"/>
          <w:color w:val="000000" w:themeColor="text1"/>
          <w:sz w:val="20"/>
          <w:szCs w:val="20"/>
        </w:rPr>
        <w:t>amova</w:t>
      </w:r>
      <w:proofErr w:type="spellEnd"/>
      <w:r>
        <w:rPr>
          <w:rFonts w:eastAsia="Times New Roman"/>
          <w:color w:val="000000" w:themeColor="text1"/>
          <w:sz w:val="20"/>
          <w:szCs w:val="20"/>
        </w:rPr>
        <w:t xml:space="preserve"> function. </w:t>
      </w:r>
      <w:proofErr w:type="spellStart"/>
      <w:r>
        <w:rPr>
          <w:rFonts w:eastAsia="Times New Roman"/>
          <w:color w:val="000000" w:themeColor="text1"/>
          <w:sz w:val="20"/>
          <w:szCs w:val="20"/>
        </w:rPr>
        <w:t>T_test</w:t>
      </w:r>
      <w:proofErr w:type="spellEnd"/>
      <w:r>
        <w:rPr>
          <w:rFonts w:eastAsia="Times New Roman"/>
          <w:color w:val="000000" w:themeColor="text1"/>
          <w:sz w:val="20"/>
          <w:szCs w:val="20"/>
        </w:rPr>
        <w:t xml:space="preserve"> and drawing were conducted by R software.</w:t>
      </w:r>
    </w:p>
    <w:p w:rsidR="00C31248" w:rsidRDefault="00C31248">
      <w:bookmarkStart w:id="0" w:name="_GoBack"/>
      <w:bookmarkEnd w:id="0"/>
    </w:p>
    <w:sectPr w:rsidR="00C312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831"/>
    <w:rsid w:val="00C31248"/>
    <w:rsid w:val="00D438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0DA829-384D-4D94-B6A4-804B4F58C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3831"/>
    <w:pPr>
      <w:spacing w:after="0" w:line="276" w:lineRule="auto"/>
    </w:pPr>
    <w:rPr>
      <w:rFonts w:ascii="Arial" w:eastAsia="Arial" w:hAnsi="Arial" w:cs="Arial"/>
      <w:lang w:val="en"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4383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266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qiime.org/scripts/split_libraries_fastq.html" TargetMode="External"/><Relationship Id="rId13" Type="http://schemas.openxmlformats.org/officeDocument/2006/relationships/hyperlink" Target="http://www.arb-silva.de/" TargetMode="External"/><Relationship Id="rId18" Type="http://schemas.openxmlformats.org/officeDocument/2006/relationships/hyperlink" Target="http://scikit-bio.org/docs/latest/generated/skbio.diversity.alpha.simpson.html"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ccb.jhu.edu/software/FLASH/" TargetMode="External"/><Relationship Id="rId12" Type="http://schemas.openxmlformats.org/officeDocument/2006/relationships/hyperlink" Target="http://drive5.com/uparse/" TargetMode="External"/><Relationship Id="rId17" Type="http://schemas.openxmlformats.org/officeDocument/2006/relationships/hyperlink" Target="http://scikit-bio.org/docs/latest/generated/skbio.diversity.alpha.shannon.html" TargetMode="External"/><Relationship Id="rId2" Type="http://schemas.openxmlformats.org/officeDocument/2006/relationships/settings" Target="settings.xml"/><Relationship Id="rId16" Type="http://schemas.openxmlformats.org/officeDocument/2006/relationships/hyperlink" Target="http://scikit-bio.org/docs/latest/generated/skbio.diversity.alpha.ace.html" TargetMode="External"/><Relationship Id="rId20" Type="http://schemas.openxmlformats.org/officeDocument/2006/relationships/hyperlink" Target="http://scikit-bio.org/docs/latest/generated/skbio.diversity.alpha.faith_pd.html?highlight=pd"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drive5.com/usearch/manual/chimeras.html" TargetMode="External"/><Relationship Id="rId5" Type="http://schemas.openxmlformats.org/officeDocument/2006/relationships/image" Target="media/image2.png"/><Relationship Id="rId15" Type="http://schemas.openxmlformats.org/officeDocument/2006/relationships/hyperlink" Target="http://scikit-bio.org/docs/latest/generated/skbio.diversity.alpha.chao1.html" TargetMode="External"/><Relationship Id="rId10" Type="http://schemas.openxmlformats.org/officeDocument/2006/relationships/hyperlink" Target="http://www.drive5.com/usearch/manual/uchime_algo.html" TargetMode="External"/><Relationship Id="rId19" Type="http://schemas.openxmlformats.org/officeDocument/2006/relationships/hyperlink" Target="http://scikit-bio.org/docs/latest/generated/skbio.diversity.alpha.goods_coverage.html" TargetMode="External"/><Relationship Id="rId4" Type="http://schemas.openxmlformats.org/officeDocument/2006/relationships/image" Target="media/image1.emf"/><Relationship Id="rId9" Type="http://schemas.openxmlformats.org/officeDocument/2006/relationships/hyperlink" Target="http://drive5.com/uchime/uchime_download.html" TargetMode="External"/><Relationship Id="rId14" Type="http://schemas.openxmlformats.org/officeDocument/2006/relationships/hyperlink" Target="http://www.drive5.com/muscle/"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1869</Words>
  <Characters>10658</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SPRINGERNATURE\btr8097</dc:creator>
  <cp:keywords/>
  <dc:description/>
  <cp:lastModifiedBy>SPRINGERNATURE\btr8097</cp:lastModifiedBy>
  <cp:revision>1</cp:revision>
  <dcterms:created xsi:type="dcterms:W3CDTF">2020-10-14T04:49:00Z</dcterms:created>
  <dcterms:modified xsi:type="dcterms:W3CDTF">2020-10-14T04:50:00Z</dcterms:modified>
</cp:coreProperties>
</file>