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6820A" w14:textId="77777777" w:rsidR="003733E4" w:rsidRPr="009C0B92" w:rsidRDefault="003733E4" w:rsidP="003733E4">
      <w:pPr>
        <w:widowControl/>
        <w:rPr>
          <w:b/>
          <w:bCs/>
        </w:rPr>
      </w:pPr>
      <w:r w:rsidRPr="009C0B92">
        <w:rPr>
          <w:b/>
          <w:bCs/>
          <w:sz w:val="24"/>
          <w:szCs w:val="24"/>
        </w:rPr>
        <w:t xml:space="preserve">Table (7): </w:t>
      </w:r>
      <w:bookmarkStart w:id="0" w:name="_Hlk209098499"/>
      <w:r w:rsidRPr="009C0B92">
        <w:rPr>
          <w:b/>
          <w:bCs/>
          <w:sz w:val="24"/>
          <w:szCs w:val="24"/>
        </w:rPr>
        <w:t>The IL-1B levels in the three studied groups at different time intervals</w:t>
      </w:r>
      <w:bookmarkEnd w:id="0"/>
    </w:p>
    <w:p w14:paraId="45B7B0C5" w14:textId="77777777" w:rsidR="003733E4" w:rsidRPr="00B5668E" w:rsidRDefault="003733E4" w:rsidP="003733E4">
      <w:pPr>
        <w:widowControl/>
        <w:ind w:firstLine="360"/>
        <w:jc w:val="both"/>
        <w:rPr>
          <w:b/>
          <w:bCs/>
        </w:rPr>
      </w:pPr>
    </w:p>
    <w:tbl>
      <w:tblPr>
        <w:tblStyle w:val="TableGrid4"/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84"/>
        <w:gridCol w:w="1289"/>
        <w:gridCol w:w="1723"/>
        <w:gridCol w:w="1646"/>
        <w:gridCol w:w="1994"/>
      </w:tblGrid>
      <w:tr w:rsidR="003733E4" w:rsidRPr="00E7348F" w14:paraId="420D6850" w14:textId="77777777" w:rsidTr="00BA4346">
        <w:trPr>
          <w:trHeight w:val="198"/>
          <w:jc w:val="center"/>
        </w:trPr>
        <w:tc>
          <w:tcPr>
            <w:tcW w:w="1281" w:type="pct"/>
            <w:vMerge w:val="restart"/>
            <w:vAlign w:val="center"/>
          </w:tcPr>
          <w:p w14:paraId="33054810" w14:textId="77777777" w:rsidR="003733E4" w:rsidRPr="00E7348F" w:rsidRDefault="003733E4" w:rsidP="00BA4346">
            <w:pPr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bookmarkStart w:id="1" w:name="_Hlk195210840"/>
            <w:r w:rsidRPr="00E7348F">
              <w:rPr>
                <w:rFonts w:eastAsia="Calibri"/>
                <w:b/>
                <w:bCs/>
                <w:sz w:val="20"/>
                <w:szCs w:val="20"/>
                <w:lang w:val="de-DE"/>
              </w:rPr>
              <w:t xml:space="preserve">IL-1B (pg/mL) </w:t>
            </w:r>
          </w:p>
        </w:tc>
        <w:tc>
          <w:tcPr>
            <w:tcW w:w="2614" w:type="pct"/>
            <w:gridSpan w:val="3"/>
            <w:vAlign w:val="center"/>
          </w:tcPr>
          <w:p w14:paraId="6CAA6720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b/>
                <w:bCs/>
                <w:sz w:val="20"/>
                <w:szCs w:val="20"/>
                <w:lang w:val="de-DE"/>
              </w:rPr>
              <w:t>Group</w:t>
            </w:r>
            <w:r w:rsidRPr="00E7348F">
              <w:rPr>
                <w:rFonts w:eastAsia="Calibri"/>
                <w:b/>
                <w:bCs/>
                <w:sz w:val="20"/>
                <w:szCs w:val="20"/>
                <w:lang w:val="de-DE"/>
              </w:rPr>
              <w:tab/>
            </w:r>
          </w:p>
        </w:tc>
        <w:tc>
          <w:tcPr>
            <w:tcW w:w="1106" w:type="pct"/>
            <w:vMerge w:val="restart"/>
          </w:tcPr>
          <w:p w14:paraId="6043243E" w14:textId="77777777" w:rsidR="003733E4" w:rsidRPr="00E7348F" w:rsidRDefault="003733E4" w:rsidP="00BA4346">
            <w:pPr>
              <w:contextualSpacing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E7348F">
              <w:rPr>
                <w:rFonts w:eastAsia="Calibri" w:cs="Arial"/>
                <w:b/>
                <w:bCs/>
                <w:sz w:val="20"/>
                <w:szCs w:val="20"/>
              </w:rPr>
              <w:t>Test of significance</w:t>
            </w:r>
          </w:p>
          <w:p w14:paraId="0AD254D7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7348F">
              <w:rPr>
                <w:rFonts w:eastAsia="Calibri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E7348F">
              <w:rPr>
                <w:rFonts w:eastAsia="Calibri" w:cs="Arial"/>
                <w:b/>
                <w:bCs/>
                <w:sz w:val="20"/>
                <w:szCs w:val="20"/>
              </w:rPr>
              <w:t>-value</w:t>
            </w:r>
          </w:p>
        </w:tc>
      </w:tr>
      <w:tr w:rsidR="003733E4" w:rsidRPr="00E7348F" w14:paraId="099E98B5" w14:textId="77777777" w:rsidTr="00BA4346">
        <w:trPr>
          <w:trHeight w:val="59"/>
          <w:jc w:val="center"/>
        </w:trPr>
        <w:tc>
          <w:tcPr>
            <w:tcW w:w="1281" w:type="pct"/>
            <w:vMerge/>
            <w:vAlign w:val="center"/>
          </w:tcPr>
          <w:p w14:paraId="1767A559" w14:textId="77777777" w:rsidR="003733E4" w:rsidRPr="00E7348F" w:rsidRDefault="003733E4" w:rsidP="00BA434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F2F2F2" w:themeFill="background1" w:themeFillShade="F2"/>
          </w:tcPr>
          <w:p w14:paraId="7E3F0A77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19"/>
                <w:szCs w:val="19"/>
              </w:rPr>
            </w:pPr>
            <w:r w:rsidRPr="00E7348F">
              <w:rPr>
                <w:rFonts w:eastAsia="Calibri"/>
                <w:b/>
                <w:bCs/>
                <w:sz w:val="19"/>
                <w:szCs w:val="19"/>
              </w:rPr>
              <w:t>Control</w:t>
            </w:r>
          </w:p>
        </w:tc>
        <w:tc>
          <w:tcPr>
            <w:tcW w:w="967" w:type="pct"/>
            <w:shd w:val="clear" w:color="auto" w:fill="F2F2F2" w:themeFill="background1" w:themeFillShade="F2"/>
          </w:tcPr>
          <w:p w14:paraId="53816DD7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19"/>
                <w:szCs w:val="19"/>
              </w:rPr>
            </w:pPr>
            <w:r w:rsidRPr="00E7348F">
              <w:rPr>
                <w:rFonts w:eastAsia="Calibri"/>
                <w:b/>
                <w:bCs/>
                <w:sz w:val="19"/>
                <w:szCs w:val="19"/>
              </w:rPr>
              <w:t>Extraction without bone graft</w:t>
            </w:r>
          </w:p>
        </w:tc>
        <w:tc>
          <w:tcPr>
            <w:tcW w:w="923" w:type="pct"/>
            <w:shd w:val="clear" w:color="auto" w:fill="F2F2F2" w:themeFill="background1" w:themeFillShade="F2"/>
          </w:tcPr>
          <w:p w14:paraId="275FBFA0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19"/>
                <w:szCs w:val="19"/>
              </w:rPr>
            </w:pPr>
            <w:r w:rsidRPr="00E7348F">
              <w:rPr>
                <w:rFonts w:eastAsia="Calibri"/>
                <w:b/>
                <w:bCs/>
                <w:sz w:val="19"/>
                <w:szCs w:val="19"/>
              </w:rPr>
              <w:t>Extraction with bone graft</w:t>
            </w:r>
          </w:p>
        </w:tc>
        <w:tc>
          <w:tcPr>
            <w:tcW w:w="1106" w:type="pct"/>
            <w:vMerge/>
          </w:tcPr>
          <w:p w14:paraId="1F4733E5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733E4" w:rsidRPr="00E7348F" w14:paraId="37D6FD55" w14:textId="77777777" w:rsidTr="00BA4346">
        <w:trPr>
          <w:trHeight w:val="648"/>
          <w:jc w:val="center"/>
        </w:trPr>
        <w:tc>
          <w:tcPr>
            <w:tcW w:w="1281" w:type="pct"/>
            <w:hideMark/>
          </w:tcPr>
          <w:p w14:paraId="24551A4B" w14:textId="77777777" w:rsidR="003733E4" w:rsidRPr="00E7348F" w:rsidRDefault="003733E4" w:rsidP="00BA4346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E7348F">
              <w:rPr>
                <w:rFonts w:eastAsia="Calibri"/>
                <w:b/>
                <w:bCs/>
                <w:sz w:val="20"/>
                <w:szCs w:val="20"/>
              </w:rPr>
              <w:t>Four weeks</w:t>
            </w:r>
          </w:p>
          <w:p w14:paraId="6FDE6E1C" w14:textId="77777777" w:rsidR="003733E4" w:rsidRPr="00E7348F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E7348F">
              <w:rPr>
                <w:rFonts w:eastAsia="Calibri"/>
                <w:sz w:val="20"/>
                <w:szCs w:val="20"/>
              </w:rPr>
              <w:t>n</w:t>
            </w:r>
          </w:p>
          <w:p w14:paraId="43331139" w14:textId="77777777" w:rsidR="003733E4" w:rsidRPr="00E7348F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spacing w:after="200"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E7348F">
              <w:rPr>
                <w:rFonts w:eastAsia="Calibri"/>
                <w:sz w:val="20"/>
                <w:szCs w:val="20"/>
              </w:rPr>
              <w:t>Min. – Max.</w:t>
            </w:r>
          </w:p>
          <w:p w14:paraId="192884A9" w14:textId="77777777" w:rsidR="003733E4" w:rsidRPr="00E7348F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E7348F">
              <w:rPr>
                <w:rFonts w:eastAsia="Calibri"/>
                <w:sz w:val="20"/>
                <w:szCs w:val="20"/>
              </w:rPr>
              <w:t>Mean ± Std. Deviation</w:t>
            </w:r>
          </w:p>
          <w:p w14:paraId="42760FC7" w14:textId="77777777" w:rsidR="003733E4" w:rsidRPr="00E7348F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rPr>
                <w:sz w:val="20"/>
                <w:szCs w:val="20"/>
              </w:rPr>
            </w:pPr>
            <w:r w:rsidRPr="00E7348F">
              <w:rPr>
                <w:sz w:val="20"/>
                <w:szCs w:val="20"/>
              </w:rPr>
              <w:t>SEM</w:t>
            </w:r>
          </w:p>
          <w:p w14:paraId="46480A9A" w14:textId="77777777" w:rsidR="003733E4" w:rsidRPr="00E7348F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E7348F">
              <w:rPr>
                <w:rFonts w:eastAsia="Calibri"/>
                <w:sz w:val="20"/>
                <w:szCs w:val="20"/>
              </w:rPr>
              <w:t>95% CI of the Mean</w:t>
            </w:r>
          </w:p>
          <w:p w14:paraId="54CB9075" w14:textId="77777777" w:rsidR="003733E4" w:rsidRPr="00E7348F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E7348F">
              <w:rPr>
                <w:rFonts w:eastAsia="Calibri"/>
                <w:sz w:val="20"/>
                <w:szCs w:val="20"/>
              </w:rPr>
              <w:t>25</w:t>
            </w:r>
            <w:r w:rsidRPr="00E7348F">
              <w:rPr>
                <w:rFonts w:eastAsia="Calibri"/>
                <w:sz w:val="20"/>
                <w:szCs w:val="20"/>
                <w:vertAlign w:val="superscript"/>
              </w:rPr>
              <w:t>th</w:t>
            </w:r>
            <w:r w:rsidRPr="00E7348F">
              <w:rPr>
                <w:rFonts w:eastAsia="Calibri"/>
                <w:sz w:val="20"/>
                <w:szCs w:val="20"/>
              </w:rPr>
              <w:t xml:space="preserve"> - 75</w:t>
            </w:r>
            <w:r w:rsidRPr="00E7348F">
              <w:rPr>
                <w:rFonts w:eastAsia="Calibri"/>
                <w:sz w:val="20"/>
                <w:szCs w:val="20"/>
                <w:vertAlign w:val="superscript"/>
              </w:rPr>
              <w:t>th</w:t>
            </w:r>
            <w:r w:rsidRPr="00E7348F">
              <w:rPr>
                <w:rFonts w:eastAsia="Calibri"/>
                <w:sz w:val="20"/>
                <w:szCs w:val="20"/>
              </w:rPr>
              <w:t xml:space="preserve"> Percentile</w:t>
            </w:r>
          </w:p>
        </w:tc>
        <w:tc>
          <w:tcPr>
            <w:tcW w:w="724" w:type="pct"/>
          </w:tcPr>
          <w:p w14:paraId="2071C288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47408FB5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12D5E45B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33.90-39.80</w:t>
            </w:r>
          </w:p>
          <w:p w14:paraId="32A6231E" w14:textId="2BD7E379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35.68</w:t>
            </w:r>
            <w:r w:rsid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a</w:t>
            </w:r>
            <w:r w:rsidRPr="00E7348F">
              <w:rPr>
                <w:rFonts w:eastAsia="Calibri"/>
                <w:sz w:val="20"/>
                <w:szCs w:val="20"/>
                <w:lang w:val="de-DE"/>
              </w:rPr>
              <w:t>±2.39</w:t>
            </w:r>
          </w:p>
          <w:p w14:paraId="2A9E083F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1.07</w:t>
            </w:r>
          </w:p>
          <w:p w14:paraId="0BAF2445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32.71-38.65</w:t>
            </w:r>
          </w:p>
          <w:p w14:paraId="590F1433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34.50-35.70</w:t>
            </w:r>
          </w:p>
        </w:tc>
        <w:tc>
          <w:tcPr>
            <w:tcW w:w="967" w:type="pct"/>
          </w:tcPr>
          <w:p w14:paraId="3286DE04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7B001219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4CC33055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63.90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E7348F">
              <w:rPr>
                <w:rFonts w:eastAsia="Calibri"/>
                <w:sz w:val="20"/>
                <w:szCs w:val="20"/>
                <w:lang w:val="de-DE"/>
              </w:rPr>
              <w:t>69.80</w:t>
            </w:r>
          </w:p>
          <w:p w14:paraId="77221267" w14:textId="740337C1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66.60</w:t>
            </w:r>
            <w:r w:rsid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b</w:t>
            </w:r>
            <w:r>
              <w:rPr>
                <w:rFonts w:eastAsia="Calibri"/>
                <w:sz w:val="20"/>
                <w:szCs w:val="20"/>
                <w:lang w:val="de-DE"/>
              </w:rPr>
              <w:t>±</w:t>
            </w:r>
            <w:r w:rsidRPr="00E7348F">
              <w:rPr>
                <w:rFonts w:eastAsia="Calibri"/>
                <w:sz w:val="20"/>
                <w:szCs w:val="20"/>
                <w:lang w:val="de-DE"/>
              </w:rPr>
              <w:t>2.69</w:t>
            </w:r>
          </w:p>
          <w:p w14:paraId="7128FE57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1.20</w:t>
            </w:r>
          </w:p>
          <w:p w14:paraId="4CB2326F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63.26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E7348F">
              <w:rPr>
                <w:rFonts w:eastAsia="Calibri"/>
                <w:sz w:val="20"/>
                <w:szCs w:val="20"/>
                <w:lang w:val="de-DE"/>
              </w:rPr>
              <w:t>69.94</w:t>
            </w:r>
          </w:p>
          <w:p w14:paraId="6B45BCA4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64.50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E7348F">
              <w:rPr>
                <w:rFonts w:eastAsia="Calibri"/>
                <w:sz w:val="20"/>
                <w:szCs w:val="20"/>
                <w:lang w:val="de-DE"/>
              </w:rPr>
              <w:t>69.10</w:t>
            </w:r>
          </w:p>
        </w:tc>
        <w:tc>
          <w:tcPr>
            <w:tcW w:w="923" w:type="pct"/>
          </w:tcPr>
          <w:p w14:paraId="6D62C421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010B1D34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226C0712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41.90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E7348F">
              <w:rPr>
                <w:rFonts w:eastAsia="Calibri"/>
                <w:sz w:val="20"/>
                <w:szCs w:val="20"/>
                <w:lang w:val="de-DE"/>
              </w:rPr>
              <w:t>44.40</w:t>
            </w:r>
          </w:p>
          <w:p w14:paraId="2557F357" w14:textId="78BADC8A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43.30</w:t>
            </w:r>
            <w:r w:rsid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c</w:t>
            </w:r>
            <w:r>
              <w:rPr>
                <w:rFonts w:eastAsia="Calibri"/>
                <w:sz w:val="20"/>
                <w:szCs w:val="20"/>
                <w:lang w:val="de-DE"/>
              </w:rPr>
              <w:t>±</w:t>
            </w:r>
            <w:r w:rsidRPr="00E7348F">
              <w:rPr>
                <w:rFonts w:eastAsia="Calibri"/>
                <w:sz w:val="20"/>
                <w:szCs w:val="20"/>
                <w:lang w:val="de-DE"/>
              </w:rPr>
              <w:t>1.00</w:t>
            </w:r>
          </w:p>
          <w:p w14:paraId="3A1F1F9E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>0</w:t>
            </w:r>
            <w:r w:rsidRPr="00E7348F">
              <w:rPr>
                <w:rFonts w:eastAsia="Calibri"/>
                <w:sz w:val="20"/>
                <w:szCs w:val="20"/>
                <w:lang w:val="de-DE"/>
              </w:rPr>
              <w:t>.45</w:t>
            </w:r>
          </w:p>
          <w:p w14:paraId="570CCBC6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42.06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E7348F">
              <w:rPr>
                <w:rFonts w:eastAsia="Calibri"/>
                <w:sz w:val="20"/>
                <w:szCs w:val="20"/>
                <w:lang w:val="de-DE"/>
              </w:rPr>
              <w:t>44.54</w:t>
            </w:r>
          </w:p>
          <w:p w14:paraId="20F24525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42.70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E7348F">
              <w:rPr>
                <w:rFonts w:eastAsia="Calibri"/>
                <w:sz w:val="20"/>
                <w:szCs w:val="20"/>
                <w:lang w:val="de-DE"/>
              </w:rPr>
              <w:t>43.90</w:t>
            </w:r>
          </w:p>
        </w:tc>
        <w:tc>
          <w:tcPr>
            <w:tcW w:w="1106" w:type="pct"/>
          </w:tcPr>
          <w:p w14:paraId="09536A98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602D0E00" w14:textId="77777777" w:rsidR="003733E4" w:rsidRPr="00E7348F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B7F0C76" w14:textId="77777777" w:rsidR="003733E4" w:rsidRPr="00E7348F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40DEB61" w14:textId="77777777" w:rsidR="003733E4" w:rsidRPr="00E7348F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7348F"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Pr="00E7348F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(BF)(df=2,9.043)</w:t>
            </w:r>
            <w:r w:rsidRPr="00E7348F">
              <w:rPr>
                <w:rFonts w:asciiTheme="majorBidi" w:hAnsiTheme="majorBidi" w:cstheme="majorBidi"/>
                <w:sz w:val="20"/>
                <w:szCs w:val="20"/>
              </w:rPr>
              <w:t>=278.493</w:t>
            </w:r>
          </w:p>
          <w:p w14:paraId="750B99EA" w14:textId="77777777" w:rsidR="003733E4" w:rsidRPr="00E7348F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7348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  <w:r w:rsidRPr="00E7348F">
              <w:rPr>
                <w:rFonts w:asciiTheme="majorBidi" w:hAnsiTheme="majorBidi" w:cstheme="majorBidi"/>
                <w:sz w:val="20"/>
                <w:szCs w:val="20"/>
              </w:rPr>
              <w:t>&lt;.001*</w:t>
            </w:r>
          </w:p>
          <w:p w14:paraId="591C9041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</w:tc>
      </w:tr>
      <w:tr w:rsidR="003733E4" w:rsidRPr="00E7348F" w14:paraId="48A9896C" w14:textId="77777777" w:rsidTr="00BA4346">
        <w:trPr>
          <w:trHeight w:val="648"/>
          <w:jc w:val="center"/>
        </w:trPr>
        <w:tc>
          <w:tcPr>
            <w:tcW w:w="1281" w:type="pct"/>
          </w:tcPr>
          <w:p w14:paraId="4DC1790C" w14:textId="77777777" w:rsidR="003733E4" w:rsidRPr="00E7348F" w:rsidRDefault="003733E4" w:rsidP="00BA4346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E7348F">
              <w:rPr>
                <w:rFonts w:eastAsia="Calibri"/>
                <w:b/>
                <w:bCs/>
                <w:sz w:val="20"/>
                <w:szCs w:val="20"/>
              </w:rPr>
              <w:t>Six weeks</w:t>
            </w:r>
          </w:p>
          <w:p w14:paraId="124DB307" w14:textId="77777777" w:rsidR="003733E4" w:rsidRPr="00E7348F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E7348F">
              <w:rPr>
                <w:rFonts w:eastAsia="Calibri"/>
                <w:sz w:val="20"/>
                <w:szCs w:val="20"/>
              </w:rPr>
              <w:t>n</w:t>
            </w:r>
          </w:p>
          <w:p w14:paraId="49D9DC13" w14:textId="77777777" w:rsidR="003733E4" w:rsidRPr="00E7348F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spacing w:after="200"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E7348F">
              <w:rPr>
                <w:rFonts w:eastAsia="Calibri"/>
                <w:sz w:val="20"/>
                <w:szCs w:val="20"/>
              </w:rPr>
              <w:t>Min. – Max.</w:t>
            </w:r>
          </w:p>
          <w:p w14:paraId="45DC9826" w14:textId="77777777" w:rsidR="003733E4" w:rsidRPr="00E7348F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E7348F">
              <w:rPr>
                <w:rFonts w:eastAsia="Calibri"/>
                <w:sz w:val="20"/>
                <w:szCs w:val="20"/>
              </w:rPr>
              <w:t>Mean ± Std. Deviation</w:t>
            </w:r>
          </w:p>
          <w:p w14:paraId="3AC5BC14" w14:textId="77777777" w:rsidR="003733E4" w:rsidRPr="00E7348F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rPr>
                <w:sz w:val="20"/>
                <w:szCs w:val="20"/>
              </w:rPr>
            </w:pPr>
            <w:r w:rsidRPr="00E7348F">
              <w:rPr>
                <w:sz w:val="20"/>
                <w:szCs w:val="20"/>
              </w:rPr>
              <w:t>SEM</w:t>
            </w:r>
          </w:p>
          <w:p w14:paraId="4ECD0FAD" w14:textId="77777777" w:rsidR="003733E4" w:rsidRPr="00E7348F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E7348F">
              <w:rPr>
                <w:rFonts w:eastAsia="Calibri"/>
                <w:sz w:val="20"/>
                <w:szCs w:val="20"/>
              </w:rPr>
              <w:t>95% CI of the Mean</w:t>
            </w:r>
          </w:p>
          <w:p w14:paraId="2BDF3378" w14:textId="77777777" w:rsidR="003733E4" w:rsidRPr="00E7348F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E7348F">
              <w:rPr>
                <w:rFonts w:eastAsia="Calibri"/>
                <w:sz w:val="20"/>
                <w:szCs w:val="20"/>
              </w:rPr>
              <w:t>25</w:t>
            </w:r>
            <w:r w:rsidRPr="00E7348F">
              <w:rPr>
                <w:rFonts w:eastAsia="Calibri"/>
                <w:sz w:val="20"/>
                <w:szCs w:val="20"/>
                <w:vertAlign w:val="superscript"/>
              </w:rPr>
              <w:t>th</w:t>
            </w:r>
            <w:r w:rsidRPr="00E7348F">
              <w:rPr>
                <w:rFonts w:eastAsia="Calibri"/>
                <w:sz w:val="20"/>
                <w:szCs w:val="20"/>
              </w:rPr>
              <w:t xml:space="preserve"> - 75</w:t>
            </w:r>
            <w:r w:rsidRPr="00E7348F">
              <w:rPr>
                <w:rFonts w:eastAsia="Calibri"/>
                <w:sz w:val="20"/>
                <w:szCs w:val="20"/>
                <w:vertAlign w:val="superscript"/>
              </w:rPr>
              <w:t>th</w:t>
            </w:r>
            <w:r w:rsidRPr="00E7348F">
              <w:rPr>
                <w:rFonts w:eastAsia="Calibri"/>
                <w:sz w:val="20"/>
                <w:szCs w:val="20"/>
              </w:rPr>
              <w:t xml:space="preserve"> Percentile</w:t>
            </w:r>
          </w:p>
        </w:tc>
        <w:tc>
          <w:tcPr>
            <w:tcW w:w="724" w:type="pct"/>
          </w:tcPr>
          <w:p w14:paraId="2CC65158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4F2B7323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50ECDB35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34.50-39.80</w:t>
            </w:r>
          </w:p>
          <w:p w14:paraId="29A263C3" w14:textId="102A8BE6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36.86</w:t>
            </w:r>
            <w:r w:rsid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a,c</w:t>
            </w:r>
            <w:r w:rsidRPr="00E7348F">
              <w:rPr>
                <w:rFonts w:eastAsia="Calibri"/>
                <w:sz w:val="20"/>
                <w:szCs w:val="20"/>
                <w:lang w:val="de-DE"/>
              </w:rPr>
              <w:t>±2.73</w:t>
            </w:r>
          </w:p>
          <w:p w14:paraId="55D9EBB5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1.22</w:t>
            </w:r>
          </w:p>
          <w:p w14:paraId="24345D9D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33.47-40.25</w:t>
            </w:r>
          </w:p>
          <w:p w14:paraId="07F8283B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34.50-39.80</w:t>
            </w:r>
          </w:p>
        </w:tc>
        <w:tc>
          <w:tcPr>
            <w:tcW w:w="967" w:type="pct"/>
          </w:tcPr>
          <w:p w14:paraId="562C0AE4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72AAB427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19CE2884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47.30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E7348F">
              <w:rPr>
                <w:rFonts w:eastAsia="Calibri"/>
                <w:sz w:val="20"/>
                <w:szCs w:val="20"/>
                <w:lang w:val="de-DE"/>
              </w:rPr>
              <w:t>50.30</w:t>
            </w:r>
          </w:p>
          <w:p w14:paraId="14F51C9C" w14:textId="3A7EE1D9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49.14</w:t>
            </w:r>
            <w:r w:rsid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b</w:t>
            </w:r>
            <w:r>
              <w:rPr>
                <w:rFonts w:eastAsia="Calibri"/>
                <w:sz w:val="20"/>
                <w:szCs w:val="20"/>
                <w:lang w:val="de-DE"/>
              </w:rPr>
              <w:t>±</w:t>
            </w:r>
            <w:r w:rsidRPr="00E7348F">
              <w:rPr>
                <w:rFonts w:eastAsia="Calibri"/>
                <w:sz w:val="20"/>
                <w:szCs w:val="20"/>
                <w:lang w:val="de-DE"/>
              </w:rPr>
              <w:t>1.40</w:t>
            </w:r>
          </w:p>
          <w:p w14:paraId="1A57392F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>0</w:t>
            </w:r>
            <w:r w:rsidRPr="00E7348F">
              <w:rPr>
                <w:rFonts w:eastAsia="Calibri"/>
                <w:sz w:val="20"/>
                <w:szCs w:val="20"/>
                <w:lang w:val="de-DE"/>
              </w:rPr>
              <w:t>.62</w:t>
            </w:r>
          </w:p>
          <w:p w14:paraId="1F396F82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47.40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E7348F">
              <w:rPr>
                <w:rFonts w:eastAsia="Calibri"/>
                <w:sz w:val="20"/>
                <w:szCs w:val="20"/>
                <w:lang w:val="de-DE"/>
              </w:rPr>
              <w:t>50.88</w:t>
            </w:r>
          </w:p>
          <w:p w14:paraId="797780E0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48.00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E7348F">
              <w:rPr>
                <w:rFonts w:eastAsia="Calibri"/>
                <w:sz w:val="20"/>
                <w:szCs w:val="20"/>
                <w:lang w:val="de-DE"/>
              </w:rPr>
              <w:t>50.30</w:t>
            </w:r>
          </w:p>
        </w:tc>
        <w:tc>
          <w:tcPr>
            <w:tcW w:w="923" w:type="pct"/>
          </w:tcPr>
          <w:p w14:paraId="7898097B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7BB0BA7A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45EED1D5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36.70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E7348F">
              <w:rPr>
                <w:rFonts w:eastAsia="Calibri"/>
                <w:sz w:val="20"/>
                <w:szCs w:val="20"/>
                <w:lang w:val="de-DE"/>
              </w:rPr>
              <w:t>43.00</w:t>
            </w:r>
          </w:p>
          <w:p w14:paraId="75F4A76D" w14:textId="67DE8533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39.16</w:t>
            </w:r>
            <w:r>
              <w:rPr>
                <w:rFonts w:eastAsia="Calibri"/>
                <w:sz w:val="20"/>
                <w:szCs w:val="20"/>
                <w:lang w:val="de-DE"/>
              </w:rPr>
              <w:t>±</w:t>
            </w:r>
            <w:r w:rsid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a,c</w:t>
            </w:r>
            <w:r w:rsidRPr="00E7348F">
              <w:rPr>
                <w:rFonts w:eastAsia="Calibri"/>
                <w:sz w:val="20"/>
                <w:szCs w:val="20"/>
                <w:lang w:val="de-DE"/>
              </w:rPr>
              <w:t>2.44</w:t>
            </w:r>
          </w:p>
          <w:p w14:paraId="45C7F2A3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1.09</w:t>
            </w:r>
          </w:p>
          <w:p w14:paraId="22B442BD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36.12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E7348F">
              <w:rPr>
                <w:rFonts w:eastAsia="Calibri"/>
                <w:sz w:val="20"/>
                <w:szCs w:val="20"/>
                <w:lang w:val="de-DE"/>
              </w:rPr>
              <w:t>42.20</w:t>
            </w:r>
          </w:p>
          <w:p w14:paraId="7871193C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E7348F">
              <w:rPr>
                <w:rFonts w:eastAsia="Calibri"/>
                <w:sz w:val="20"/>
                <w:szCs w:val="20"/>
                <w:lang w:val="de-DE"/>
              </w:rPr>
              <w:t>37.50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E7348F">
              <w:rPr>
                <w:rFonts w:eastAsia="Calibri"/>
                <w:sz w:val="20"/>
                <w:szCs w:val="20"/>
                <w:lang w:val="de-DE"/>
              </w:rPr>
              <w:t>39.70</w:t>
            </w:r>
          </w:p>
        </w:tc>
        <w:tc>
          <w:tcPr>
            <w:tcW w:w="1106" w:type="pct"/>
          </w:tcPr>
          <w:p w14:paraId="25E20510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6AE910CD" w14:textId="77777777" w:rsidR="003733E4" w:rsidRPr="00E7348F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A366816" w14:textId="77777777" w:rsidR="003733E4" w:rsidRPr="00E7348F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443BEC6" w14:textId="77777777" w:rsidR="003733E4" w:rsidRPr="00E7348F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7348F"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Pr="00E7348F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(BF)(df=2,9.957)</w:t>
            </w:r>
            <w:r w:rsidRPr="00E7348F">
              <w:rPr>
                <w:rFonts w:asciiTheme="majorBidi" w:hAnsiTheme="majorBidi" w:cstheme="majorBidi"/>
                <w:sz w:val="20"/>
                <w:szCs w:val="20"/>
              </w:rPr>
              <w:t>=41.578</w:t>
            </w:r>
          </w:p>
          <w:p w14:paraId="15FAA745" w14:textId="77777777" w:rsidR="003733E4" w:rsidRPr="00E7348F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7348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  <w:r w:rsidRPr="00E7348F">
              <w:rPr>
                <w:rFonts w:asciiTheme="majorBidi" w:hAnsiTheme="majorBidi" w:cstheme="majorBidi"/>
                <w:sz w:val="20"/>
                <w:szCs w:val="20"/>
              </w:rPr>
              <w:t>&lt;.001*</w:t>
            </w:r>
          </w:p>
          <w:p w14:paraId="4BEFC6C6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</w:tc>
      </w:tr>
      <w:tr w:rsidR="003733E4" w:rsidRPr="00E7348F" w14:paraId="5A9817C8" w14:textId="77777777" w:rsidTr="00BA4346">
        <w:trPr>
          <w:trHeight w:val="390"/>
          <w:jc w:val="center"/>
        </w:trPr>
        <w:tc>
          <w:tcPr>
            <w:tcW w:w="1281" w:type="pct"/>
          </w:tcPr>
          <w:p w14:paraId="2B09D8DD" w14:textId="77777777" w:rsidR="003733E4" w:rsidRPr="00E7348F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E7348F">
              <w:rPr>
                <w:rFonts w:eastAsia="Calibri" w:cs="Arial"/>
                <w:b/>
                <w:bCs/>
                <w:sz w:val="20"/>
                <w:szCs w:val="20"/>
              </w:rPr>
              <w:t xml:space="preserve">Paired t-test </w:t>
            </w:r>
          </w:p>
          <w:p w14:paraId="33D16DF4" w14:textId="77777777" w:rsidR="003733E4" w:rsidRPr="00E7348F" w:rsidRDefault="003733E4" w:rsidP="00BA4346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E7348F">
              <w:rPr>
                <w:rFonts w:eastAsia="Calibri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E7348F">
              <w:rPr>
                <w:rFonts w:eastAsia="Calibri" w:cs="Arial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724" w:type="pct"/>
          </w:tcPr>
          <w:p w14:paraId="0473F10D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E7348F">
              <w:rPr>
                <w:rFonts w:eastAsia="Calibri"/>
                <w:sz w:val="20"/>
                <w:szCs w:val="20"/>
              </w:rPr>
              <w:t>t</w:t>
            </w:r>
            <w:r w:rsidRPr="00E7348F">
              <w:rPr>
                <w:rFonts w:eastAsia="Calibri"/>
                <w:sz w:val="20"/>
                <w:szCs w:val="20"/>
                <w:vertAlign w:val="subscript"/>
              </w:rPr>
              <w:t>(df=4)</w:t>
            </w:r>
            <w:r w:rsidRPr="00E7348F">
              <w:rPr>
                <w:rFonts w:eastAsia="Calibri"/>
                <w:sz w:val="20"/>
                <w:szCs w:val="20"/>
              </w:rPr>
              <w:t>=1.546</w:t>
            </w:r>
          </w:p>
          <w:p w14:paraId="6EF3372B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E7348F">
              <w:rPr>
                <w:rFonts w:eastAsia="Calibri"/>
                <w:i/>
                <w:iCs/>
                <w:sz w:val="20"/>
                <w:szCs w:val="20"/>
              </w:rPr>
              <w:t>p</w:t>
            </w:r>
            <w:r w:rsidRPr="00E7348F">
              <w:rPr>
                <w:rFonts w:eastAsia="Calibri"/>
                <w:sz w:val="20"/>
                <w:szCs w:val="20"/>
              </w:rPr>
              <w:t>=.197 NS</w:t>
            </w:r>
          </w:p>
        </w:tc>
        <w:tc>
          <w:tcPr>
            <w:tcW w:w="967" w:type="pct"/>
          </w:tcPr>
          <w:p w14:paraId="03985659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E7348F">
              <w:rPr>
                <w:rFonts w:eastAsia="Calibri"/>
                <w:sz w:val="20"/>
                <w:szCs w:val="20"/>
              </w:rPr>
              <w:t>t</w:t>
            </w:r>
            <w:r w:rsidRPr="00E7348F">
              <w:rPr>
                <w:rFonts w:eastAsia="Calibri"/>
                <w:sz w:val="20"/>
                <w:szCs w:val="20"/>
                <w:vertAlign w:val="subscript"/>
              </w:rPr>
              <w:t>(df=4)</w:t>
            </w:r>
            <w:r w:rsidRPr="00E7348F">
              <w:rPr>
                <w:rFonts w:eastAsia="Calibri"/>
                <w:sz w:val="20"/>
                <w:szCs w:val="20"/>
              </w:rPr>
              <w:t>=13.307</w:t>
            </w:r>
          </w:p>
          <w:p w14:paraId="06355333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E7348F">
              <w:rPr>
                <w:rFonts w:eastAsia="Calibri"/>
                <w:i/>
                <w:iCs/>
                <w:sz w:val="20"/>
                <w:szCs w:val="20"/>
              </w:rPr>
              <w:t>p</w:t>
            </w:r>
            <w:r w:rsidRPr="00E7348F">
              <w:rPr>
                <w:rFonts w:eastAsia="Calibri"/>
                <w:sz w:val="20"/>
                <w:szCs w:val="20"/>
              </w:rPr>
              <w:t>&lt;.001*</w:t>
            </w:r>
          </w:p>
        </w:tc>
        <w:tc>
          <w:tcPr>
            <w:tcW w:w="923" w:type="pct"/>
          </w:tcPr>
          <w:p w14:paraId="46C58E37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E7348F">
              <w:rPr>
                <w:rFonts w:eastAsia="Calibri"/>
                <w:sz w:val="20"/>
                <w:szCs w:val="20"/>
              </w:rPr>
              <w:t>t</w:t>
            </w:r>
            <w:r w:rsidRPr="00E7348F">
              <w:rPr>
                <w:rFonts w:eastAsia="Calibri"/>
                <w:sz w:val="20"/>
                <w:szCs w:val="20"/>
                <w:vertAlign w:val="subscript"/>
              </w:rPr>
              <w:t>(df=4)</w:t>
            </w:r>
            <w:r w:rsidRPr="00E7348F">
              <w:rPr>
                <w:rFonts w:eastAsia="Calibri"/>
                <w:sz w:val="20"/>
                <w:szCs w:val="20"/>
              </w:rPr>
              <w:t>=2.747</w:t>
            </w:r>
          </w:p>
          <w:p w14:paraId="23EDA0C9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E7348F">
              <w:rPr>
                <w:rFonts w:eastAsia="Calibri"/>
                <w:i/>
                <w:iCs/>
                <w:sz w:val="20"/>
                <w:szCs w:val="20"/>
              </w:rPr>
              <w:t>p</w:t>
            </w:r>
            <w:r w:rsidRPr="00E7348F">
              <w:rPr>
                <w:rFonts w:eastAsia="Calibri"/>
                <w:sz w:val="20"/>
                <w:szCs w:val="20"/>
              </w:rPr>
              <w:t>=.052 NS</w:t>
            </w:r>
          </w:p>
        </w:tc>
        <w:tc>
          <w:tcPr>
            <w:tcW w:w="1106" w:type="pct"/>
          </w:tcPr>
          <w:p w14:paraId="6E3DF976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E7348F" w14:paraId="683F32CE" w14:textId="77777777" w:rsidTr="00BA4346">
        <w:trPr>
          <w:trHeight w:val="237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17D52D80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Four weeks</w:t>
            </w:r>
          </w:p>
        </w:tc>
      </w:tr>
      <w:tr w:rsidR="003733E4" w:rsidRPr="00E7348F" w14:paraId="2DF719D3" w14:textId="77777777" w:rsidTr="00BA4346">
        <w:trPr>
          <w:trHeight w:val="390"/>
          <w:jc w:val="center"/>
        </w:trPr>
        <w:tc>
          <w:tcPr>
            <w:tcW w:w="1281" w:type="pct"/>
          </w:tcPr>
          <w:p w14:paraId="5B8D0896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24" w:type="pct"/>
          </w:tcPr>
          <w:p w14:paraId="4C8F5715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5668E">
              <w:rPr>
                <w:rFonts w:eastAsia="Calibri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967" w:type="pct"/>
          </w:tcPr>
          <w:p w14:paraId="320C8C62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923" w:type="pct"/>
          </w:tcPr>
          <w:p w14:paraId="26725795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 bone graft</w:t>
            </w:r>
          </w:p>
        </w:tc>
        <w:tc>
          <w:tcPr>
            <w:tcW w:w="1106" w:type="pct"/>
            <w:vMerge w:val="restart"/>
          </w:tcPr>
          <w:p w14:paraId="0B96A9A7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E7348F" w14:paraId="76A25CDC" w14:textId="77777777" w:rsidTr="00BA4346">
        <w:trPr>
          <w:trHeight w:val="390"/>
          <w:jc w:val="center"/>
        </w:trPr>
        <w:tc>
          <w:tcPr>
            <w:tcW w:w="1281" w:type="pct"/>
          </w:tcPr>
          <w:p w14:paraId="7BA6894B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724" w:type="pct"/>
            <w:shd w:val="clear" w:color="auto" w:fill="F2F2F2" w:themeFill="background1" w:themeFillShade="F2"/>
          </w:tcPr>
          <w:p w14:paraId="3EEDF3B0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67" w:type="pct"/>
          </w:tcPr>
          <w:p w14:paraId="49AA8113" w14:textId="77777777" w:rsidR="003733E4" w:rsidRPr="00A7102A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7102A">
              <w:rPr>
                <w:rFonts w:eastAsia="Calibri"/>
                <w:b/>
                <w:bCs/>
                <w:sz w:val="20"/>
                <w:szCs w:val="20"/>
              </w:rPr>
              <w:t>Diff=30.92</w:t>
            </w:r>
          </w:p>
          <w:p w14:paraId="2D26A373" w14:textId="77777777" w:rsidR="003733E4" w:rsidRPr="00A7102A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7102A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 w:rsidRPr="00A7102A"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923" w:type="pct"/>
          </w:tcPr>
          <w:p w14:paraId="3E593BAF" w14:textId="77777777" w:rsidR="003733E4" w:rsidRPr="00A7102A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7102A">
              <w:rPr>
                <w:rFonts w:eastAsia="Calibri"/>
                <w:b/>
                <w:bCs/>
                <w:sz w:val="20"/>
                <w:szCs w:val="20"/>
              </w:rPr>
              <w:t>Diff=7.62</w:t>
            </w:r>
          </w:p>
          <w:p w14:paraId="0053784D" w14:textId="77777777" w:rsidR="003733E4" w:rsidRPr="00A7102A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A7102A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 w:rsidRPr="00A7102A"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1106" w:type="pct"/>
            <w:vMerge/>
          </w:tcPr>
          <w:p w14:paraId="1D3ADFA4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E7348F" w14:paraId="1F6F7ED1" w14:textId="77777777" w:rsidTr="00BA4346">
        <w:trPr>
          <w:trHeight w:val="390"/>
          <w:jc w:val="center"/>
        </w:trPr>
        <w:tc>
          <w:tcPr>
            <w:tcW w:w="1281" w:type="pct"/>
          </w:tcPr>
          <w:p w14:paraId="4DD15AAF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724" w:type="pct"/>
            <w:shd w:val="clear" w:color="auto" w:fill="F2F2F2" w:themeFill="background1" w:themeFillShade="F2"/>
          </w:tcPr>
          <w:p w14:paraId="7390C1AA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F2F2F2" w:themeFill="background1" w:themeFillShade="F2"/>
          </w:tcPr>
          <w:p w14:paraId="13628BA6" w14:textId="77777777" w:rsidR="003733E4" w:rsidRPr="004235E8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23" w:type="pct"/>
          </w:tcPr>
          <w:p w14:paraId="46942091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Diff=23.30</w:t>
            </w:r>
          </w:p>
          <w:p w14:paraId="3BB23C88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1106" w:type="pct"/>
            <w:vMerge/>
          </w:tcPr>
          <w:p w14:paraId="3FC90FCA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E7348F" w14:paraId="07AC4EF3" w14:textId="77777777" w:rsidTr="00BA4346">
        <w:trPr>
          <w:trHeight w:val="91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1360E7E1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Six weeks</w:t>
            </w:r>
          </w:p>
        </w:tc>
      </w:tr>
      <w:tr w:rsidR="003733E4" w:rsidRPr="00E7348F" w14:paraId="6D6A6BA3" w14:textId="77777777" w:rsidTr="00BA4346">
        <w:trPr>
          <w:trHeight w:val="390"/>
          <w:jc w:val="center"/>
        </w:trPr>
        <w:tc>
          <w:tcPr>
            <w:tcW w:w="1281" w:type="pct"/>
          </w:tcPr>
          <w:p w14:paraId="785D7A32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24" w:type="pct"/>
          </w:tcPr>
          <w:p w14:paraId="3525B9AA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5668E">
              <w:rPr>
                <w:rFonts w:eastAsia="Calibri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967" w:type="pct"/>
          </w:tcPr>
          <w:p w14:paraId="03507F03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923" w:type="pct"/>
          </w:tcPr>
          <w:p w14:paraId="422537CF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 bone graft</w:t>
            </w:r>
          </w:p>
        </w:tc>
        <w:tc>
          <w:tcPr>
            <w:tcW w:w="1106" w:type="pct"/>
            <w:vMerge w:val="restart"/>
          </w:tcPr>
          <w:p w14:paraId="28DAD000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E7348F" w14:paraId="1AE2C819" w14:textId="77777777" w:rsidTr="00BA4346">
        <w:trPr>
          <w:trHeight w:val="390"/>
          <w:jc w:val="center"/>
        </w:trPr>
        <w:tc>
          <w:tcPr>
            <w:tcW w:w="1281" w:type="pct"/>
          </w:tcPr>
          <w:p w14:paraId="26B02BAD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724" w:type="pct"/>
            <w:shd w:val="clear" w:color="auto" w:fill="F2F2F2" w:themeFill="background1" w:themeFillShade="F2"/>
          </w:tcPr>
          <w:p w14:paraId="4F884F35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67" w:type="pct"/>
          </w:tcPr>
          <w:p w14:paraId="3B538968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Diff=12.28</w:t>
            </w:r>
          </w:p>
          <w:p w14:paraId="0ECB3CDE" w14:textId="77777777" w:rsidR="003733E4" w:rsidRPr="004235E8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923" w:type="pct"/>
          </w:tcPr>
          <w:p w14:paraId="25EABB36" w14:textId="77777777" w:rsidR="003733E4" w:rsidRPr="00BC6087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BC6087">
              <w:rPr>
                <w:rFonts w:eastAsia="Calibri"/>
                <w:sz w:val="20"/>
                <w:szCs w:val="20"/>
              </w:rPr>
              <w:t>Diff=</w:t>
            </w:r>
            <w:r>
              <w:rPr>
                <w:rFonts w:eastAsia="Calibri"/>
                <w:sz w:val="20"/>
                <w:szCs w:val="20"/>
              </w:rPr>
              <w:t>2.30</w:t>
            </w:r>
          </w:p>
          <w:p w14:paraId="391CC0B0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BC6087">
              <w:rPr>
                <w:rFonts w:eastAsia="Calibri"/>
                <w:i/>
                <w:iCs/>
                <w:sz w:val="20"/>
                <w:szCs w:val="20"/>
              </w:rPr>
              <w:t>p=</w:t>
            </w:r>
            <w:r w:rsidRPr="00BC6087">
              <w:rPr>
                <w:rFonts w:eastAsia="Calibri"/>
                <w:sz w:val="20"/>
                <w:szCs w:val="20"/>
              </w:rPr>
              <w:t>.4</w:t>
            </w:r>
            <w:r>
              <w:rPr>
                <w:rFonts w:eastAsia="Calibri"/>
                <w:sz w:val="20"/>
                <w:szCs w:val="20"/>
              </w:rPr>
              <w:t>02</w:t>
            </w:r>
            <w:r w:rsidRPr="00BC6087">
              <w:rPr>
                <w:rFonts w:eastAsia="Calibri"/>
                <w:sz w:val="20"/>
                <w:szCs w:val="20"/>
              </w:rPr>
              <w:t xml:space="preserve"> NS</w:t>
            </w:r>
          </w:p>
        </w:tc>
        <w:tc>
          <w:tcPr>
            <w:tcW w:w="1106" w:type="pct"/>
            <w:vMerge/>
          </w:tcPr>
          <w:p w14:paraId="1F18F103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E7348F" w14:paraId="5C39BC3B" w14:textId="77777777" w:rsidTr="00BA4346">
        <w:trPr>
          <w:trHeight w:val="390"/>
          <w:jc w:val="center"/>
        </w:trPr>
        <w:tc>
          <w:tcPr>
            <w:tcW w:w="1281" w:type="pct"/>
          </w:tcPr>
          <w:p w14:paraId="09232FEA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724" w:type="pct"/>
            <w:shd w:val="clear" w:color="auto" w:fill="F2F2F2" w:themeFill="background1" w:themeFillShade="F2"/>
          </w:tcPr>
          <w:p w14:paraId="25F1ECC4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F2F2F2" w:themeFill="background1" w:themeFillShade="F2"/>
          </w:tcPr>
          <w:p w14:paraId="4D14DCFD" w14:textId="77777777" w:rsidR="003733E4" w:rsidRPr="004235E8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23" w:type="pct"/>
          </w:tcPr>
          <w:p w14:paraId="346EC22F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Diff=9.98</w:t>
            </w:r>
          </w:p>
          <w:p w14:paraId="181C4A9C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1106" w:type="pct"/>
            <w:vMerge/>
          </w:tcPr>
          <w:p w14:paraId="10670BBB" w14:textId="77777777" w:rsidR="003733E4" w:rsidRPr="00E7348F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bookmarkEnd w:id="1"/>
    <w:p w14:paraId="2DF6FF39" w14:textId="77777777" w:rsidR="003733E4" w:rsidRDefault="003733E4" w:rsidP="003733E4">
      <w:pPr>
        <w:widowControl/>
        <w:rPr>
          <w:sz w:val="20"/>
          <w:szCs w:val="20"/>
        </w:rPr>
      </w:pPr>
      <w:r>
        <w:rPr>
          <w:sz w:val="20"/>
          <w:szCs w:val="20"/>
        </w:rPr>
        <w:t>n: number of rats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772B">
        <w:rPr>
          <w:sz w:val="20"/>
          <w:szCs w:val="20"/>
        </w:rPr>
        <w:t>Min-Max: Minimum – Maximum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7A9F4BC" w14:textId="77777777" w:rsidR="003733E4" w:rsidRDefault="003733E4" w:rsidP="003733E4">
      <w:pPr>
        <w:widowControl/>
        <w:rPr>
          <w:sz w:val="20"/>
          <w:szCs w:val="20"/>
        </w:rPr>
      </w:pPr>
      <w:r w:rsidRPr="00C9772B">
        <w:rPr>
          <w:rFonts w:eastAsia="Calibri"/>
          <w:color w:val="000000"/>
          <w:sz w:val="20"/>
          <w:szCs w:val="20"/>
        </w:rPr>
        <w:t>S.D.: Standard Deviation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ab/>
      </w:r>
      <w:r w:rsidRPr="00C9772B">
        <w:rPr>
          <w:rFonts w:eastAsia="Calibri"/>
          <w:color w:val="000000"/>
          <w:sz w:val="20"/>
          <w:szCs w:val="20"/>
        </w:rPr>
        <w:t>SEM: Standard Error of Mean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ab/>
      </w:r>
      <w:r w:rsidRPr="00C9772B">
        <w:rPr>
          <w:sz w:val="20"/>
          <w:szCs w:val="20"/>
        </w:rPr>
        <w:t>CI: Confidence interval</w:t>
      </w:r>
      <w:r>
        <w:rPr>
          <w:sz w:val="20"/>
          <w:szCs w:val="20"/>
        </w:rPr>
        <w:tab/>
      </w:r>
    </w:p>
    <w:p w14:paraId="4E1ED7FE" w14:textId="77777777" w:rsidR="003733E4" w:rsidRDefault="003733E4" w:rsidP="003733E4">
      <w:pPr>
        <w:widowControl/>
        <w:rPr>
          <w:rFonts w:asciiTheme="majorBidi" w:hAnsiTheme="majorBidi" w:cstheme="majorBidi"/>
          <w:sz w:val="20"/>
          <w:szCs w:val="20"/>
        </w:rPr>
      </w:pPr>
      <w:r w:rsidRPr="00590D47">
        <w:rPr>
          <w:rFonts w:asciiTheme="majorBidi" w:hAnsiTheme="majorBidi" w:cstheme="majorBidi"/>
          <w:sz w:val="20"/>
          <w:szCs w:val="20"/>
        </w:rPr>
        <w:t>F: F(ANOVA) Test of Analysis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Pr="00C9772B">
        <w:rPr>
          <w:rFonts w:asciiTheme="majorBidi" w:hAnsiTheme="majorBidi" w:cstheme="majorBidi"/>
          <w:sz w:val="20"/>
          <w:szCs w:val="20"/>
        </w:rPr>
        <w:t>F</w:t>
      </w:r>
      <w:r w:rsidRPr="00C9772B">
        <w:rPr>
          <w:rFonts w:asciiTheme="majorBidi" w:hAnsiTheme="majorBidi" w:cstheme="majorBidi"/>
          <w:sz w:val="20"/>
          <w:szCs w:val="20"/>
          <w:vertAlign w:val="subscript"/>
        </w:rPr>
        <w:t>(BF)</w:t>
      </w:r>
      <w:r w:rsidRPr="00C9772B">
        <w:rPr>
          <w:rFonts w:asciiTheme="majorBidi" w:hAnsiTheme="majorBidi" w:cstheme="majorBidi"/>
          <w:sz w:val="20"/>
          <w:szCs w:val="20"/>
        </w:rPr>
        <w:t>: Brown-Forsythe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Pr="00C9772B">
        <w:rPr>
          <w:rFonts w:asciiTheme="majorBidi" w:hAnsiTheme="majorBidi" w:cstheme="majorBidi"/>
          <w:sz w:val="20"/>
          <w:szCs w:val="20"/>
        </w:rPr>
        <w:t>df: degree of freedom</w:t>
      </w:r>
    </w:p>
    <w:p w14:paraId="10510351" w14:textId="77777777" w:rsidR="003733E4" w:rsidRDefault="003733E4" w:rsidP="003733E4">
      <w:pPr>
        <w:widowControl/>
        <w:rPr>
          <w:sz w:val="20"/>
          <w:szCs w:val="20"/>
        </w:rPr>
      </w:pPr>
      <w:r w:rsidRPr="00C9772B">
        <w:rPr>
          <w:sz w:val="20"/>
          <w:szCs w:val="20"/>
        </w:rPr>
        <w:t>*: Statistically significant (</w:t>
      </w:r>
      <w:r w:rsidRPr="00C9772B">
        <w:rPr>
          <w:i/>
          <w:iCs/>
          <w:sz w:val="20"/>
          <w:szCs w:val="20"/>
        </w:rPr>
        <w:t>p</w:t>
      </w:r>
      <w:r w:rsidRPr="00C9772B">
        <w:rPr>
          <w:sz w:val="20"/>
          <w:szCs w:val="20"/>
        </w:rPr>
        <w:t>&lt;.05)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772B">
        <w:rPr>
          <w:sz w:val="20"/>
          <w:szCs w:val="20"/>
        </w:rPr>
        <w:t>NS: Statistically not significant (</w:t>
      </w:r>
      <w:r w:rsidRPr="00C9772B">
        <w:rPr>
          <w:i/>
          <w:iCs/>
          <w:sz w:val="20"/>
          <w:szCs w:val="20"/>
        </w:rPr>
        <w:t>p</w:t>
      </w:r>
      <w:r>
        <w:rPr>
          <w:sz w:val="20"/>
          <w:szCs w:val="20"/>
        </w:rPr>
        <w:t>≥</w:t>
      </w:r>
      <w:r w:rsidRPr="00C9772B">
        <w:rPr>
          <w:sz w:val="20"/>
          <w:szCs w:val="20"/>
        </w:rPr>
        <w:t>.05)</w:t>
      </w:r>
      <w:r>
        <w:rPr>
          <w:sz w:val="20"/>
          <w:szCs w:val="20"/>
        </w:rPr>
        <w:tab/>
        <w:t>NA: non applicable</w:t>
      </w:r>
    </w:p>
    <w:p w14:paraId="0EF8FE50" w14:textId="77777777" w:rsidR="003733E4" w:rsidRDefault="003733E4" w:rsidP="003733E4">
      <w:pPr>
        <w:widowControl/>
        <w:rPr>
          <w:b/>
          <w:bCs/>
        </w:rPr>
      </w:pPr>
    </w:p>
    <w:p w14:paraId="6B8BDB7A" w14:textId="35CE10F1" w:rsidR="003733E4" w:rsidRDefault="003733E4" w:rsidP="006E3A61">
      <w:pPr>
        <w:widowControl/>
        <w:autoSpaceDE/>
        <w:autoSpaceDN/>
        <w:spacing w:after="160" w:line="259" w:lineRule="auto"/>
        <w:rPr>
          <w:b/>
          <w:bCs/>
        </w:rPr>
      </w:pPr>
    </w:p>
    <w:sectPr w:rsidR="003733E4" w:rsidSect="00AD601C">
      <w:pgSz w:w="11906" w:h="16838" w:code="9"/>
      <w:pgMar w:top="1440" w:right="1440" w:bottom="1440" w:left="1440" w:header="706" w:footer="706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76A0E"/>
    <w:multiLevelType w:val="hybridMultilevel"/>
    <w:tmpl w:val="ABA200AC"/>
    <w:lvl w:ilvl="0" w:tplc="E5E411AE">
      <w:numFmt w:val="bullet"/>
      <w:lvlText w:val="-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57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7E"/>
    <w:rsid w:val="0000362E"/>
    <w:rsid w:val="0000763F"/>
    <w:rsid w:val="00022C58"/>
    <w:rsid w:val="001D3278"/>
    <w:rsid w:val="001D547C"/>
    <w:rsid w:val="001E61CD"/>
    <w:rsid w:val="0027220E"/>
    <w:rsid w:val="00361449"/>
    <w:rsid w:val="003733E4"/>
    <w:rsid w:val="003A6451"/>
    <w:rsid w:val="003E3300"/>
    <w:rsid w:val="003E7356"/>
    <w:rsid w:val="00433912"/>
    <w:rsid w:val="004414E2"/>
    <w:rsid w:val="004D2DF1"/>
    <w:rsid w:val="0050608D"/>
    <w:rsid w:val="006E3A61"/>
    <w:rsid w:val="00706142"/>
    <w:rsid w:val="00706E67"/>
    <w:rsid w:val="007C359E"/>
    <w:rsid w:val="007E5D96"/>
    <w:rsid w:val="00846315"/>
    <w:rsid w:val="008D4AAD"/>
    <w:rsid w:val="008E5123"/>
    <w:rsid w:val="00911288"/>
    <w:rsid w:val="0096012C"/>
    <w:rsid w:val="00972A52"/>
    <w:rsid w:val="009A4EC6"/>
    <w:rsid w:val="00A16D22"/>
    <w:rsid w:val="00A37046"/>
    <w:rsid w:val="00A7102A"/>
    <w:rsid w:val="00A96634"/>
    <w:rsid w:val="00AD601C"/>
    <w:rsid w:val="00B16E7E"/>
    <w:rsid w:val="00B836A6"/>
    <w:rsid w:val="00BA4346"/>
    <w:rsid w:val="00BC6087"/>
    <w:rsid w:val="00BD5875"/>
    <w:rsid w:val="00CD4102"/>
    <w:rsid w:val="00CF0D15"/>
    <w:rsid w:val="00D161F6"/>
    <w:rsid w:val="00DA64B1"/>
    <w:rsid w:val="00E3639A"/>
    <w:rsid w:val="00E65F15"/>
    <w:rsid w:val="00E70E49"/>
    <w:rsid w:val="00EA4626"/>
    <w:rsid w:val="00F16789"/>
    <w:rsid w:val="00F31653"/>
    <w:rsid w:val="00F8143E"/>
    <w:rsid w:val="00FA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9A4A1"/>
  <w15:chartTrackingRefBased/>
  <w15:docId w15:val="{81A3E37D-9C2F-4407-B4AF-B8DE1EC0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E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E7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16E7E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link w:val="DefaultChar"/>
    <w:qFormat/>
    <w:rsid w:val="00B16E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qFormat/>
    <w:rsid w:val="00B16E7E"/>
    <w:rPr>
      <w:rFonts w:ascii="Arial" w:hAnsi="Arial" w:cs="Arial"/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F3165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Mini-PC</dc:creator>
  <cp:keywords/>
  <dc:description/>
  <cp:lastModifiedBy>Aliaa Habib</cp:lastModifiedBy>
  <cp:revision>7</cp:revision>
  <dcterms:created xsi:type="dcterms:W3CDTF">2026-01-30T16:43:00Z</dcterms:created>
  <dcterms:modified xsi:type="dcterms:W3CDTF">2026-02-21T13:01:00Z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531ba99f-0fc9-4c77-b7c3-d089ad32dc0f</vt:lpwstr>
  </property>
</Properties>
</file>