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28857" w14:textId="14492FD9" w:rsidR="000D11DF" w:rsidRPr="0095794E" w:rsidRDefault="00480F0D" w:rsidP="005B5AE1">
      <w:pPr>
        <w:pStyle w:val="Heading1"/>
      </w:pPr>
      <w:bookmarkStart w:id="0" w:name="Row_1_Title"/>
      <w:r w:rsidRPr="0095794E">
        <w:t>Title</w:t>
      </w:r>
      <w:bookmarkEnd w:id="0"/>
    </w:p>
    <w:p w14:paraId="67EE9763" w14:textId="3A74FC71" w:rsidR="00A4689E" w:rsidRDefault="00480F0D" w:rsidP="00A4689E">
      <w:bookmarkStart w:id="1" w:name="Row_2_Digitalisation_and_AI_impacts_"/>
      <w:r>
        <w:t xml:space="preserve">Digitalisation impacts on </w:t>
      </w:r>
      <w:r w:rsidR="00AE505B">
        <w:t xml:space="preserve">energy transitions and </w:t>
      </w:r>
      <w:r>
        <w:t>climate targets</w:t>
      </w:r>
      <w:bookmarkStart w:id="2" w:name="Row_8_Abstract"/>
      <w:bookmarkEnd w:id="1"/>
    </w:p>
    <w:p w14:paraId="5F3B9BF2" w14:textId="56BD4B02" w:rsidR="00E3718D" w:rsidRDefault="00E3718D" w:rsidP="00535E03">
      <w:pPr>
        <w:pStyle w:val="Heading1"/>
      </w:pPr>
      <w:r>
        <w:t>Authors</w:t>
      </w:r>
      <w:r w:rsidR="001E2F79">
        <w:t xml:space="preserve"> </w:t>
      </w:r>
      <w:r w:rsidR="007F15F4">
        <w:t>&amp; Affiliations</w:t>
      </w:r>
    </w:p>
    <w:p w14:paraId="5EA362AB" w14:textId="35657736" w:rsidR="0022174E" w:rsidRPr="0022174E" w:rsidRDefault="009B32C5" w:rsidP="0022174E">
      <w:r>
        <w:t>Charlie Wilson</w:t>
      </w:r>
      <w:r w:rsidR="00434080">
        <w:t xml:space="preserve"> </w:t>
      </w:r>
      <w:r w:rsidR="00434080" w:rsidRPr="00535E03">
        <w:rPr>
          <w:vertAlign w:val="superscript"/>
        </w:rPr>
        <w:t>1,2</w:t>
      </w:r>
      <w:r w:rsidR="00242464">
        <w:rPr>
          <w:vertAlign w:val="superscript"/>
        </w:rPr>
        <w:t xml:space="preserve"> *</w:t>
      </w:r>
      <w:r>
        <w:t xml:space="preserve">, </w:t>
      </w:r>
      <w:r w:rsidR="00242464">
        <w:t xml:space="preserve">Volker Krey </w:t>
      </w:r>
      <w:r w:rsidR="00242464" w:rsidRPr="00C871C4">
        <w:rPr>
          <w:vertAlign w:val="superscript"/>
        </w:rPr>
        <w:t>1</w:t>
      </w:r>
      <w:r w:rsidR="00242464" w:rsidRPr="00242464">
        <w:t>,</w:t>
      </w:r>
      <w:r w:rsidR="00242464">
        <w:rPr>
          <w:vertAlign w:val="superscript"/>
        </w:rPr>
        <w:t xml:space="preserve"> </w:t>
      </w:r>
      <w:r>
        <w:t>Florian Maczek</w:t>
      </w:r>
      <w:r w:rsidR="00434080">
        <w:t xml:space="preserve"> </w:t>
      </w:r>
      <w:r w:rsidR="00434080" w:rsidRPr="00535E03">
        <w:rPr>
          <w:vertAlign w:val="superscript"/>
        </w:rPr>
        <w:t>1</w:t>
      </w:r>
      <w:r>
        <w:t>,</w:t>
      </w:r>
      <w:r w:rsidR="00242464">
        <w:t xml:space="preserve"> </w:t>
      </w:r>
      <w:r w:rsidR="001E2F79">
        <w:t>Yee Van Fan</w:t>
      </w:r>
      <w:r w:rsidR="00434080">
        <w:t xml:space="preserve"> </w:t>
      </w:r>
      <w:r w:rsidR="00434080">
        <w:rPr>
          <w:vertAlign w:val="superscript"/>
        </w:rPr>
        <w:t>2</w:t>
      </w:r>
      <w:r w:rsidR="001E2F79">
        <w:t xml:space="preserve">, </w:t>
      </w:r>
      <w:r w:rsidR="0F07063F">
        <w:t>Behnam</w:t>
      </w:r>
      <w:r w:rsidR="0022174E">
        <w:t xml:space="preserve"> Zakeri </w:t>
      </w:r>
      <w:r w:rsidR="0022174E" w:rsidRPr="00C871C4">
        <w:rPr>
          <w:vertAlign w:val="superscript"/>
        </w:rPr>
        <w:t>1</w:t>
      </w:r>
      <w:r w:rsidR="0022174E" w:rsidRPr="30C07714">
        <w:rPr>
          <w:vertAlign w:val="superscript"/>
        </w:rPr>
        <w:t>,</w:t>
      </w:r>
      <w:r w:rsidR="57934739" w:rsidRPr="30C07714">
        <w:rPr>
          <w:vertAlign w:val="superscript"/>
        </w:rPr>
        <w:t>3</w:t>
      </w:r>
      <w:r w:rsidR="015DF9C0">
        <w:t>,</w:t>
      </w:r>
    </w:p>
    <w:p w14:paraId="3FA8BD28" w14:textId="7113DC62" w:rsidR="00660BDA" w:rsidRPr="00625ECC" w:rsidRDefault="000724ED" w:rsidP="00A4689E">
      <w:pPr>
        <w:rPr>
          <w:lang w:val="it-IT"/>
        </w:rPr>
      </w:pPr>
      <w:proofErr w:type="spellStart"/>
      <w:r w:rsidRPr="00E362C0">
        <w:rPr>
          <w:lang w:val="it-IT"/>
        </w:rPr>
        <w:t>Aneeque</w:t>
      </w:r>
      <w:proofErr w:type="spellEnd"/>
      <w:r w:rsidRPr="00E362C0">
        <w:rPr>
          <w:lang w:val="it-IT"/>
        </w:rPr>
        <w:t xml:space="preserve"> </w:t>
      </w:r>
      <w:proofErr w:type="spellStart"/>
      <w:r w:rsidRPr="00E362C0">
        <w:rPr>
          <w:lang w:val="it-IT"/>
        </w:rPr>
        <w:t>Jav</w:t>
      </w:r>
      <w:r w:rsidR="001E2F79" w:rsidRPr="00E362C0">
        <w:rPr>
          <w:lang w:val="it-IT"/>
        </w:rPr>
        <w:t>a</w:t>
      </w:r>
      <w:r w:rsidRPr="00E362C0">
        <w:rPr>
          <w:lang w:val="it-IT"/>
        </w:rPr>
        <w:t>id</w:t>
      </w:r>
      <w:proofErr w:type="spellEnd"/>
      <w:r w:rsidR="00434080" w:rsidRPr="00E362C0">
        <w:rPr>
          <w:lang w:val="it-IT"/>
        </w:rPr>
        <w:t xml:space="preserve"> </w:t>
      </w:r>
      <w:r w:rsidR="00434080" w:rsidRPr="00E362C0">
        <w:rPr>
          <w:vertAlign w:val="superscript"/>
          <w:lang w:val="it-IT"/>
        </w:rPr>
        <w:t>1</w:t>
      </w:r>
      <w:r w:rsidR="001E2F79" w:rsidRPr="00E362C0">
        <w:rPr>
          <w:lang w:val="it-IT"/>
        </w:rPr>
        <w:t xml:space="preserve">, </w:t>
      </w:r>
      <w:r w:rsidR="00C328E4" w:rsidRPr="00E362C0">
        <w:rPr>
          <w:lang w:val="it-IT"/>
        </w:rPr>
        <w:t xml:space="preserve">Alessio </w:t>
      </w:r>
      <w:proofErr w:type="spellStart"/>
      <w:r w:rsidR="00C328E4" w:rsidRPr="00E362C0">
        <w:rPr>
          <w:lang w:val="it-IT"/>
        </w:rPr>
        <w:t>Mastrucci</w:t>
      </w:r>
      <w:proofErr w:type="spellEnd"/>
      <w:r w:rsidR="00C328E4" w:rsidRPr="00E362C0">
        <w:rPr>
          <w:lang w:val="it-IT"/>
        </w:rPr>
        <w:t xml:space="preserve"> </w:t>
      </w:r>
      <w:r w:rsidR="00C328E4" w:rsidRPr="00E362C0">
        <w:rPr>
          <w:vertAlign w:val="superscript"/>
          <w:lang w:val="it-IT"/>
        </w:rPr>
        <w:t>1</w:t>
      </w:r>
      <w:r w:rsidR="00C328E4" w:rsidRPr="00E362C0">
        <w:rPr>
          <w:lang w:val="it-IT"/>
        </w:rPr>
        <w:t xml:space="preserve">, </w:t>
      </w:r>
      <w:r w:rsidR="00096C6B">
        <w:t xml:space="preserve">Remi </w:t>
      </w:r>
      <w:proofErr w:type="spellStart"/>
      <w:r w:rsidR="00096C6B">
        <w:t>Paccou</w:t>
      </w:r>
      <w:proofErr w:type="spellEnd"/>
      <w:r w:rsidR="00242464">
        <w:t xml:space="preserve"> </w:t>
      </w:r>
      <w:r w:rsidR="00242464" w:rsidRPr="00242464">
        <w:rPr>
          <w:vertAlign w:val="superscript"/>
        </w:rPr>
        <w:t>4,5</w:t>
      </w:r>
      <w:r w:rsidR="00096C6B">
        <w:t>,</w:t>
      </w:r>
      <w:r w:rsidR="00625ECC">
        <w:rPr>
          <w:lang w:val="it-IT"/>
        </w:rPr>
        <w:t xml:space="preserve"> </w:t>
      </w:r>
      <w:r w:rsidR="00821A57">
        <w:t>Hamish Beath</w:t>
      </w:r>
      <w:r w:rsidR="00242464">
        <w:t xml:space="preserve"> </w:t>
      </w:r>
      <w:r w:rsidR="00242464">
        <w:rPr>
          <w:vertAlign w:val="superscript"/>
        </w:rPr>
        <w:t>6</w:t>
      </w:r>
      <w:r w:rsidR="00821A57">
        <w:t xml:space="preserve">, </w:t>
      </w:r>
      <w:r w:rsidR="00F93C38">
        <w:t>Jan Bieser</w:t>
      </w:r>
      <w:r w:rsidR="00242464">
        <w:t xml:space="preserve"> </w:t>
      </w:r>
      <w:r w:rsidR="00242464">
        <w:rPr>
          <w:vertAlign w:val="superscript"/>
        </w:rPr>
        <w:t>7</w:t>
      </w:r>
      <w:r w:rsidR="00F93C38">
        <w:t xml:space="preserve">, Vlad </w:t>
      </w:r>
      <w:proofErr w:type="spellStart"/>
      <w:r w:rsidR="00F93C38">
        <w:t>Coroam</w:t>
      </w:r>
      <w:r w:rsidR="00925B72">
        <w:t>ǎ</w:t>
      </w:r>
      <w:proofErr w:type="spellEnd"/>
      <w:r w:rsidR="00242464">
        <w:t xml:space="preserve"> </w:t>
      </w:r>
      <w:r w:rsidR="00242464">
        <w:rPr>
          <w:vertAlign w:val="superscript"/>
        </w:rPr>
        <w:t>8</w:t>
      </w:r>
      <w:r w:rsidR="00242464">
        <w:t xml:space="preserve">, </w:t>
      </w:r>
      <w:r w:rsidR="00660BDA">
        <w:t xml:space="preserve">Felix </w:t>
      </w:r>
      <w:proofErr w:type="spellStart"/>
      <w:r w:rsidR="00660BDA">
        <w:t>Creutzig</w:t>
      </w:r>
      <w:proofErr w:type="spellEnd"/>
      <w:r w:rsidR="00242464">
        <w:t xml:space="preserve"> </w:t>
      </w:r>
      <w:r w:rsidR="00242464">
        <w:rPr>
          <w:vertAlign w:val="superscript"/>
        </w:rPr>
        <w:t>9</w:t>
      </w:r>
      <w:r w:rsidR="00242464" w:rsidRPr="00242464">
        <w:rPr>
          <w:vertAlign w:val="superscript"/>
        </w:rPr>
        <w:t>,</w:t>
      </w:r>
      <w:r w:rsidR="00242464">
        <w:rPr>
          <w:vertAlign w:val="superscript"/>
        </w:rPr>
        <w:t>10</w:t>
      </w:r>
      <w:r w:rsidR="00242464">
        <w:t xml:space="preserve">, </w:t>
      </w:r>
      <w:r w:rsidR="00F93C38">
        <w:t xml:space="preserve">Eric </w:t>
      </w:r>
      <w:proofErr w:type="spellStart"/>
      <w:r w:rsidR="00F93C38">
        <w:t>Masanet</w:t>
      </w:r>
      <w:proofErr w:type="spellEnd"/>
      <w:r w:rsidR="00242464">
        <w:t xml:space="preserve"> </w:t>
      </w:r>
      <w:r w:rsidR="00242464">
        <w:rPr>
          <w:vertAlign w:val="superscript"/>
        </w:rPr>
        <w:t>11</w:t>
      </w:r>
      <w:r w:rsidR="00F93C38">
        <w:t xml:space="preserve">, </w:t>
      </w:r>
      <w:r w:rsidR="002212FB">
        <w:t xml:space="preserve">Bas van </w:t>
      </w:r>
      <w:proofErr w:type="spellStart"/>
      <w:r w:rsidR="002212FB">
        <w:t>Ruijven</w:t>
      </w:r>
      <w:proofErr w:type="spellEnd"/>
      <w:r w:rsidR="00475CDA">
        <w:t xml:space="preserve"> </w:t>
      </w:r>
      <w:r w:rsidR="00475CDA" w:rsidRPr="00E362C0">
        <w:rPr>
          <w:vertAlign w:val="superscript"/>
          <w:lang w:val="it-IT"/>
        </w:rPr>
        <w:t>1</w:t>
      </w:r>
      <w:r w:rsidR="002212FB">
        <w:t xml:space="preserve">, </w:t>
      </w:r>
      <w:proofErr w:type="spellStart"/>
      <w:r w:rsidR="00F93C38" w:rsidRPr="00E362C0">
        <w:rPr>
          <w:lang w:val="it-IT"/>
        </w:rPr>
        <w:t>Keywan</w:t>
      </w:r>
      <w:proofErr w:type="spellEnd"/>
      <w:r w:rsidR="00F93C38" w:rsidRPr="00E362C0">
        <w:rPr>
          <w:lang w:val="it-IT"/>
        </w:rPr>
        <w:t xml:space="preserve"> </w:t>
      </w:r>
      <w:proofErr w:type="spellStart"/>
      <w:r w:rsidR="00F93C38" w:rsidRPr="00E362C0">
        <w:rPr>
          <w:lang w:val="it-IT"/>
        </w:rPr>
        <w:t>Riahi</w:t>
      </w:r>
      <w:proofErr w:type="spellEnd"/>
      <w:r w:rsidR="00F93C38" w:rsidRPr="00E362C0">
        <w:rPr>
          <w:lang w:val="it-IT"/>
        </w:rPr>
        <w:t xml:space="preserve"> </w:t>
      </w:r>
      <w:r w:rsidR="00F93C38" w:rsidRPr="00E362C0">
        <w:rPr>
          <w:vertAlign w:val="superscript"/>
          <w:lang w:val="it-IT"/>
        </w:rPr>
        <w:t>1</w:t>
      </w:r>
      <w:r w:rsidR="00E0176F">
        <w:t xml:space="preserve"> </w:t>
      </w:r>
    </w:p>
    <w:p w14:paraId="19AB1F92" w14:textId="77777777" w:rsidR="00242464" w:rsidRDefault="00242464" w:rsidP="00A4689E"/>
    <w:p w14:paraId="71038A6E" w14:textId="1F0F4997" w:rsidR="00434080" w:rsidRDefault="00434080" w:rsidP="00A4689E">
      <w:r w:rsidRPr="00535E03">
        <w:rPr>
          <w:vertAlign w:val="superscript"/>
        </w:rPr>
        <w:t>1</w:t>
      </w:r>
      <w:r>
        <w:t xml:space="preserve"> International Institute for Applied Systems Analysis (IIASA)</w:t>
      </w:r>
      <w:r w:rsidR="009E2E89">
        <w:t>, Laxenburg, Austria</w:t>
      </w:r>
    </w:p>
    <w:p w14:paraId="7C44FD57" w14:textId="39008F54" w:rsidR="00434080" w:rsidRDefault="00434080" w:rsidP="00A4689E">
      <w:r w:rsidRPr="00535E03">
        <w:rPr>
          <w:vertAlign w:val="superscript"/>
        </w:rPr>
        <w:t>2</w:t>
      </w:r>
      <w:r>
        <w:t xml:space="preserve"> Environmental Change Institute</w:t>
      </w:r>
      <w:r w:rsidR="0096055C">
        <w:t xml:space="preserve"> (ECI)</w:t>
      </w:r>
      <w:r>
        <w:t>, University of Oxford</w:t>
      </w:r>
      <w:r w:rsidR="009E2E89">
        <w:t>, Oxford, UK</w:t>
      </w:r>
    </w:p>
    <w:p w14:paraId="349249FA" w14:textId="33405376" w:rsidR="2356E7EC" w:rsidRDefault="2356E7EC">
      <w:r w:rsidRPr="007F15F4">
        <w:rPr>
          <w:vertAlign w:val="superscript"/>
        </w:rPr>
        <w:t>3</w:t>
      </w:r>
      <w:r w:rsidRPr="007F15F4">
        <w:t xml:space="preserve"> Institute for Data, Energy, and Sustainability (</w:t>
      </w:r>
      <w:proofErr w:type="spellStart"/>
      <w:r w:rsidRPr="007F15F4">
        <w:t>IDEaS</w:t>
      </w:r>
      <w:proofErr w:type="spellEnd"/>
      <w:r w:rsidRPr="007F15F4">
        <w:t>), V</w:t>
      </w:r>
      <w:r w:rsidR="2EC1306B" w:rsidRPr="007F15F4">
        <w:t>i</w:t>
      </w:r>
      <w:r w:rsidRPr="007F15F4">
        <w:t>enna University of Economics and Business</w:t>
      </w:r>
      <w:r w:rsidR="009E2E89">
        <w:t>, Vienna, Austria</w:t>
      </w:r>
    </w:p>
    <w:p w14:paraId="5F14861F" w14:textId="0DFF4EA8" w:rsidR="00242464" w:rsidRPr="0096055C" w:rsidRDefault="00242464">
      <w:r w:rsidRPr="0096055C">
        <w:rPr>
          <w:vertAlign w:val="superscript"/>
        </w:rPr>
        <w:t>4</w:t>
      </w:r>
      <w:r w:rsidRPr="0096055C">
        <w:t xml:space="preserve"> Sustainability Research Institute, Schneider Electric</w:t>
      </w:r>
      <w:r w:rsidR="009E2E89" w:rsidRPr="0096055C">
        <w:t>, Grenoble, France</w:t>
      </w:r>
    </w:p>
    <w:p w14:paraId="3AD9C993" w14:textId="43842C96" w:rsidR="00242464" w:rsidRPr="0096055C" w:rsidRDefault="00242464">
      <w:r w:rsidRPr="0096055C">
        <w:rPr>
          <w:vertAlign w:val="superscript"/>
        </w:rPr>
        <w:t>5</w:t>
      </w:r>
      <w:r w:rsidRPr="0096055C">
        <w:t xml:space="preserve"> </w:t>
      </w:r>
      <w:r w:rsidR="009C6384" w:rsidRPr="0096055C">
        <w:t xml:space="preserve">Centre International de Recherche sur </w:t>
      </w:r>
      <w:proofErr w:type="spellStart"/>
      <w:r w:rsidR="009C6384" w:rsidRPr="0096055C">
        <w:t>l’Environnement</w:t>
      </w:r>
      <w:proofErr w:type="spellEnd"/>
      <w:r w:rsidR="009C6384" w:rsidRPr="0096055C">
        <w:t xml:space="preserve"> et le D</w:t>
      </w:r>
      <w:r w:rsidR="00D6726D">
        <w:t>é</w:t>
      </w:r>
      <w:r w:rsidR="009C6384" w:rsidRPr="0096055C">
        <w:t xml:space="preserve">veloppement (CIRED), Ecole des </w:t>
      </w:r>
      <w:proofErr w:type="spellStart"/>
      <w:r w:rsidR="009C6384" w:rsidRPr="0096055C">
        <w:t>Ponts</w:t>
      </w:r>
      <w:proofErr w:type="spellEnd"/>
      <w:r w:rsidR="003E1513" w:rsidRPr="0096055C">
        <w:t xml:space="preserve"> </w:t>
      </w:r>
      <w:proofErr w:type="spellStart"/>
      <w:r w:rsidR="009C6384" w:rsidRPr="009C6384">
        <w:t>ParisTech</w:t>
      </w:r>
      <w:proofErr w:type="spellEnd"/>
      <w:r w:rsidR="009C6384" w:rsidRPr="009C6384">
        <w:t>,</w:t>
      </w:r>
      <w:r w:rsidR="005970ED">
        <w:t xml:space="preserve"> </w:t>
      </w:r>
      <w:proofErr w:type="spellStart"/>
      <w:r w:rsidR="005956EA" w:rsidRPr="0096055C">
        <w:t>Nogent</w:t>
      </w:r>
      <w:proofErr w:type="spellEnd"/>
      <w:r w:rsidR="005956EA" w:rsidRPr="0096055C">
        <w:t>-sur-Marne, France</w:t>
      </w:r>
    </w:p>
    <w:p w14:paraId="61AABF34" w14:textId="47EF0291" w:rsidR="00242464" w:rsidRPr="0096055C" w:rsidRDefault="00242464">
      <w:r w:rsidRPr="0096055C">
        <w:rPr>
          <w:vertAlign w:val="superscript"/>
        </w:rPr>
        <w:t>6</w:t>
      </w:r>
      <w:r w:rsidRPr="0096055C">
        <w:t xml:space="preserve"> </w:t>
      </w:r>
      <w:r w:rsidR="009E2E89" w:rsidRPr="0096055C">
        <w:t>Centre for Environmental Policy, Imperial College London, London, UK</w:t>
      </w:r>
    </w:p>
    <w:p w14:paraId="5317F524" w14:textId="650116FE" w:rsidR="00242464" w:rsidRPr="0096055C" w:rsidRDefault="00242464">
      <w:r w:rsidRPr="0096055C">
        <w:rPr>
          <w:vertAlign w:val="superscript"/>
        </w:rPr>
        <w:t>7</w:t>
      </w:r>
      <w:r w:rsidR="00F75B98" w:rsidRPr="0096055C">
        <w:t xml:space="preserve"> Institute for Public Sector Transformation, University of Applied Sciences, Bern, Switzerland</w:t>
      </w:r>
    </w:p>
    <w:p w14:paraId="5B52F0BC" w14:textId="3B9927E3" w:rsidR="00242464" w:rsidRPr="0096055C" w:rsidRDefault="00242464" w:rsidP="00242464">
      <w:r w:rsidRPr="0096055C">
        <w:rPr>
          <w:vertAlign w:val="superscript"/>
        </w:rPr>
        <w:t>8</w:t>
      </w:r>
      <w:r w:rsidRPr="0096055C">
        <w:t xml:space="preserve"> </w:t>
      </w:r>
      <w:proofErr w:type="spellStart"/>
      <w:r w:rsidRPr="0096055C">
        <w:t>Roegen</w:t>
      </w:r>
      <w:proofErr w:type="spellEnd"/>
      <w:r w:rsidRPr="0096055C">
        <w:t xml:space="preserve"> </w:t>
      </w:r>
      <w:r w:rsidR="001F3C2D" w:rsidRPr="0096055C">
        <w:t>Centre for Sustainability, Zurich, Switzerland</w:t>
      </w:r>
    </w:p>
    <w:p w14:paraId="68BFCED8" w14:textId="0E5EE97B" w:rsidR="00551496" w:rsidRPr="0096055C" w:rsidRDefault="00242464" w:rsidP="00551496">
      <w:r w:rsidRPr="0096055C">
        <w:rPr>
          <w:vertAlign w:val="superscript"/>
        </w:rPr>
        <w:t>9</w:t>
      </w:r>
      <w:r w:rsidRPr="0096055C">
        <w:t xml:space="preserve"> </w:t>
      </w:r>
      <w:r w:rsidR="00551496" w:rsidRPr="0096055C">
        <w:t>Potsdam Institute for Climate Impact Research (PIK), Potsdam, Germany</w:t>
      </w:r>
    </w:p>
    <w:p w14:paraId="64084A92" w14:textId="7AE9DDB0" w:rsidR="00242464" w:rsidRPr="0096055C" w:rsidRDefault="001E041C" w:rsidP="00242464">
      <w:r w:rsidRPr="0096055C">
        <w:rPr>
          <w:vertAlign w:val="superscript"/>
        </w:rPr>
        <w:t>10</w:t>
      </w:r>
      <w:r w:rsidR="00551496" w:rsidRPr="0096055C">
        <w:t xml:space="preserve"> Bennett Institute for Innovation and Public Policy, U</w:t>
      </w:r>
      <w:r w:rsidR="00551496" w:rsidRPr="00551496">
        <w:t xml:space="preserve">niversity of Sussex, </w:t>
      </w:r>
      <w:r w:rsidRPr="0096055C">
        <w:t>Brighton</w:t>
      </w:r>
      <w:r w:rsidR="00551496" w:rsidRPr="00551496">
        <w:t>, UK</w:t>
      </w:r>
    </w:p>
    <w:p w14:paraId="63BDC2A1" w14:textId="562C715F" w:rsidR="00242464" w:rsidRDefault="00242464" w:rsidP="00242464">
      <w:r w:rsidRPr="0096055C">
        <w:rPr>
          <w:vertAlign w:val="superscript"/>
        </w:rPr>
        <w:t>11</w:t>
      </w:r>
      <w:r w:rsidRPr="0096055C">
        <w:t xml:space="preserve"> </w:t>
      </w:r>
      <w:r w:rsidR="00E5364D" w:rsidRPr="0096055C">
        <w:t>Bren School of Environmental Science and Management, University of California, Santa Barbara</w:t>
      </w:r>
      <w:r w:rsidR="0096055C" w:rsidRPr="0096055C">
        <w:t>, USA</w:t>
      </w:r>
    </w:p>
    <w:p w14:paraId="21CE8FA2" w14:textId="77777777" w:rsidR="001736D9" w:rsidRDefault="001736D9" w:rsidP="00A4689E">
      <w:pPr>
        <w:rPr>
          <w:color w:val="EE0000"/>
        </w:rPr>
      </w:pPr>
    </w:p>
    <w:p w14:paraId="1877DA77" w14:textId="6740A1DD" w:rsidR="00897684" w:rsidRDefault="00242464" w:rsidP="00A4689E">
      <w:r>
        <w:t xml:space="preserve">* corresponding author: </w:t>
      </w:r>
      <w:hyperlink r:id="rId11" w:history="1">
        <w:r w:rsidRPr="00E63A9A">
          <w:rPr>
            <w:rStyle w:val="Hyperlink"/>
          </w:rPr>
          <w:t>charlie.wilson@eci.ox.ac.uk</w:t>
        </w:r>
      </w:hyperlink>
    </w:p>
    <w:p w14:paraId="08ED7A6F" w14:textId="77777777" w:rsidR="00EC2E15" w:rsidRPr="005D01B4" w:rsidRDefault="00EC2E15" w:rsidP="00A4689E"/>
    <w:p w14:paraId="28F41D50" w14:textId="77777777" w:rsidR="00897684" w:rsidRDefault="00897684">
      <w:pPr>
        <w:spacing w:line="240" w:lineRule="auto"/>
        <w:rPr>
          <w:sz w:val="28"/>
        </w:rPr>
      </w:pPr>
      <w:r>
        <w:br w:type="page"/>
      </w:r>
    </w:p>
    <w:bookmarkEnd w:id="2"/>
    <w:p w14:paraId="7CE959E0" w14:textId="43C734D2" w:rsidR="000D11DF" w:rsidRPr="0095794E" w:rsidRDefault="00EC2E15" w:rsidP="005B5AE1">
      <w:pPr>
        <w:pStyle w:val="Heading1"/>
      </w:pPr>
      <w:r>
        <w:lastRenderedPageBreak/>
        <w:t>Supplementary Information</w:t>
      </w:r>
    </w:p>
    <w:p w14:paraId="6FEC1EE0" w14:textId="77777777" w:rsidR="003108E2" w:rsidRDefault="003108E2" w:rsidP="003108E2">
      <w:r>
        <w:t>Table 4. A policy and research agenda for climate-aligned digitalisation.</w:t>
      </w:r>
    </w:p>
    <w:p w14:paraId="5069666B" w14:textId="77777777" w:rsidR="003108E2" w:rsidRDefault="003108E2" w:rsidP="003108E2">
      <w:r>
        <w:t xml:space="preserve">Table 5. Summary and examples of main </w:t>
      </w:r>
      <w:proofErr w:type="spellStart"/>
      <w:r>
        <w:t>MESSAGEiX</w:t>
      </w:r>
      <w:proofErr w:type="spellEnd"/>
      <w:r>
        <w:t xml:space="preserve"> scenario implementation assumptions (1) end-use sectors.</w:t>
      </w:r>
    </w:p>
    <w:p w14:paraId="768AF80D" w14:textId="77777777" w:rsidR="003108E2" w:rsidRDefault="003108E2" w:rsidP="003108E2">
      <w:r>
        <w:t xml:space="preserve">Table 6. Summary and examples of main </w:t>
      </w:r>
      <w:proofErr w:type="spellStart"/>
      <w:r>
        <w:t>MESSAGEiX</w:t>
      </w:r>
      <w:proofErr w:type="spellEnd"/>
      <w:r>
        <w:t xml:space="preserve"> scenario implementation assumptions (2) energy system integration.</w:t>
      </w:r>
    </w:p>
    <w:p w14:paraId="4C5AFB1D" w14:textId="77777777" w:rsidR="003108E2" w:rsidRDefault="003108E2" w:rsidP="003108E2"/>
    <w:p w14:paraId="5960730E" w14:textId="77777777" w:rsidR="003108E2" w:rsidRDefault="003108E2" w:rsidP="003108E2">
      <w:r>
        <w:t>Figure 8. Intermittent renewables and storage.</w:t>
      </w:r>
    </w:p>
    <w:p w14:paraId="642AD306" w14:textId="77777777" w:rsidR="003108E2" w:rsidRDefault="003108E2" w:rsidP="003108E2">
      <w:r>
        <w:t>Figure 9. Electrification rates in buildings, transport, and the full energy system.</w:t>
      </w:r>
    </w:p>
    <w:p w14:paraId="59EE7F72" w14:textId="77777777" w:rsidR="003108E2" w:rsidRDefault="003108E2" w:rsidP="003108E2">
      <w:r>
        <w:t>Figure 10. Electricity generation by resource type.</w:t>
      </w:r>
    </w:p>
    <w:p w14:paraId="2D9C1254" w14:textId="77777777" w:rsidR="003108E2" w:rsidRDefault="003108E2" w:rsidP="003108E2">
      <w:r>
        <w:t>Figure 11. Distributed solar power generation.</w:t>
      </w:r>
    </w:p>
    <w:p w14:paraId="5777F928" w14:textId="77777777" w:rsidR="003108E2" w:rsidRDefault="003108E2" w:rsidP="003108E2">
      <w:r>
        <w:t>Figure 12. Digitalisation impacts on global CO2 emissions to 2050.</w:t>
      </w:r>
    </w:p>
    <w:p w14:paraId="309E48CD" w14:textId="77777777" w:rsidR="003108E2" w:rsidRDefault="003108E2" w:rsidP="003108E2">
      <w:r>
        <w:t>Figure 13. Digitalisation impacts on regional CO2 emissions to 2050.</w:t>
      </w:r>
    </w:p>
    <w:p w14:paraId="435BAF13" w14:textId="77777777" w:rsidR="003108E2" w:rsidRDefault="003108E2" w:rsidP="003108E2">
      <w:r>
        <w:t>Figure 14. Sectoral contributions to CO2 emission reductions from climate-misaligned to climate-aligned digitalisation.</w:t>
      </w:r>
    </w:p>
    <w:p w14:paraId="2F583422" w14:textId="77777777" w:rsidR="003108E2" w:rsidRDefault="003108E2" w:rsidP="003108E2">
      <w:r>
        <w:t>Figure 15. Digitalisation impacts on carbon dioxide removal (CDR) needs to 2050 under strengthened climate ambition (2°C).</w:t>
      </w:r>
    </w:p>
    <w:p w14:paraId="6B79E851" w14:textId="65D4DA16" w:rsidR="00DE21D2" w:rsidRDefault="003108E2" w:rsidP="003108E2">
      <w:pPr>
        <w:rPr>
          <w:lang w:val="en-US"/>
        </w:rPr>
      </w:pPr>
      <w:r>
        <w:t>Figure 16. Projected global electricity demand of data centres extended through 2050 consistent with the Shared Socioeconomic Pathways (SSPs).</w:t>
      </w:r>
    </w:p>
    <w:p w14:paraId="68643A37" w14:textId="77777777" w:rsidR="00760462" w:rsidRDefault="00760462" w:rsidP="00DE21D2">
      <w:pPr>
        <w:rPr>
          <w:lang w:val="en-US"/>
        </w:rPr>
        <w:sectPr w:rsidR="00760462">
          <w:footerReference w:type="even" r:id="rId12"/>
          <w:footerReference w:type="default" r:id="rId13"/>
          <w:pgSz w:w="11906" w:h="16838"/>
          <w:pgMar w:top="1440" w:right="1440" w:bottom="1440" w:left="1440" w:header="708" w:footer="708" w:gutter="0"/>
          <w:cols w:space="708"/>
          <w:docGrid w:linePitch="360"/>
        </w:sectPr>
      </w:pPr>
    </w:p>
    <w:p w14:paraId="74C0B428" w14:textId="2B67744F" w:rsidR="00180542" w:rsidRDefault="00857E99" w:rsidP="00C90421">
      <w:pPr>
        <w:pStyle w:val="Caption"/>
      </w:pPr>
      <w:bookmarkStart w:id="3" w:name="_Ref220672327"/>
      <w:r w:rsidRPr="00857E99">
        <w:lastRenderedPageBreak/>
        <w:t>T</w:t>
      </w:r>
      <w:r>
        <w:t>able</w:t>
      </w:r>
      <w:r w:rsidRPr="00857E99">
        <w:t xml:space="preserve"> 4. </w:t>
      </w:r>
      <w:r w:rsidR="00C90421">
        <w:t>A p</w:t>
      </w:r>
      <w:r w:rsidR="00C90421" w:rsidRPr="00330C27">
        <w:t xml:space="preserve">olicy and </w:t>
      </w:r>
      <w:r w:rsidR="00C90421">
        <w:t xml:space="preserve">research agenda for climate-aligned </w:t>
      </w:r>
      <w:r w:rsidR="00C90421" w:rsidRPr="00330C27">
        <w:t>digital</w:t>
      </w:r>
      <w:r w:rsidR="00C90421">
        <w:t>isation.</w:t>
      </w:r>
    </w:p>
    <w:p w14:paraId="7BBE7D07" w14:textId="77777777" w:rsidR="00180542" w:rsidRPr="00180542" w:rsidRDefault="00180542" w:rsidP="00180542"/>
    <w:tbl>
      <w:tblPr>
        <w:tblStyle w:val="TableGrid"/>
        <w:tblW w:w="14029" w:type="dxa"/>
        <w:tblLook w:val="04A0" w:firstRow="1" w:lastRow="0" w:firstColumn="1" w:lastColumn="0" w:noHBand="0" w:noVBand="1"/>
      </w:tblPr>
      <w:tblGrid>
        <w:gridCol w:w="1457"/>
        <w:gridCol w:w="12572"/>
      </w:tblGrid>
      <w:tr w:rsidR="0012793A" w:rsidRPr="00330C27" w14:paraId="0B2610BC" w14:textId="77777777" w:rsidTr="0083123F">
        <w:tc>
          <w:tcPr>
            <w:tcW w:w="1457" w:type="dxa"/>
          </w:tcPr>
          <w:p w14:paraId="158B09DC" w14:textId="35730F4C" w:rsidR="00180542" w:rsidRPr="00806463" w:rsidRDefault="009D4F84" w:rsidP="0083123F">
            <w:pPr>
              <w:rPr>
                <w:rFonts w:eastAsia="Helvetica Neue" w:cs="Helvetica Neue"/>
                <w:b/>
                <w:bCs/>
                <w:i/>
                <w:iCs/>
                <w:color w:val="000000" w:themeColor="text1"/>
                <w:sz w:val="20"/>
              </w:rPr>
            </w:pPr>
            <w:r>
              <w:rPr>
                <w:rFonts w:eastAsia="Helvetica Neue" w:cs="Helvetica Neue"/>
                <w:b/>
                <w:bCs/>
                <w:i/>
                <w:iCs/>
                <w:color w:val="000000" w:themeColor="text1"/>
                <w:sz w:val="20"/>
              </w:rPr>
              <w:t>Setting incentives in deployment contexts</w:t>
            </w:r>
          </w:p>
        </w:tc>
        <w:tc>
          <w:tcPr>
            <w:tcW w:w="12572" w:type="dxa"/>
          </w:tcPr>
          <w:p w14:paraId="1205FF76" w14:textId="16BECA9B" w:rsidR="00180542" w:rsidRPr="00330C27" w:rsidRDefault="00180542" w:rsidP="0083123F">
            <w:pPr>
              <w:rPr>
                <w:rFonts w:eastAsia="Helvetica Neue" w:cs="Helvetica Neue"/>
                <w:color w:val="000000" w:themeColor="text1"/>
                <w:sz w:val="20"/>
              </w:rPr>
            </w:pPr>
            <w:r w:rsidRPr="00330C27">
              <w:rPr>
                <w:rFonts w:eastAsia="Helvetica Neue" w:cs="Helvetica Neue"/>
                <w:bCs/>
                <w:color w:val="000000" w:themeColor="text1"/>
                <w:sz w:val="20"/>
              </w:rPr>
              <w:t xml:space="preserve">The information gains brought about by digitalisation are generally not used to save energy, but to save time, accelerating the economy </w:t>
            </w:r>
            <w:r w:rsidRPr="00330C27">
              <w:rPr>
                <w:rFonts w:eastAsia="Helvetica Neue" w:cs="Helvetica Neue"/>
                <w:bCs/>
                <w:color w:val="000000" w:themeColor="text1"/>
                <w:sz w:val="20"/>
              </w:rPr>
              <w:fldChar w:fldCharType="begin"/>
            </w:r>
            <w:r w:rsidR="00964797">
              <w:rPr>
                <w:rFonts w:eastAsia="Helvetica Neue" w:cs="Helvetica Neue"/>
                <w:bCs/>
                <w:color w:val="000000" w:themeColor="text1"/>
                <w:sz w:val="20"/>
              </w:rPr>
              <w:instrText xml:space="preserve"> ADDIN ZOTERO_ITEM CSL_CITATION {"citationID":"kNsO2ykg","properties":{"formattedCitation":"\\super 1\\nosupersub{}","plainCitation":"1","noteIndex":0},"citationItems":[{"id":12344,"uris":["http://zotero.org/users/16679130/items/C3MGH9CB"],"itemData":{"id":12344,"type":"article-journal","abstract":"In this paper, possibilities for substitution between energy, time and information are discussed touching on aspects of physics, engineering and economics. The three substitutional pairs, energy-time, energy-information and time-information, are examined in turn; the use of the three quantities, in cumulative form, as factors of production for any economic activity is considered; and a new measure for the information, accumulated in a good or service, is suggested. The examination of the influence of new information technology (NIT) on energy demand shows that NIT is used — and could be used much more — to conserve energy, that NIT serves, however, more often to speed up processes rather than to make them more energy efficient.","container-title":"Energy Policy","DOI":"10.1016/0301-4215(93)90204-S","ISSN":"0301-4215","issue":"1","journalAbbreviation":"Energy Policy","page":"13-23","title":"Possibilities for substitution between energy, time and information","volume":"21","author":[{"family":"Spreng","given":"Daniel"}],"issued":{"date-parts":[["1993",1,1]]}}}],"schema":"https://github.com/citation-style-language/schema/raw/master/csl-citation.json"} </w:instrText>
            </w:r>
            <w:r w:rsidRPr="00330C27">
              <w:rPr>
                <w:rFonts w:eastAsia="Helvetica Neue" w:cs="Helvetica Neue"/>
                <w:bCs/>
                <w:color w:val="000000" w:themeColor="text1"/>
                <w:sz w:val="20"/>
              </w:rPr>
              <w:fldChar w:fldCharType="separate"/>
            </w:r>
            <w:r w:rsidR="00964797" w:rsidRPr="00964797">
              <w:rPr>
                <w:color w:val="000000"/>
                <w:sz w:val="20"/>
                <w:szCs w:val="24"/>
                <w:vertAlign w:val="superscript"/>
              </w:rPr>
              <w:t>1</w:t>
            </w:r>
            <w:r w:rsidRPr="00330C27">
              <w:rPr>
                <w:rFonts w:eastAsia="Helvetica Neue" w:cs="Helvetica Neue"/>
                <w:bCs/>
                <w:color w:val="000000" w:themeColor="text1"/>
                <w:sz w:val="20"/>
              </w:rPr>
              <w:fldChar w:fldCharType="end"/>
            </w:r>
            <w:r w:rsidRPr="00330C27">
              <w:rPr>
                <w:rFonts w:eastAsia="Helvetica Neue" w:cs="Helvetica Neue"/>
                <w:bCs/>
                <w:color w:val="000000" w:themeColor="text1"/>
                <w:sz w:val="20"/>
              </w:rPr>
              <w:t>.</w:t>
            </w:r>
            <w:r w:rsidRPr="00330C27">
              <w:rPr>
                <w:rFonts w:eastAsia="Helvetica Neue" w:cs="Helvetica Neue"/>
                <w:b/>
                <w:color w:val="000000" w:themeColor="text1"/>
                <w:sz w:val="20"/>
              </w:rPr>
              <w:t xml:space="preserve"> </w:t>
            </w:r>
            <w:r w:rsidRPr="00330C27">
              <w:rPr>
                <w:rFonts w:eastAsia="Helvetica Neue" w:cs="Helvetica Neue"/>
                <w:color w:val="000000" w:themeColor="text1"/>
                <w:sz w:val="20"/>
              </w:rPr>
              <w:t xml:space="preserve">Sufficiency-oriented business models that avoid lower costs, time burdens, or other frictions being turned into more emissions-intensive activity can balance private benefits for users with public goods </w:t>
            </w:r>
            <w:r w:rsidRPr="00330C27">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{"citationID":"FavdpVk0","properties":{"formattedCitation":"\\super 2\\nosupersub{}","plainCitation":"2","noteIndex":0},"citationItems":[{"id":12299,"uris":["http://zotero.org/users/16679130/items/5BRZH3XD"],"itemData":{"id":12299,"type":"article-journal","container-title":"Frontiers in sustainability","ISSN":"2673-4524","journalAbbreviation":"Frontiers in sustainability","page":"899289","publisher":"Frontiers Media SA","title":"The sufficiency-based circular economy—an analysis of 150 companies","volume":"3","author":[{"family":"Bocken","given":"Nancy MP"},{"family":"Niessen","given":"Laura"},{"family":"Short","given":"Samuel W"}],"issued":{"date-parts":[["2022"]]}}}],"schema":"https://github.com/citation-style-language/schema/raw/master/csl-citation.json"} </w:instrText>
            </w:r>
            <w:r w:rsidRPr="00330C27">
              <w:rPr>
                <w:rFonts w:eastAsia="Helvetica Neue" w:cs="Helvetica Neue"/>
                <w:color w:val="000000" w:themeColor="text1"/>
                <w:sz w:val="20"/>
              </w:rPr>
              <w:fldChar w:fldCharType="separate"/>
            </w:r>
            <w:r w:rsidR="00964797" w:rsidRPr="00964797">
              <w:rPr>
                <w:color w:val="000000"/>
                <w:sz w:val="20"/>
                <w:szCs w:val="24"/>
                <w:vertAlign w:val="superscript"/>
              </w:rPr>
              <w:t>2</w:t>
            </w:r>
            <w:r w:rsidRPr="00330C27">
              <w:rPr>
                <w:rFonts w:eastAsia="Helvetica Neue" w:cs="Helvetica Neue"/>
                <w:color w:val="000000" w:themeColor="text1"/>
                <w:sz w:val="20"/>
              </w:rPr>
              <w:fldChar w:fldCharType="end"/>
            </w:r>
            <w:r w:rsidRPr="00330C27">
              <w:rPr>
                <w:rFonts w:eastAsia="Helvetica Neue" w:cs="Helvetica Neue"/>
                <w:color w:val="000000" w:themeColor="text1"/>
                <w:sz w:val="20"/>
              </w:rPr>
              <w:t xml:space="preserve">. Mostly, though, business models are shaped by market incentives and deployment conditions. </w:t>
            </w:r>
            <w:r w:rsidRPr="00330C27">
              <w:rPr>
                <w:rFonts w:eastAsia="Helvetica Neue" w:cs="Helvetica Neue"/>
                <w:bCs/>
                <w:color w:val="000000" w:themeColor="text1"/>
                <w:sz w:val="20"/>
              </w:rPr>
              <w:t>If market actors prioritise using more private cars and maximising oil extraction over promoting shared mobility and transitioning to cleaner energy, then digital technologies and</w:t>
            </w:r>
            <w:r w:rsidRPr="00330C27">
              <w:rPr>
                <w:color w:val="000000" w:themeColor="text1"/>
                <w:sz w:val="20"/>
              </w:rPr>
              <w:t xml:space="preserve"> AI </w:t>
            </w:r>
            <w:r w:rsidRPr="00330C27">
              <w:rPr>
                <w:rFonts w:eastAsia="Helvetica Neue" w:cs="Helvetica Neue"/>
                <w:bCs/>
                <w:color w:val="000000" w:themeColor="text1"/>
                <w:sz w:val="20"/>
              </w:rPr>
              <w:t>will be deployed to serve those objectives.</w:t>
            </w:r>
            <w:r w:rsidRPr="00330C27">
              <w:rPr>
                <w:rFonts w:eastAsia="Helvetica Neue" w:cs="Helvetica Neue"/>
                <w:color w:val="000000" w:themeColor="text1"/>
                <w:sz w:val="20"/>
              </w:rPr>
              <w:t xml:space="preserve"> Uber has little incentive to constrain rising demand for its convenient platform-enabled ride-hailing service, even if this ends up eroding public transport. Such incentives must come from market access rules that govern how different mobility providers use public infrastructure in cities. Teleworking or videoconferencing don’t displace travel if driving is easy and flying is cheap</w:t>
            </w:r>
            <w:r w:rsidR="009D4F84">
              <w:rPr>
                <w:rFonts w:eastAsia="Helvetica Neue" w:cs="Helvetica Neue"/>
                <w:color w:val="000000" w:themeColor="text1"/>
                <w:sz w:val="20"/>
              </w:rPr>
              <w:t>.</w:t>
            </w:r>
            <w:r w:rsidRPr="00330C27">
              <w:rPr>
                <w:rFonts w:eastAsia="Helvetica Neue" w:cs="Helvetica Neue"/>
                <w:color w:val="000000" w:themeColor="text1"/>
                <w:sz w:val="20"/>
              </w:rPr>
              <w:t xml:space="preserve"> </w:t>
            </w:r>
            <w:r w:rsidR="009D4F84">
              <w:rPr>
                <w:rFonts w:eastAsia="Helvetica Neue" w:cs="Helvetica Neue"/>
                <w:color w:val="000000" w:themeColor="text1"/>
                <w:sz w:val="20"/>
              </w:rPr>
              <w:t>B</w:t>
            </w:r>
            <w:r w:rsidRPr="00330C27">
              <w:rPr>
                <w:rFonts w:eastAsia="Helvetica Neue" w:cs="Helvetica Neue"/>
                <w:color w:val="000000" w:themeColor="text1"/>
                <w:sz w:val="20"/>
              </w:rPr>
              <w:t>uilding energy management systems don’t help decarbonise power systems if energy tariffs encourage local optimisation.</w:t>
            </w:r>
          </w:p>
        </w:tc>
      </w:tr>
      <w:tr w:rsidR="0012793A" w:rsidRPr="00330C27" w14:paraId="3EEFB524" w14:textId="77777777" w:rsidTr="0083123F">
        <w:tc>
          <w:tcPr>
            <w:tcW w:w="1457" w:type="dxa"/>
          </w:tcPr>
          <w:p w14:paraId="4E5CBEFC" w14:textId="77777777" w:rsidR="00180542" w:rsidRPr="00806463" w:rsidRDefault="00180542" w:rsidP="0083123F">
            <w:pPr>
              <w:rPr>
                <w:rFonts w:eastAsia="Helvetica Neue" w:cs="Helvetica Neue"/>
                <w:b/>
                <w:bCs/>
                <w:i/>
                <w:iCs/>
                <w:color w:val="000000" w:themeColor="text1"/>
                <w:sz w:val="20"/>
              </w:rPr>
            </w:pPr>
            <w:r w:rsidRPr="00806463">
              <w:rPr>
                <w:rFonts w:eastAsia="Helvetica Neue" w:cs="Helvetica Neue"/>
                <w:b/>
                <w:bCs/>
                <w:i/>
                <w:iCs/>
                <w:color w:val="000000" w:themeColor="text1"/>
                <w:sz w:val="20"/>
              </w:rPr>
              <w:t>Managing induced demand</w:t>
            </w:r>
          </w:p>
        </w:tc>
        <w:tc>
          <w:tcPr>
            <w:tcW w:w="12572" w:type="dxa"/>
          </w:tcPr>
          <w:p w14:paraId="57179659" w14:textId="0BFD4DC2" w:rsidR="00180542" w:rsidRPr="00330C27" w:rsidRDefault="00180542" w:rsidP="0083123F">
            <w:pPr>
              <w:rPr>
                <w:rFonts w:eastAsia="Helvetica Neue" w:cs="Helvetica Neue"/>
                <w:color w:val="000000" w:themeColor="text1"/>
                <w:sz w:val="20"/>
              </w:rPr>
            </w:pPr>
            <w:r w:rsidRPr="00330C27">
              <w:rPr>
                <w:color w:val="000000" w:themeColor="text1"/>
                <w:sz w:val="20"/>
              </w:rPr>
              <w:t xml:space="preserve">Stringent climate policies </w:t>
            </w:r>
            <w:r w:rsidRPr="00330C27">
              <w:rPr>
                <w:rFonts w:eastAsia="Helvetica Neue" w:cs="Helvetica Neue"/>
                <w:bCs/>
                <w:color w:val="000000" w:themeColor="text1"/>
                <w:sz w:val="20"/>
              </w:rPr>
              <w:t>set incentives to steer digital and AI applications towards supporting emission-reducing outcomes. But</w:t>
            </w:r>
            <w:r w:rsidRPr="00330C27">
              <w:rPr>
                <w:rFonts w:eastAsia="Helvetica Neue" w:cs="Helvetica Neue"/>
                <w:color w:val="000000" w:themeColor="text1"/>
                <w:sz w:val="20"/>
              </w:rPr>
              <w:t xml:space="preserve"> managing induced demand is</w:t>
            </w:r>
            <w:r w:rsidR="00697721">
              <w:rPr>
                <w:rFonts w:eastAsia="Helvetica Neue" w:cs="Helvetica Neue"/>
                <w:color w:val="000000" w:themeColor="text1"/>
                <w:sz w:val="20"/>
              </w:rPr>
              <w:t xml:space="preserve"> </w:t>
            </w:r>
            <w:r w:rsidRPr="00330C27">
              <w:rPr>
                <w:rFonts w:eastAsia="Helvetica Neue" w:cs="Helvetica Neue"/>
                <w:color w:val="000000" w:themeColor="text1"/>
                <w:sz w:val="20"/>
              </w:rPr>
              <w:t xml:space="preserve">through a wider set of market design, pricing, urban planning, </w:t>
            </w:r>
            <w:r w:rsidR="00697721">
              <w:rPr>
                <w:rFonts w:eastAsia="Helvetica Neue" w:cs="Helvetica Neue"/>
                <w:color w:val="000000" w:themeColor="text1"/>
                <w:sz w:val="20"/>
              </w:rPr>
              <w:t xml:space="preserve">efficiency </w:t>
            </w:r>
            <w:r w:rsidRPr="00330C27">
              <w:rPr>
                <w:rFonts w:eastAsia="Helvetica Neue" w:cs="Helvetica Neue"/>
                <w:color w:val="000000" w:themeColor="text1"/>
                <w:sz w:val="20"/>
              </w:rPr>
              <w:t>standards, regulatory frameworks and other rules shaping the demand for energy-related activity across buildings, transport, and consumer goods sectors, and how this demand integrates into energy systems. Relevant policy actors are distributed across economic sectors and scales from local to national. Understandin</w:t>
            </w:r>
            <w:r w:rsidRPr="00330C27">
              <w:rPr>
                <w:rFonts w:eastAsia="Helvetica Neue" w:cs="Helvetica Neue"/>
                <w:sz w:val="20"/>
              </w:rPr>
              <w:t>g the direction and magnitude of digital application impacts is a necessary first step.</w:t>
            </w:r>
          </w:p>
        </w:tc>
      </w:tr>
      <w:tr w:rsidR="0012793A" w:rsidRPr="00330C27" w14:paraId="550371EF" w14:textId="77777777" w:rsidTr="0083123F">
        <w:tc>
          <w:tcPr>
            <w:tcW w:w="1457" w:type="dxa"/>
          </w:tcPr>
          <w:p w14:paraId="0D04F3A2" w14:textId="3D55BCA0" w:rsidR="00180542" w:rsidRPr="00806463" w:rsidRDefault="00200F3A" w:rsidP="0083123F">
            <w:pPr>
              <w:rPr>
                <w:rFonts w:eastAsia="Helvetica Neue" w:cs="Helvetica Neue"/>
                <w:b/>
                <w:bCs/>
                <w:i/>
                <w:iCs/>
                <w:color w:val="000000" w:themeColor="text1"/>
                <w:sz w:val="20"/>
              </w:rPr>
            </w:pPr>
            <w:r>
              <w:rPr>
                <w:rFonts w:eastAsia="Helvetica Neue" w:cs="Helvetica Neue"/>
                <w:b/>
                <w:bCs/>
                <w:i/>
                <w:iCs/>
                <w:color w:val="000000" w:themeColor="text1"/>
                <w:sz w:val="20"/>
              </w:rPr>
              <w:t>A</w:t>
            </w:r>
            <w:r w:rsidR="00180542" w:rsidRPr="00806463">
              <w:rPr>
                <w:rFonts w:eastAsia="Helvetica Neue" w:cs="Helvetica Neue"/>
                <w:b/>
                <w:bCs/>
                <w:i/>
                <w:iCs/>
                <w:color w:val="000000" w:themeColor="text1"/>
                <w:sz w:val="20"/>
              </w:rPr>
              <w:t>ssess</w:t>
            </w:r>
            <w:r>
              <w:rPr>
                <w:rFonts w:eastAsia="Helvetica Neue" w:cs="Helvetica Neue"/>
                <w:b/>
                <w:bCs/>
                <w:i/>
                <w:iCs/>
                <w:color w:val="000000" w:themeColor="text1"/>
                <w:sz w:val="20"/>
              </w:rPr>
              <w:t xml:space="preserve">ing &amp; </w:t>
            </w:r>
            <w:r w:rsidR="00180542" w:rsidRPr="00806463">
              <w:rPr>
                <w:rFonts w:eastAsia="Helvetica Neue" w:cs="Helvetica Neue"/>
                <w:b/>
                <w:bCs/>
                <w:i/>
                <w:iCs/>
                <w:color w:val="000000" w:themeColor="text1"/>
                <w:sz w:val="20"/>
              </w:rPr>
              <w:t>reporting</w:t>
            </w:r>
            <w:r>
              <w:rPr>
                <w:rFonts w:eastAsia="Helvetica Neue" w:cs="Helvetica Neue"/>
                <w:b/>
                <w:bCs/>
                <w:i/>
                <w:iCs/>
                <w:color w:val="000000" w:themeColor="text1"/>
                <w:sz w:val="20"/>
              </w:rPr>
              <w:t xml:space="preserve"> indirect impacts</w:t>
            </w:r>
          </w:p>
          <w:p w14:paraId="12034141" w14:textId="77777777" w:rsidR="00180542" w:rsidRPr="00806463" w:rsidRDefault="00180542" w:rsidP="0083123F">
            <w:pPr>
              <w:rPr>
                <w:rFonts w:eastAsia="Helvetica Neue" w:cs="Helvetica Neue"/>
                <w:b/>
                <w:bCs/>
                <w:i/>
                <w:iCs/>
                <w:color w:val="000000" w:themeColor="text1"/>
                <w:sz w:val="20"/>
              </w:rPr>
            </w:pPr>
          </w:p>
        </w:tc>
        <w:tc>
          <w:tcPr>
            <w:tcW w:w="12572" w:type="dxa"/>
          </w:tcPr>
          <w:p w14:paraId="21EB2552" w14:textId="2FAEB563" w:rsidR="00180542" w:rsidRPr="00330C27" w:rsidRDefault="005F3CA4" w:rsidP="0083123F">
            <w:pPr>
              <w:rPr>
                <w:rFonts w:eastAsia="Helvetica Neue" w:cs="Helvetica Neue"/>
                <w:bCs/>
                <w:color w:val="000000" w:themeColor="text1"/>
                <w:sz w:val="20"/>
              </w:rPr>
            </w:pPr>
            <w:r w:rsidRPr="005F3CA4">
              <w:rPr>
                <w:rFonts w:eastAsia="Helvetica Neue" w:cs="Helvetica Neue"/>
                <w:color w:val="000000" w:themeColor="text1"/>
                <w:sz w:val="20"/>
              </w:rPr>
              <w:t xml:space="preserve">Scope 1-2 emissions reporting from the operational footprints of digital and AI infrastructure (direct impacts) improves comparability for benchmarking, discretionary investment, and diffusion of best practice </w:t>
            </w:r>
            <w:r w:rsidRPr="005F3CA4">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{"citationID":"TqJc2xY5","properties":{"formattedCitation":"\\super 3,4\\nosupersub{}","plainCitation":"3,4","noteIndex":0},"citationItems":[{"id":12312,"uris":["http://zotero.org/users/16679130/items/HGP55PVI"],"itemData":{"id":12312,"type":"post-weblog","container-title":"Hugging Face","title":"CO₂ Emissions and Models Performance: Insights from the Open LLM Leaderboard","URL":"https://huggingface.co/blog/leaderboard-emissions-analysis","author":[{"family":"Lovoskaya","given":"A."},{"family":"Habib","given":"N."},{"family":"Villanova del Moral","given":"A."},{"family":"Fourrier","given":"C."}]}},{"id":12324,"uris":["http://zotero.org/users/16679130/items/7DXBM8PP"],"itemData":{"id":12324,"type":"article-journal","container-title":"NEJM Catalyst","DOI":"10.1056/CAT.25.0125","issue":"10","journalAbbreviation":"NEJM Catalyst","page":"CAT.25.0125","publisher":"Massachusetts Medical Society","title":"Sustainably Advancing Health AI: A Decision Framework to Mitigate the Energy, Emissions, and Cost of AI Implementation","volume":"6","author":[{"literal":"Ramachandran Anu"},{"literal":"Sarabu Chethan"},{"literal":"Gupta Udit"},{"literal":"Ghose Shomit"},{"literal":"Lee Vivian S."}],"issued":{"date-parts":[["2025"]]}}}],"schema":"https://github.com/citation-style-language/schema/raw/master/csl-citation.json"} </w:instrText>
            </w:r>
            <w:r w:rsidRPr="005F3CA4">
              <w:rPr>
                <w:rFonts w:eastAsia="Helvetica Neue" w:cs="Helvetica Neue"/>
                <w:color w:val="000000" w:themeColor="text1"/>
                <w:sz w:val="20"/>
              </w:rPr>
              <w:fldChar w:fldCharType="separate"/>
            </w:r>
            <w:r w:rsidR="00964797" w:rsidRPr="00964797">
              <w:rPr>
                <w:color w:val="000000"/>
                <w:sz w:val="20"/>
                <w:szCs w:val="24"/>
                <w:vertAlign w:val="superscript"/>
              </w:rPr>
              <w:t>3,4</w:t>
            </w:r>
            <w:r w:rsidRPr="005F3CA4">
              <w:rPr>
                <w:rFonts w:eastAsia="Helvetica Neue" w:cs="Helvetica Neue"/>
                <w:color w:val="000000" w:themeColor="text1"/>
                <w:sz w:val="20"/>
              </w:rPr>
              <w:fldChar w:fldCharType="end"/>
            </w:r>
            <w:r w:rsidRPr="005F3CA4">
              <w:rPr>
                <w:rFonts w:eastAsia="Helvetica Neue" w:cs="Helvetica Neue"/>
                <w:color w:val="000000" w:themeColor="text1"/>
                <w:sz w:val="20"/>
              </w:rPr>
              <w:t xml:space="preserve">. But, as our modelling shows, downstream Scope 3 emissions from the </w:t>
            </w:r>
            <w:r>
              <w:rPr>
                <w:rFonts w:eastAsia="Helvetica Neue" w:cs="Helvetica Neue"/>
                <w:color w:val="000000" w:themeColor="text1"/>
                <w:sz w:val="20"/>
              </w:rPr>
              <w:t>effects of</w:t>
            </w:r>
            <w:r w:rsidRPr="005F3CA4">
              <w:rPr>
                <w:rFonts w:eastAsia="Helvetica Neue" w:cs="Helvetica Neue"/>
                <w:color w:val="000000" w:themeColor="text1"/>
                <w:sz w:val="20"/>
              </w:rPr>
              <w:t xml:space="preserve"> digital applications on energy-related activity are much more important. These indirect impacts are much harder to assess as deployment contexts vary, system boundaries are less clearly defined, and data on user behaviour are not systematically collected </w:t>
            </w:r>
            <w:r w:rsidRPr="005F3CA4">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{"citationID":"riR6bvWh","properties":{"formattedCitation":"\\super 5\\nosupersub{}","plainCitation":"5","noteIndex":0},"citationItems":[{"id":576,"uris":["http://zotero.org/users/16679130/items/6I2BGALK"],"itemData":{"id":576,"type":"article-journal","abstract":"Various studies have assessed the GHG footprint of the ICT sector (ICT end-user devices, data centers, telecommunication networks) and the potential of ICT use cases (e.g. smart homes, ride sharing) to avoid GHG emissions in other sectors (e.g buildings, transport). We systematically compare relevant studies from the last ten years and discuss the robustness of results in view of the methods used. The results show that the ICT sector causes between 1.5% and 4% of global GHG emissions, a major share of which is due to the production of ICT end-user devices. Estimating GHG impacts of device production is the main source of uncertainty. Results of studies on ICT's GHG abatement potential are less robust, in particular due to uncertainty with regard to use case impacts in a real-life setting, types and sizes of economy-wide rebound effects. Thus the existing studies do not provide a reliable basis for estimating the actually realized GHG abatements. To improve the assessment results and provide a more reliable basis for deriving GHG reduction measures future research should empirically investigate which solution design and accompanying policies are suitable to exploit GHG reduction potentials in real-life. Results of these studies would also increase the robustness of assessments of GHG abatement potentials.","container-title":"Environmental Impact Assessment Review","DOI":"10.1016/j.eiar.2022.107033","ISSN":"0195-9255","page":"107033","title":"A review of assessments of the greenhouse gas footprint and abatement potential of information and communication technology","volume":"99","author":[{"family":"Bieser","given":"Jan C. T."},{"family":"Hintemann","given":"Ralph"},{"family":"Hilty","given":"Lorenz M."},{"family":"Beucker","given":"Severin"}],"issued":{"date-parts":[["2023",3]]}}}],"schema":"https://github.com/citation-style-language/schema/raw/master/csl-citation.json"} </w:instrText>
            </w:r>
            <w:r w:rsidRPr="005F3CA4">
              <w:rPr>
                <w:rFonts w:eastAsia="Helvetica Neue" w:cs="Helvetica Neue"/>
                <w:color w:val="000000" w:themeColor="text1"/>
                <w:sz w:val="20"/>
              </w:rPr>
              <w:fldChar w:fldCharType="separate"/>
            </w:r>
            <w:r w:rsidR="00964797" w:rsidRPr="00964797">
              <w:rPr>
                <w:color w:val="000000"/>
                <w:sz w:val="20"/>
                <w:szCs w:val="24"/>
                <w:vertAlign w:val="superscript"/>
              </w:rPr>
              <w:t>5</w:t>
            </w:r>
            <w:r w:rsidRPr="005F3CA4">
              <w:rPr>
                <w:rFonts w:eastAsia="Helvetica Neue" w:cs="Helvetica Neue"/>
                <w:color w:val="000000" w:themeColor="text1"/>
                <w:sz w:val="20"/>
              </w:rPr>
              <w:fldChar w:fldCharType="end"/>
            </w:r>
            <w:r w:rsidRPr="005F3CA4">
              <w:rPr>
                <w:rFonts w:eastAsia="Helvetica Neue" w:cs="Helvetica Neue"/>
                <w:color w:val="000000" w:themeColor="text1"/>
                <w:sz w:val="20"/>
              </w:rPr>
              <w:t>.</w:t>
            </w:r>
            <w:r w:rsidR="004C3F5E">
              <w:rPr>
                <w:rFonts w:eastAsia="Helvetica Neue" w:cs="Helvetica Neue"/>
                <w:color w:val="000000" w:themeColor="text1"/>
                <w:sz w:val="20"/>
              </w:rPr>
              <w:t xml:space="preserve"> </w:t>
            </w:r>
            <w:r w:rsidR="00180542" w:rsidRPr="00330C27">
              <w:rPr>
                <w:rFonts w:eastAsia="Helvetica Neue" w:cs="Helvetica Neue"/>
                <w:color w:val="000000" w:themeColor="text1"/>
                <w:sz w:val="20"/>
              </w:rPr>
              <w:t xml:space="preserve">Recent efforts by ITU to standardise </w:t>
            </w:r>
            <w:r w:rsidR="004C3F5E">
              <w:rPr>
                <w:rFonts w:eastAsia="Helvetica Neue" w:cs="Helvetica Neue"/>
                <w:color w:val="000000" w:themeColor="text1"/>
                <w:sz w:val="20"/>
              </w:rPr>
              <w:t xml:space="preserve">indirect </w:t>
            </w:r>
            <w:r w:rsidR="00180542" w:rsidRPr="00330C27">
              <w:rPr>
                <w:rFonts w:eastAsia="Helvetica Neue" w:cs="Helvetica Neue"/>
                <w:color w:val="000000" w:themeColor="text1"/>
                <w:sz w:val="20"/>
              </w:rPr>
              <w:t xml:space="preserve">impact assessment protocols are a step in the right direction but need to be mainstreamed in digitally-enabled business models and reporting </w:t>
            </w:r>
            <w:r w:rsidR="00180542" w:rsidRPr="00330C27">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{"citationID":"oisQyjlp","properties":{"formattedCitation":"\\super 6,7\\nosupersub{}","plainCitation":"6,7","noteIndex":0},"citationItems":[{"id":839,"uris":["http://zotero.org/users/16679130/items/7Y9F3Q2Y"],"itemData":{"id":839,"type":"report","abstract":"Summary\nEnabling the Net Zero transition: Assessing how the use of information and communication technology solutions impact greenhouse gas emissions of other sectors\nRecommendation ITU-T L.1480 provides a methodology for assessing how the use of information and communication technology (ICT) solutions impacts greenhouse gas (GHG) emissions of other sectors. More specifically, the methodology provides guidance on the assessment of the use of ICT solutions covering the net second order effect (i.e., the resulting second order effect after accounting for emissions due to the first order effects of the ICT solution), and the higher order effects such as rebound. By providing a structured methodological approach, it aims to improve the consistency, transparency and comprehensiveness of assessments of how the use of ICT solutions impacts GHG emissions over time.\nGuidance is provided to assess the net second order effect and higher order effects of the following cases:\n– –\n–\nICT solution(s) implemented in a specific context by the user of the ICT solution(s).\nICT solution(s) implemented at different scales, including at an organizational level (whether private or public organizations), at a city level, at a country level or at worldwide level.\nICT solution(s) seen from the perspective of an ICT organization contributing to the ICT solution(s). This includes:\n• • •\nAssessment of the aggregated effect of all ICT solutions provided by an ICT organization across all its customers;\nAssessment of the aggregated effect of one or several ICT solutions provided by an ICT organization across some of its customers;\nAssessment of the effect of one or more specific ICT solutions implemented in an actual context for a specific customer.","publisher":"International Telecommunication Union","publisher-place":"Geneva, Switzerland","title":"Enabling the Net Zero transition: Assessing how the use of information and communication technology solutions impact greenhouse gas emissions of other sectors. Recommendation ITU-T L.1480 (12/2022).","author":[{"family":"ITU","given":""}],"issued":{"date-parts":[["2022"]]}}},{"id":12330,"uris":["http://zotero.org/users/16679130/items/PN78MFXF"],"itemData":{"id":12330,"type":"article-journal","abstract":"Digital technologies are profoundly influencing all economic sectors and have potential to contribute towards a sustainable society. At the same time, the production, use and waste management of these technologies, which lie at the core of the economic sector of information and communication technology (ICT), are causing environmental impacts. Previous studies have applied life cycle assessment (LCA) methodology and life cycle thinking to assess current and future direct energy use and climate impact of the global ICT sector. These studies frequently arrive at contradictory results regarding future impacts. Calculation approaches applied differ significantly, the consideration of key aspects varies, fast-growing digital technologies are seldom included in future scenarios and uncertainty analyses are typically limited. The aim of this study is to develop guidelines for assessments of the current and future direct energy use and climate impact of the global ICT sector based on LCA methodology and life cycle thinking. The guidelines have been developed based on literature reviews, the authors’ aggregated and broad expertise in this topic and in workshops. Key aspects in influencing the current and future direct energy use and climate impact of the global ICT sector, covering its three subdomains of end-user devices, networks and data centres as well as all life cycle stages, are identified. These include, for example, the number of end-user devices, number of subscriptions and the annual electricity use of networks and data centres. The guidelines address challenges for practitioners and can contribute towards more transparent and coherent future studies.","container-title":"Renewable and Sustainable Energy Reviews","DOI":"10.1016/j.rser.2025.116176","ISSN":"1364-0321","journalAbbreviation":"Renewable and Sustainable Energy Reviews","page":"116176","title":"Guidelines for assessments of the global information and communication technology sector's direct energy use and climate impact: Key aspects and future scenarios","volume":"226","author":[{"family":"Furberg","given":"Anna"},{"family":"Azizi","given":"Shoaib"},{"family":"Bieser","given":"Jan"},{"family":"Bol","given":"David"},{"family":"Coroamă","given":"Vlad"},{"family":"Eriksson","given":"Elina"},{"family":"Fuso-Nerini","given":"Francesco"},{"family":"Golard","given":"Louis"},{"family":"Höjer","given":"Mattias"},{"family":"Kamiya","given":"George"},{"family":"Lundén","given":"Dag"},{"family":"Lövehagen","given":"Nina"},{"family":"Malmodin","given":"Jens"},{"family":"Schien","given":"Daniel"},{"family":"Finnveden","given":"Göran"}],"issued":{"date-parts":[["2026",1,1]]}}}],"schema":"https://github.com/citation-style-language/schema/raw/master/csl-citation.json"} </w:instrText>
            </w:r>
            <w:r w:rsidR="00180542" w:rsidRPr="00330C27">
              <w:rPr>
                <w:rFonts w:eastAsia="Helvetica Neue" w:cs="Helvetica Neue"/>
                <w:color w:val="000000" w:themeColor="text1"/>
                <w:sz w:val="20"/>
              </w:rPr>
              <w:fldChar w:fldCharType="separate"/>
            </w:r>
            <w:r w:rsidR="00964797" w:rsidRPr="00964797">
              <w:rPr>
                <w:color w:val="000000"/>
                <w:sz w:val="20"/>
                <w:szCs w:val="24"/>
                <w:vertAlign w:val="superscript"/>
              </w:rPr>
              <w:t>6,7</w:t>
            </w:r>
            <w:r w:rsidR="00180542" w:rsidRPr="00330C27">
              <w:rPr>
                <w:rFonts w:eastAsia="Helvetica Neue" w:cs="Helvetica Neue"/>
                <w:color w:val="000000" w:themeColor="text1"/>
                <w:sz w:val="20"/>
              </w:rPr>
              <w:fldChar w:fldCharType="end"/>
            </w:r>
            <w:r w:rsidR="00180542" w:rsidRPr="00330C27">
              <w:rPr>
                <w:rFonts w:eastAsia="Helvetica Neue" w:cs="Helvetica Neue"/>
                <w:color w:val="000000" w:themeColor="text1"/>
                <w:sz w:val="20"/>
              </w:rPr>
              <w:t xml:space="preserve">. </w:t>
            </w:r>
            <w:r w:rsidR="00180542" w:rsidRPr="00330C27">
              <w:rPr>
                <w:rFonts w:eastAsia="Helvetica Neue" w:cs="Helvetica Neue"/>
                <w:bCs/>
                <w:color w:val="000000" w:themeColor="text1"/>
                <w:sz w:val="20"/>
              </w:rPr>
              <w:t xml:space="preserve">It is particularly important that rebound and induced demand from digital applications are identified, estimated, and </w:t>
            </w:r>
            <w:r w:rsidR="00836CCC">
              <w:rPr>
                <w:rFonts w:eastAsia="Helvetica Neue" w:cs="Helvetica Neue"/>
                <w:bCs/>
                <w:color w:val="000000" w:themeColor="text1"/>
                <w:sz w:val="20"/>
              </w:rPr>
              <w:t>included</w:t>
            </w:r>
            <w:r w:rsidR="00180542" w:rsidRPr="00330C27">
              <w:rPr>
                <w:rFonts w:eastAsia="Helvetica Neue" w:cs="Helvetica Neue"/>
                <w:bCs/>
                <w:color w:val="000000" w:themeColor="text1"/>
                <w:sz w:val="20"/>
              </w:rPr>
              <w:t xml:space="preserve"> </w:t>
            </w:r>
            <w:r w:rsidR="00180542" w:rsidRPr="00330C27">
              <w:rPr>
                <w:rFonts w:eastAsia="Helvetica Neue" w:cs="Helvetica Neue"/>
                <w:bCs/>
                <w:color w:val="000000" w:themeColor="text1"/>
                <w:sz w:val="20"/>
              </w:rPr>
              <w:fldChar w:fldCharType="begin"/>
            </w:r>
            <w:r w:rsidR="00964797">
              <w:rPr>
                <w:rFonts w:eastAsia="Helvetica Neue" w:cs="Helvetica Neue"/>
                <w:bCs/>
                <w:color w:val="000000" w:themeColor="text1"/>
                <w:sz w:val="20"/>
              </w:rPr>
              <w:instrText xml:space="preserve"> ADDIN ZOTERO_ITEM CSL_CITATION {"citationID":"bBCq3r2e","properties":{"formattedCitation":"\\super 8\\nosupersub{}","plainCitation":"8","noteIndex":0},"citationItems":[{"id":11997,"uris":["http://zotero.org/users/16679130/items/8IDMXQDD"],"itemData":{"id":11997,"type":"article","abstract":"As the climate crisis deepens, artificial intelligence (AI) has emerged as a contested force: some champion its potential to advance renewable energy, materials discovery, and large-scale emissions monitoring, while others underscore its growing carbon footprint, water consumption, and material resource demands. Much of this debate has concentrated on direct impact -- energy and water usage in data centers, e-waste from frequent hardware upgrades -- without addressing the significant indirect effects. This paper examines how the problem of Jevons' Paradox applies to AI, whereby efficiency gains may paradoxically spur increased consumption. We argue that understanding these second-order impacts requires an interdisciplinary approach, combining lifecycle assessments with socio-economic analyses. Rebound effects undermine the assumption that improved technical efficiency alone will ensure net reductions in environmental harm. Instead, the trajectory of AI's impact also hinges on business incentives and market logics, governance and policymaking, and broader social and cultural norms. We contend that a narrow focus on direct emissions misrepresents AI's true climate footprint, limiting the scope for meaningful interventions. We conclude with recommendations that address rebound effects and challenge the market-driven imperatives fueling uncontrolled AI growth. By broadening the analysis to include both direct and indirect consequences, we aim to inform a more comprehensive, evidence-based dialogue on AI's role in the climate crisis.","DOI":"10.48550/arXiv.2501.16548","note":"arXiv:2501.16548 [cs]","number":"arXiv:2501.16548","publisher":"arXiv","source":"arXiv.org","title":"From Efficiency Gains to Rebound Effects: The Problem of Jevons' Paradox in AI's Polarized Environmental Debate","title-short":"From Efficiency Gains to Rebound Effects","URL":"http://arxiv.org/abs/2501.16548","author":[{"family":"Luccioni","given":"Alexandra Sasha"},{"family":"Strubell","given":"Emma"},{"family":"Crawford","given":"Kate"}],"accessed":{"date-parts":[["2025",3,26]]},"issued":{"date-parts":[["2025",1,27]]}}}],"schema":"https://github.com/citation-style-language/schema/raw/master/csl-citation.json"} </w:instrText>
            </w:r>
            <w:r w:rsidR="00180542" w:rsidRPr="00330C27">
              <w:rPr>
                <w:rFonts w:eastAsia="Helvetica Neue" w:cs="Helvetica Neue"/>
                <w:bCs/>
                <w:color w:val="000000" w:themeColor="text1"/>
                <w:sz w:val="20"/>
              </w:rPr>
              <w:fldChar w:fldCharType="separate"/>
            </w:r>
            <w:r w:rsidR="00964797" w:rsidRPr="00964797">
              <w:rPr>
                <w:color w:val="000000"/>
                <w:sz w:val="20"/>
                <w:szCs w:val="24"/>
                <w:vertAlign w:val="superscript"/>
              </w:rPr>
              <w:t>8</w:t>
            </w:r>
            <w:r w:rsidR="00180542" w:rsidRPr="00330C27">
              <w:rPr>
                <w:rFonts w:eastAsia="Helvetica Neue" w:cs="Helvetica Neue"/>
                <w:bCs/>
                <w:color w:val="000000" w:themeColor="text1"/>
                <w:sz w:val="20"/>
              </w:rPr>
              <w:fldChar w:fldCharType="end"/>
            </w:r>
            <w:r w:rsidR="00180542" w:rsidRPr="00330C27">
              <w:rPr>
                <w:rFonts w:eastAsia="Helvetica Neue" w:cs="Helvetica Neue"/>
                <w:bCs/>
                <w:color w:val="000000" w:themeColor="text1"/>
                <w:sz w:val="20"/>
              </w:rPr>
              <w:t xml:space="preserve">. </w:t>
            </w:r>
            <w:r w:rsidR="00180542" w:rsidRPr="00330C27">
              <w:rPr>
                <w:rFonts w:eastAsia="Helvetica Neue" w:cs="Helvetica Neue"/>
                <w:color w:val="000000" w:themeColor="text1"/>
                <w:sz w:val="20"/>
              </w:rPr>
              <w:t xml:space="preserve">This is methodologically challenging. </w:t>
            </w:r>
            <w:r w:rsidR="003257EF">
              <w:rPr>
                <w:rFonts w:eastAsia="Helvetica Neue" w:cs="Helvetica Neue"/>
                <w:color w:val="000000" w:themeColor="text1"/>
                <w:sz w:val="20"/>
              </w:rPr>
              <w:t>C</w:t>
            </w:r>
            <w:r w:rsidR="00180542" w:rsidRPr="00330C27">
              <w:rPr>
                <w:rFonts w:eastAsia="Helvetica Neue" w:cs="Helvetica Neue"/>
                <w:color w:val="000000" w:themeColor="text1"/>
                <w:sz w:val="20"/>
              </w:rPr>
              <w:t>omprehensive scope 1-3 emissions accounting enables targeting of high-impact digital applications (like shared mobility platforms), differentiating in favour of best-in-class providers, and transferring ‘what works’ across deployment contexts. Making progress will be hard and needs both carrot (e.g., preferential green financing) and stick (e.g., legal obligations).</w:t>
            </w:r>
          </w:p>
        </w:tc>
      </w:tr>
      <w:tr w:rsidR="0012793A" w:rsidRPr="00330C27" w14:paraId="610ADCDD" w14:textId="77777777" w:rsidTr="0083123F">
        <w:tc>
          <w:tcPr>
            <w:tcW w:w="1457" w:type="dxa"/>
          </w:tcPr>
          <w:p w14:paraId="0036D20B" w14:textId="1E2803A8" w:rsidR="00180542" w:rsidRPr="00806463" w:rsidRDefault="00A72F51" w:rsidP="0083123F">
            <w:pPr>
              <w:rPr>
                <w:rFonts w:eastAsia="Helvetica Neue" w:cs="Helvetica Neue"/>
                <w:b/>
                <w:bCs/>
                <w:i/>
                <w:iCs/>
                <w:color w:val="000000" w:themeColor="text1"/>
                <w:sz w:val="20"/>
              </w:rPr>
            </w:pPr>
            <w:r>
              <w:rPr>
                <w:rFonts w:eastAsia="Helvetica Neue" w:cs="Helvetica Neue"/>
                <w:b/>
                <w:bCs/>
                <w:i/>
                <w:iCs/>
                <w:color w:val="000000" w:themeColor="text1"/>
                <w:sz w:val="20"/>
              </w:rPr>
              <w:t>Building better evidence</w:t>
            </w:r>
          </w:p>
        </w:tc>
        <w:tc>
          <w:tcPr>
            <w:tcW w:w="12572" w:type="dxa"/>
          </w:tcPr>
          <w:p w14:paraId="522498E8" w14:textId="055C39E0" w:rsidR="00180542" w:rsidRPr="00330C27" w:rsidRDefault="00180542" w:rsidP="0083123F">
            <w:pPr>
              <w:rPr>
                <w:rFonts w:eastAsia="Helvetica Neue" w:cs="Helvetica Neue"/>
                <w:bCs/>
                <w:color w:val="000000" w:themeColor="text1"/>
                <w:sz w:val="20"/>
              </w:rPr>
            </w:pPr>
            <w:r w:rsidRPr="00330C27">
              <w:rPr>
                <w:rFonts w:eastAsia="Helvetica Neue" w:cs="Helvetica Neue"/>
                <w:bCs/>
                <w:color w:val="000000" w:themeColor="text1"/>
                <w:sz w:val="20"/>
              </w:rPr>
              <w:t xml:space="preserve">The research community can contribute by building evidence and </w:t>
            </w:r>
            <w:r>
              <w:rPr>
                <w:rFonts w:eastAsia="Helvetica Neue" w:cs="Helvetica Neue"/>
                <w:bCs/>
                <w:color w:val="000000" w:themeColor="text1"/>
                <w:sz w:val="20"/>
              </w:rPr>
              <w:t xml:space="preserve">using it to </w:t>
            </w:r>
            <w:r w:rsidRPr="00330C27">
              <w:rPr>
                <w:rFonts w:eastAsia="Helvetica Neue" w:cs="Helvetica Neue"/>
                <w:bCs/>
                <w:color w:val="000000" w:themeColor="text1"/>
                <w:sz w:val="20"/>
              </w:rPr>
              <w:t>improv</w:t>
            </w:r>
            <w:r>
              <w:rPr>
                <w:rFonts w:eastAsia="Helvetica Neue" w:cs="Helvetica Neue"/>
                <w:bCs/>
                <w:color w:val="000000" w:themeColor="text1"/>
                <w:sz w:val="20"/>
              </w:rPr>
              <w:t>e</w:t>
            </w:r>
            <w:r w:rsidRPr="00330C27">
              <w:rPr>
                <w:rFonts w:eastAsia="Helvetica Neue" w:cs="Helvetica Neue"/>
                <w:bCs/>
                <w:color w:val="000000" w:themeColor="text1"/>
                <w:sz w:val="20"/>
              </w:rPr>
              <w:t xml:space="preserve"> modelling. A</w:t>
            </w:r>
            <w:r w:rsidRPr="00330C27">
              <w:rPr>
                <w:rFonts w:eastAsia="Helvetica Neue" w:cs="Helvetica Neue"/>
                <w:color w:val="000000" w:themeColor="text1"/>
                <w:sz w:val="20"/>
              </w:rPr>
              <w:t xml:space="preserve">n up-to-date and expanding evidence base </w:t>
            </w:r>
            <w:r w:rsidR="00BB7876">
              <w:rPr>
                <w:rFonts w:eastAsia="Helvetica Neue" w:cs="Helvetica Neue"/>
                <w:color w:val="000000" w:themeColor="text1"/>
                <w:sz w:val="20"/>
              </w:rPr>
              <w:t xml:space="preserve">is needed </w:t>
            </w:r>
            <w:r w:rsidRPr="00330C27">
              <w:rPr>
                <w:rFonts w:eastAsia="Helvetica Neue" w:cs="Helvetica Neue"/>
                <w:color w:val="000000" w:themeColor="text1"/>
                <w:sz w:val="20"/>
              </w:rPr>
              <w:t>on digital application impacts in different sectors and geographies. Openness and transparency in structured databases are important enablers</w:t>
            </w:r>
            <w:r w:rsidR="00BB7876">
              <w:rPr>
                <w:rFonts w:eastAsia="Helvetica Neue" w:cs="Helvetica Neue"/>
                <w:color w:val="000000" w:themeColor="text1"/>
                <w:sz w:val="20"/>
              </w:rPr>
              <w:t xml:space="preserve"> of confidence and uptake</w:t>
            </w:r>
            <w:r w:rsidRPr="00330C27">
              <w:rPr>
                <w:rFonts w:eastAsia="Helvetica Neue" w:cs="Helvetica Neue"/>
                <w:color w:val="000000" w:themeColor="text1"/>
                <w:sz w:val="20"/>
              </w:rPr>
              <w:t xml:space="preserve">. </w:t>
            </w:r>
            <w:r w:rsidRPr="00330C27">
              <w:rPr>
                <w:rFonts w:eastAsia="Helvetica Neue" w:cs="Helvetica Neue"/>
                <w:sz w:val="20"/>
              </w:rPr>
              <w:t>The IEA’s Energy and AI Observatory</w:t>
            </w:r>
            <w:r w:rsidRPr="00330C27">
              <w:rPr>
                <w:rFonts w:eastAsia="Helvetica Neue" w:cs="Helvetica Neue"/>
                <w:color w:val="000000" w:themeColor="text1"/>
                <w:sz w:val="20"/>
              </w:rPr>
              <w:t xml:space="preserve"> </w:t>
            </w:r>
            <w:r w:rsidRPr="00330C27">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{"citationID":"agishgctht","properties":{"formattedCitation":"\\super 9\\nosupersub{}","plainCitation":"9","noteIndex":0},"citationItems":[{"id":12362,"uris":["http://zotero.org/users/16679130/items/6UJKM8CV"],"itemData":{"id":12362,"type":"dataset","title":"Energy and AI Observatory","URL":"https://www.iea.org/data-and-statistics/data-tools/energy-and-ai-observatory","author":[{"literal":"IEA"}],"issued":{"date-parts":[["2025"]]}}}],"schema":"https://github.com/citation-style-language/schema/raw/master/csl-citation.json"} </w:instrText>
            </w:r>
            <w:r w:rsidRPr="00330C27">
              <w:rPr>
                <w:rFonts w:eastAsia="Helvetica Neue" w:cs="Helvetica Neue"/>
                <w:color w:val="000000" w:themeColor="text1"/>
                <w:sz w:val="20"/>
              </w:rPr>
              <w:fldChar w:fldCharType="separate"/>
            </w:r>
            <w:r w:rsidR="00964797" w:rsidRPr="00964797">
              <w:rPr>
                <w:color w:val="000000"/>
                <w:sz w:val="20"/>
                <w:szCs w:val="24"/>
                <w:vertAlign w:val="superscript"/>
              </w:rPr>
              <w:t>9</w:t>
            </w:r>
            <w:r w:rsidRPr="00330C27">
              <w:rPr>
                <w:rFonts w:eastAsia="Helvetica Neue" w:cs="Helvetica Neue"/>
                <w:color w:val="000000" w:themeColor="text1"/>
                <w:sz w:val="20"/>
              </w:rPr>
              <w:fldChar w:fldCharType="end"/>
            </w:r>
            <w:r w:rsidRPr="00330C27">
              <w:rPr>
                <w:rFonts w:eastAsia="Helvetica Neue" w:cs="Helvetica Neue"/>
                <w:color w:val="000000" w:themeColor="text1"/>
                <w:sz w:val="20"/>
              </w:rPr>
              <w:t xml:space="preserve"> </w:t>
            </w:r>
            <w:r w:rsidRPr="00330C27">
              <w:rPr>
                <w:rFonts w:eastAsia="Helvetica Neue" w:cs="Helvetica Neue"/>
                <w:sz w:val="20"/>
              </w:rPr>
              <w:t xml:space="preserve">collects data on energy or emission impacts of AI applications but in its early stage is biased towards industry examples with limited acknowledgement of induced demand let alone </w:t>
            </w:r>
            <w:r w:rsidRPr="00330C27">
              <w:rPr>
                <w:rFonts w:eastAsia="Helvetica Neue" w:cs="Helvetica Neue"/>
                <w:color w:val="000000" w:themeColor="text1"/>
                <w:sz w:val="20"/>
              </w:rPr>
              <w:t xml:space="preserve">attempts to quantify it. National databases </w:t>
            </w:r>
            <w:r w:rsidR="00C87656">
              <w:rPr>
                <w:rFonts w:eastAsia="Helvetica Neue" w:cs="Helvetica Neue"/>
                <w:color w:val="000000" w:themeColor="text1"/>
                <w:sz w:val="20"/>
              </w:rPr>
              <w:t>tend to be</w:t>
            </w:r>
            <w:r w:rsidRPr="00330C27">
              <w:rPr>
                <w:rFonts w:eastAsia="Helvetica Neue" w:cs="Helvetica Neue"/>
                <w:color w:val="000000" w:themeColor="text1"/>
                <w:sz w:val="20"/>
              </w:rPr>
              <w:t xml:space="preserve"> similarly one-sided </w:t>
            </w:r>
            <w:r w:rsidRPr="00330C27">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{"citationID":"z8luOhdR","properties":{"formattedCitation":"\\super 10,11\\nosupersub{}","plainCitation":"10,11","noteIndex":0},"citationItems":[{"id":12331,"uris":["http://zotero.org/users/16679130/items/QLVR6V7A"],"itemData":{"id":12331,"type":"report","abstract":"AI has been constantly in the headlines this year. Jaw-droppingly large investments in AI data centres underpinned US economic growth. Securing enough energy for those data centres became a major concern and tech companies started funding nuclear power plants and grid reinforcement. Businesses around the world started integrating generative AI into their software and processes, with mixed results. Debates about the future of work intensified, with people either worried or excited about AI’s potential to automate jobs. Even national carbon budgets started including assumptions that AI could save millions of tonnes of CO2 emissions. But amidst that torrent of news and hype it can be hard to find the answer to an important question: how effectively is AI being applied to key societal challenges like decarbonisation?\n\nThis annual report answers that question with a review of how UK applications of AI for decarbonisation have matured over the last year. This ranges from applications that are reaching scale and meaningfully contributing to national decarbonisation, through to earlier stage research that has made notable progress. There have been tangible steps forward in some areas this year. AI-powered EV charging is already playing a significant role in managing our low carbon electricity grid. Heat pump installations are quicker and cheaper because of AI. Steel furnaces and cement plants are reducing emissions through AI-optimised operations. But in other areas progress has been slow or hindered by generative AI hype. Lots more work is required to fully realise the benefits of AI for decarbonisation.","publisher":"The Alan Turing Institute","publisher-place":"London, UK","title":"State of AI for Decarbonisation 2025","URL":"https://www.turing.ac.uk/research/research-projects/advice","author":[{"literal":"ADViCE"}]}},{"id":12346,"uris":["http://zotero.org/users/16679130/items/A2IW53DP"],"itemData":{"id":12346,"type":"report","publisher":"Agence de la transition écologique (ADEME)","publisher-place":"Paris, France","title":"Environmental assessment of the direct and indirect effects of digital technology on use cases (IT4Green)","author":[{"literal":"ADEME"}],"issued":{"date-parts":[["2025"]]}}}],"schema":"https://github.com/citation-style-language/schema/raw/master/csl-citation.json"} </w:instrText>
            </w:r>
            <w:r w:rsidRPr="00330C27">
              <w:rPr>
                <w:rFonts w:eastAsia="Helvetica Neue" w:cs="Helvetica Neue"/>
                <w:color w:val="000000" w:themeColor="text1"/>
                <w:sz w:val="20"/>
              </w:rPr>
              <w:fldChar w:fldCharType="separate"/>
            </w:r>
            <w:r w:rsidR="00964797" w:rsidRPr="00964797">
              <w:rPr>
                <w:color w:val="000000"/>
                <w:sz w:val="20"/>
                <w:szCs w:val="24"/>
                <w:vertAlign w:val="superscript"/>
              </w:rPr>
              <w:t>10,11</w:t>
            </w:r>
            <w:r w:rsidRPr="00330C27">
              <w:rPr>
                <w:rFonts w:eastAsia="Helvetica Neue" w:cs="Helvetica Neue"/>
                <w:color w:val="000000" w:themeColor="text1"/>
                <w:sz w:val="20"/>
              </w:rPr>
              <w:fldChar w:fldCharType="end"/>
            </w:r>
            <w:r w:rsidRPr="00330C27">
              <w:rPr>
                <w:rFonts w:eastAsia="Helvetica Neue" w:cs="Helvetica Neue"/>
                <w:color w:val="000000" w:themeColor="text1"/>
                <w:sz w:val="20"/>
              </w:rPr>
              <w:t>.</w:t>
            </w:r>
          </w:p>
        </w:tc>
      </w:tr>
      <w:tr w:rsidR="0012793A" w:rsidRPr="00330C27" w14:paraId="3F7E5505" w14:textId="77777777" w:rsidTr="0083123F">
        <w:tc>
          <w:tcPr>
            <w:tcW w:w="1457" w:type="dxa"/>
          </w:tcPr>
          <w:p w14:paraId="78C7F7AD" w14:textId="25C393E4" w:rsidR="00180542" w:rsidRPr="00806463" w:rsidRDefault="00C87656" w:rsidP="0083123F">
            <w:pPr>
              <w:rPr>
                <w:rFonts w:eastAsia="Helvetica Neue" w:cs="Helvetica Neue"/>
                <w:b/>
                <w:bCs/>
                <w:i/>
                <w:iCs/>
                <w:color w:val="000000" w:themeColor="text1"/>
                <w:sz w:val="20"/>
              </w:rPr>
            </w:pPr>
            <w:r>
              <w:rPr>
                <w:rFonts w:eastAsia="Helvetica Neue" w:cs="Helvetica Neue"/>
                <w:b/>
                <w:bCs/>
                <w:i/>
                <w:iCs/>
                <w:color w:val="000000" w:themeColor="text1"/>
                <w:sz w:val="20"/>
              </w:rPr>
              <w:lastRenderedPageBreak/>
              <w:t>Making digitalisation e</w:t>
            </w:r>
            <w:r w:rsidR="00180542" w:rsidRPr="00806463">
              <w:rPr>
                <w:rFonts w:eastAsia="Helvetica Neue" w:cs="Helvetica Neue"/>
                <w:b/>
                <w:bCs/>
                <w:i/>
                <w:iCs/>
                <w:color w:val="000000" w:themeColor="text1"/>
                <w:sz w:val="20"/>
              </w:rPr>
              <w:t>xplicit</w:t>
            </w:r>
            <w:r>
              <w:rPr>
                <w:rFonts w:eastAsia="Helvetica Neue" w:cs="Helvetica Neue"/>
                <w:b/>
                <w:bCs/>
                <w:i/>
                <w:iCs/>
                <w:color w:val="000000" w:themeColor="text1"/>
                <w:sz w:val="20"/>
              </w:rPr>
              <w:t xml:space="preserve"> in</w:t>
            </w:r>
            <w:r w:rsidR="00180542" w:rsidRPr="00806463">
              <w:rPr>
                <w:rFonts w:eastAsia="Helvetica Neue" w:cs="Helvetica Neue"/>
                <w:b/>
                <w:bCs/>
                <w:i/>
                <w:iCs/>
                <w:color w:val="000000" w:themeColor="text1"/>
                <w:sz w:val="20"/>
              </w:rPr>
              <w:t xml:space="preserve"> modelling</w:t>
            </w:r>
          </w:p>
          <w:p w14:paraId="2A75AF8B" w14:textId="77777777" w:rsidR="00180542" w:rsidRPr="00806463" w:rsidRDefault="00180542" w:rsidP="0083123F">
            <w:pPr>
              <w:rPr>
                <w:rFonts w:eastAsia="Helvetica Neue" w:cs="Helvetica Neue"/>
                <w:b/>
                <w:bCs/>
                <w:i/>
                <w:iCs/>
                <w:color w:val="000000" w:themeColor="text1"/>
                <w:sz w:val="20"/>
              </w:rPr>
            </w:pPr>
          </w:p>
        </w:tc>
        <w:tc>
          <w:tcPr>
            <w:tcW w:w="12572" w:type="dxa"/>
          </w:tcPr>
          <w:p w14:paraId="7FDC3F89" w14:textId="0C7AB4DB" w:rsidR="00180542" w:rsidRPr="00330C27" w:rsidRDefault="00180542" w:rsidP="0083123F">
            <w:pPr>
              <w:rPr>
                <w:rFonts w:eastAsia="Helvetica Neue" w:cs="Helvetica Neue"/>
                <w:color w:val="000000" w:themeColor="text1"/>
                <w:sz w:val="20"/>
              </w:rPr>
            </w:pPr>
            <w:r>
              <w:rPr>
                <w:rFonts w:eastAsia="Helvetica Neue" w:cs="Helvetica Neue"/>
                <w:color w:val="000000" w:themeColor="text1"/>
                <w:sz w:val="20"/>
              </w:rPr>
              <w:t>Drawing on improved evidence, g</w:t>
            </w:r>
            <w:r w:rsidRPr="00330C27">
              <w:rPr>
                <w:rFonts w:eastAsia="Helvetica Neue" w:cs="Helvetica Neue"/>
                <w:color w:val="000000" w:themeColor="text1"/>
                <w:sz w:val="20"/>
              </w:rPr>
              <w:t xml:space="preserve">lobal climate futures analysis should explicitly represent digital transformation. This includes the quantitative scenario modelling used to inform climate targets, pathways, and policies, as well as storylines of future global development </w:t>
            </w:r>
            <w:r w:rsidRPr="00330C27">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{"citationID":"IpVNbKfQ","properties":{"formattedCitation":"\\super 12,13\\nosupersub{}","plainCitation":"12,13","noteIndex":0},"citationItems":[{"id":231,"uris":["http://zotero.org/users/16679130/items/57HNV647"],"itemData":{"id":231,"type":"article-journal","abstract":"The development of artificial intelligence has likely reached an inflection point, with significant implications for how research needs to address emerging technologies and how they drive long-term socioeconomic development of importance for climate change scenarios.","container-title":"One Earth","DOI":"10.1016/j.oneear.2023.12.015","ISSN":"2590-3330","issue":"1","page":"18-22","title":"Chasing artificial intelligence in shared socioeconomic pathways","volume":"7","author":[{"family":"Carlsen","given":"Henrik"},{"family":"Nykvist","given":"Björn"},{"family":"Joshi","given":"Somya"},{"family":"Heintz","given":"Fredrik"}],"issued":{"date-parts":[["2024"]]}}},{"id":148,"uris":["http://zotero.org/users/16679130/items/7Q4V3BUS"],"itemData":{"id":148,"type":"article-journal","container-title":"Nature","DOI":"https://doi.org/10.1038/d41586-024-01137-x","page":"718-720","title":"Will AI accelerate or delay the race to net-zero emissions?","volume":"628","author":[{"family":"Luers","given":"Amy"},{"family":"Koomey","given":"Jonathan"},{"family":"Masanet","given":"Eric"},{"family":"Gaffney","given":"Owen"},{"family":"Creutzig","given":"Felix"},{"family":"Ferres","given":"Juan Lavista"},{"family":"Horvitz","given":"Eric"}],"issued":{"date-parts":[["2024"]]}}}],"schema":"https://github.com/citation-style-language/schema/raw/master/csl-citation.json"} </w:instrText>
            </w:r>
            <w:r w:rsidRPr="00330C27">
              <w:rPr>
                <w:rFonts w:eastAsia="Helvetica Neue" w:cs="Helvetica Neue"/>
                <w:color w:val="000000" w:themeColor="text1"/>
                <w:sz w:val="20"/>
              </w:rPr>
              <w:fldChar w:fldCharType="separate"/>
            </w:r>
            <w:r w:rsidR="00964797" w:rsidRPr="00964797">
              <w:rPr>
                <w:color w:val="000000"/>
                <w:sz w:val="20"/>
                <w:szCs w:val="24"/>
                <w:vertAlign w:val="superscript"/>
              </w:rPr>
              <w:t>12,13</w:t>
            </w:r>
            <w:r w:rsidRPr="00330C27">
              <w:rPr>
                <w:rFonts w:eastAsia="Helvetica Neue" w:cs="Helvetica Neue"/>
                <w:color w:val="000000" w:themeColor="text1"/>
                <w:sz w:val="20"/>
              </w:rPr>
              <w:fldChar w:fldCharType="end"/>
            </w:r>
            <w:r w:rsidRPr="00330C27">
              <w:rPr>
                <w:rFonts w:eastAsia="Helvetica Neue" w:cs="Helvetica Neue"/>
                <w:color w:val="000000" w:themeColor="text1"/>
                <w:sz w:val="20"/>
              </w:rPr>
              <w:t xml:space="preserve">. The ongoing process to evolve the SSP framework is an immediate opportunity (ICONICS, </w:t>
            </w:r>
            <w:hyperlink r:id="rId14" w:history="1">
              <w:r w:rsidRPr="00330C27">
                <w:rPr>
                  <w:rStyle w:val="Hyperlink"/>
                  <w:rFonts w:eastAsia="Helvetica Neue" w:cs="Helvetica Neue"/>
                  <w:color w:val="000000" w:themeColor="text1"/>
                  <w:sz w:val="20"/>
                </w:rPr>
                <w:t>https://sep.du.edu</w:t>
              </w:r>
            </w:hyperlink>
            <w:r w:rsidRPr="00330C27">
              <w:rPr>
                <w:rFonts w:eastAsia="Helvetica Neue" w:cs="Helvetica Neue"/>
                <w:color w:val="000000" w:themeColor="text1"/>
                <w:sz w:val="20"/>
              </w:rPr>
              <w:t>). Making the phenomenon explicit raises its salience, improves the usefulness of models as policy laboratories, and helps identify robust risk mitigation strategies. Predictive and user-friendly assessments of the impacts of different policy designs can help support policymakers in developing and implementing effective measures, which in turn need to be systematically monitored.</w:t>
            </w:r>
          </w:p>
        </w:tc>
      </w:tr>
      <w:tr w:rsidR="0012793A" w:rsidRPr="00330C27" w14:paraId="711D53F1" w14:textId="77777777" w:rsidTr="0083123F">
        <w:tc>
          <w:tcPr>
            <w:tcW w:w="1457" w:type="dxa"/>
          </w:tcPr>
          <w:p w14:paraId="6C906A05" w14:textId="0FDCAAD4" w:rsidR="00180542" w:rsidRPr="00806463" w:rsidRDefault="0012793A" w:rsidP="0083123F">
            <w:pPr>
              <w:rPr>
                <w:rFonts w:eastAsia="Helvetica Neue" w:cs="Helvetica Neue"/>
                <w:b/>
                <w:bCs/>
                <w:i/>
                <w:iCs/>
                <w:color w:val="000000" w:themeColor="text1"/>
                <w:sz w:val="20"/>
              </w:rPr>
            </w:pPr>
            <w:r>
              <w:rPr>
                <w:rFonts w:eastAsia="Helvetica Neue" w:cs="Helvetica Neue"/>
                <w:b/>
                <w:bCs/>
                <w:i/>
                <w:iCs/>
                <w:color w:val="000000" w:themeColor="text1"/>
                <w:sz w:val="20"/>
              </w:rPr>
              <w:t xml:space="preserve">Integrating systemic impacts into multi-level </w:t>
            </w:r>
            <w:r w:rsidR="00180542" w:rsidRPr="00966D5A">
              <w:rPr>
                <w:rFonts w:eastAsia="Helvetica Neue" w:cs="Helvetica Neue"/>
                <w:b/>
                <w:bCs/>
                <w:i/>
                <w:iCs/>
                <w:color w:val="000000" w:themeColor="text1"/>
                <w:sz w:val="20"/>
              </w:rPr>
              <w:t>assessments</w:t>
            </w:r>
          </w:p>
          <w:p w14:paraId="7B402D69" w14:textId="77777777" w:rsidR="00180542" w:rsidRPr="00806463" w:rsidRDefault="00180542" w:rsidP="0083123F">
            <w:pPr>
              <w:rPr>
                <w:rFonts w:eastAsia="Helvetica Neue" w:cs="Helvetica Neue"/>
                <w:b/>
                <w:bCs/>
                <w:i/>
                <w:iCs/>
                <w:color w:val="000000" w:themeColor="text1"/>
                <w:sz w:val="20"/>
                <w:highlight w:val="yellow"/>
              </w:rPr>
            </w:pPr>
          </w:p>
        </w:tc>
        <w:tc>
          <w:tcPr>
            <w:tcW w:w="12572" w:type="dxa"/>
          </w:tcPr>
          <w:p w14:paraId="681B0F0D" w14:textId="46BF9789" w:rsidR="00180542" w:rsidRPr="00330C27" w:rsidRDefault="00180542" w:rsidP="0083123F">
            <w:pPr>
              <w:rPr>
                <w:rFonts w:eastAsia="Helvetica Neue" w:cs="Helvetica Neue"/>
                <w:color w:val="000000" w:themeColor="text1"/>
                <w:sz w:val="20"/>
              </w:rPr>
            </w:pPr>
            <w:r>
              <w:rPr>
                <w:rFonts w:eastAsia="Helvetica Neue" w:cs="Helvetica Neue"/>
                <w:color w:val="000000" w:themeColor="text1"/>
                <w:sz w:val="20"/>
              </w:rPr>
              <w:t>C</w:t>
            </w:r>
            <w:r w:rsidRPr="00330C27">
              <w:rPr>
                <w:rFonts w:eastAsia="Helvetica Neue" w:cs="Helvetica Neue"/>
                <w:color w:val="000000" w:themeColor="text1"/>
                <w:sz w:val="20"/>
              </w:rPr>
              <w:t>omprehensive multi-level impact assessments are needed to integrate direct and indirect application-level effects into frameworks capturing systemic effects. This requires methodological innovation to bridge between lifecycle analysis</w:t>
            </w:r>
            <w:r w:rsidRPr="00330C27" w:rsidDel="00242A12">
              <w:rPr>
                <w:rFonts w:eastAsia="Helvetica Neue" w:cs="Helvetica Neue"/>
                <w:color w:val="000000" w:themeColor="text1"/>
                <w:sz w:val="20"/>
              </w:rPr>
              <w:t xml:space="preserve"> </w:t>
            </w:r>
            <w:r w:rsidRPr="00330C27">
              <w:rPr>
                <w:rFonts w:eastAsia="Helvetica Neue" w:cs="Helvetica Neue"/>
                <w:color w:val="000000" w:themeColor="text1"/>
                <w:sz w:val="20"/>
              </w:rPr>
              <w:t>and other detailed process-based methods on the one hand, and macroeconomic modelling and methods on the other. Several macroeconomic studies have projected AI productivity gains and impacts on GDP growth without estimating resulting CO</w:t>
            </w:r>
            <w:r w:rsidRPr="00330C27">
              <w:rPr>
                <w:rFonts w:eastAsia="Helvetica Neue" w:cs="Helvetica Neue"/>
                <w:color w:val="000000" w:themeColor="text1"/>
                <w:sz w:val="20"/>
                <w:vertAlign w:val="subscript"/>
              </w:rPr>
              <w:t>2</w:t>
            </w:r>
            <w:r w:rsidRPr="00330C27">
              <w:rPr>
                <w:rFonts w:eastAsia="Helvetica Neue" w:cs="Helvetica Neue"/>
                <w:color w:val="000000" w:themeColor="text1"/>
                <w:sz w:val="20"/>
              </w:rPr>
              <w:t xml:space="preserve"> emissions </w:t>
            </w:r>
            <w:r w:rsidRPr="00330C27">
              <w:rPr>
                <w:rFonts w:eastAsia="Helvetica Neue" w:cs="Helvetica Neue"/>
                <w:color w:val="000000" w:themeColor="text1"/>
                <w:sz w:val="20"/>
              </w:rPr>
              <w:fldChar w:fldCharType="begin"/>
            </w:r>
            <w:r w:rsidR="00964797">
              <w:rPr>
                <w:rFonts w:eastAsia="Helvetica Neue" w:cs="Helvetica Neue"/>
                <w:color w:val="000000" w:themeColor="text1"/>
                <w:sz w:val="20"/>
              </w:rPr>
              <w:instrText xml:space="preserve"> ADDIN ZOTERO_ITEM CSL_CITATION {"citationID":"ES7ynR9T","properties":{"formattedCitation":"\\super 14,15\\nosupersub{}","plainCitation":"14,15","noteIndex":0},"citationItems":[{"id":12298,"uris":["http://zotero.org/users/16679130/items/88ZXVHQM"],"itemData":{"id":12298,"type":"report","publisher":"International Monetary Fund","title":"Global Impact of AI: Mind the Gap","author":[{"family":"Cerutti","given":"Mr Eugenio M"},{"family":"Pascual","given":"Antonio I Garcia"},{"family":"Kido","given":"Yosuke"},{"family":"Li","given":"Longji"},{"family":"Melina","given":"Mr Giovanni"},{"family":"Tavares","given":"Ms Marina Mendes"},{"family":"Wingender","given":"Mr Philippe"}],"issued":{"date-parts":[["2025"]]}}},{"id":12295,"uris":["http://zotero.org/users/16679130/items/HZYZJVAE"],"itemData":{"id":12295,"type":"report","abstract":"For the economic recovery from the COVID-19crisis to be durableand resilient, a return to ‘business as usual’ and environmentally destructiveinvestment patterns and activities must be avoided.Unchecked, global environmental emergenciessuch as climate change and biodiversity loss could causesocial and economic damagesfar larger than those caused by COVID-19.To avoid this, economic recovery packagesshouldbe designed to “build back better”. This meansdoing more thangettingeconomies and livelihoods quickly back on their feet.Recovery policiesalso need to trigger investment and behavioural changes that will reduce the likelihood of future shocks and increase society’s resilience to them when they do occur. Central to this approach is a focus on well-being and inclusiveness. Other key dimensions for assessing whether recovery packages can “build back better” include alignment with long-term emission reduction goals, factoring in resilience to climate impacts, slowing biodiversity loss and increasing circularity of supply chains. In practice, well-designed recovery policies can cover several of these dimensions at once, such as catalysing the shift towards accessibility-based mobility systems, and investing in low-carbon and decentralised electricity systems. Building Back Better: A Sustainable, Resilient Recovery after COVID-19.","number":"OECD Artificial Intelligence Papers No. 29","publisher":"Organisation of Economic Cooperation and Development (OECD)","publisher-place":"Paris, France","title":"Miracle or Myth? Assessing the macroeconomic productivity gains from Artificial Intelligence","author":[{"literal":"OECD"}],"issued":{"date-parts":[["2025"]]}}}],"schema":"https://github.com/citation-style-language/schema/raw/master/csl-citation.json"} </w:instrText>
            </w:r>
            <w:r w:rsidRPr="00330C27">
              <w:rPr>
                <w:rFonts w:eastAsia="Helvetica Neue" w:cs="Helvetica Neue"/>
                <w:color w:val="000000" w:themeColor="text1"/>
                <w:sz w:val="20"/>
              </w:rPr>
              <w:fldChar w:fldCharType="separate"/>
            </w:r>
            <w:r w:rsidR="00964797" w:rsidRPr="00964797">
              <w:rPr>
                <w:color w:val="000000"/>
                <w:sz w:val="20"/>
                <w:szCs w:val="24"/>
                <w:vertAlign w:val="superscript"/>
              </w:rPr>
              <w:t>14,15</w:t>
            </w:r>
            <w:r w:rsidRPr="00330C27">
              <w:rPr>
                <w:rFonts w:eastAsia="Helvetica Neue" w:cs="Helvetica Neue"/>
                <w:color w:val="000000" w:themeColor="text1"/>
                <w:sz w:val="20"/>
              </w:rPr>
              <w:fldChar w:fldCharType="end"/>
            </w:r>
            <w:r w:rsidRPr="00330C27">
              <w:rPr>
                <w:rFonts w:eastAsia="Helvetica Neue" w:cs="Helvetica Neue"/>
                <w:color w:val="000000" w:themeColor="text1"/>
                <w:sz w:val="20"/>
              </w:rPr>
              <w:t xml:space="preserve">. Macroeconomic models with detailed representations of economic structure, relative prices, and inter-sectoral effects beyond the energy system are yet to be reconciled with the application-level impacts that can be resolved in detailed process-based models like </w:t>
            </w:r>
            <w:proofErr w:type="spellStart"/>
            <w:r w:rsidRPr="00330C27">
              <w:rPr>
                <w:rFonts w:eastAsia="Helvetica Neue" w:cs="Helvetica Neue"/>
                <w:color w:val="000000" w:themeColor="text1"/>
                <w:sz w:val="20"/>
              </w:rPr>
              <w:t>MESSAGEiX</w:t>
            </w:r>
            <w:proofErr w:type="spellEnd"/>
            <w:r w:rsidRPr="00330C27">
              <w:rPr>
                <w:rFonts w:eastAsia="Helvetica Neue" w:cs="Helvetica Neue"/>
                <w:color w:val="000000" w:themeColor="text1"/>
                <w:sz w:val="20"/>
              </w:rPr>
              <w:t xml:space="preserve"> used in this study.</w:t>
            </w:r>
          </w:p>
        </w:tc>
      </w:tr>
    </w:tbl>
    <w:p w14:paraId="6BB4F38D" w14:textId="77777777" w:rsidR="00B51B65" w:rsidRPr="00B51B65" w:rsidRDefault="00B51B65" w:rsidP="00B51B65"/>
    <w:p w14:paraId="5434A36E" w14:textId="724C3E21" w:rsidR="002107AD" w:rsidRDefault="002107AD">
      <w:pPr>
        <w:spacing w:line="240" w:lineRule="auto"/>
        <w:rPr>
          <w:rFonts w:eastAsiaTheme="majorEastAsia" w:cs="Times New Roman (Headings CS)"/>
          <w:b/>
          <w:bCs/>
          <w:smallCaps/>
          <w:color w:val="000000" w:themeColor="text1"/>
          <w:sz w:val="20"/>
          <w:szCs w:val="24"/>
        </w:rPr>
      </w:pPr>
      <w:r>
        <w:br w:type="page"/>
      </w:r>
    </w:p>
    <w:p w14:paraId="560E7E23" w14:textId="63BAA12E" w:rsidR="003E074A" w:rsidRDefault="003E074A" w:rsidP="003E074A">
      <w:pPr>
        <w:pStyle w:val="Caption"/>
      </w:pPr>
      <w:bookmarkStart w:id="4" w:name="_Ref222615663"/>
      <w:bookmarkStart w:id="5" w:name="_Ref222642595"/>
      <w:r w:rsidRPr="004F313C">
        <w:lastRenderedPageBreak/>
        <w:t xml:space="preserve">Table </w:t>
      </w:r>
      <w:bookmarkEnd w:id="3"/>
      <w:bookmarkEnd w:id="4"/>
      <w:bookmarkEnd w:id="5"/>
      <w:r w:rsidR="0054328E">
        <w:t>5.</w:t>
      </w:r>
      <w:r w:rsidRPr="004F313C">
        <w:t xml:space="preserve"> Summary and examples of main </w:t>
      </w:r>
      <w:proofErr w:type="spellStart"/>
      <w:r w:rsidRPr="004F313C">
        <w:t>MESSAGEiX</w:t>
      </w:r>
      <w:proofErr w:type="spellEnd"/>
      <w:r w:rsidRPr="004F313C">
        <w:t xml:space="preserve"> scenario implementation assumptions (1) end-use sectors.</w:t>
      </w:r>
    </w:p>
    <w:p w14:paraId="553A0874" w14:textId="77777777" w:rsidR="004B4769" w:rsidRPr="004B4769" w:rsidRDefault="004B4769" w:rsidP="004B4769"/>
    <w:tbl>
      <w:tblPr>
        <w:tblStyle w:val="TableGrid"/>
        <w:tblW w:w="14029" w:type="dxa"/>
        <w:tblLook w:val="04A0" w:firstRow="1" w:lastRow="0" w:firstColumn="1" w:lastColumn="0" w:noHBand="0" w:noVBand="1"/>
      </w:tblPr>
      <w:tblGrid>
        <w:gridCol w:w="1300"/>
        <w:gridCol w:w="1435"/>
        <w:gridCol w:w="2293"/>
        <w:gridCol w:w="1238"/>
        <w:gridCol w:w="1274"/>
        <w:gridCol w:w="1215"/>
        <w:gridCol w:w="1238"/>
        <w:gridCol w:w="1238"/>
        <w:gridCol w:w="2798"/>
      </w:tblGrid>
      <w:tr w:rsidR="003E074A" w:rsidRPr="004F313C" w14:paraId="523B96F7" w14:textId="77777777" w:rsidTr="00566A10">
        <w:tc>
          <w:tcPr>
            <w:tcW w:w="1300" w:type="dxa"/>
            <w:vMerge w:val="restart"/>
          </w:tcPr>
          <w:p w14:paraId="0509F543"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model component</w:t>
            </w:r>
          </w:p>
        </w:tc>
        <w:tc>
          <w:tcPr>
            <w:tcW w:w="1435" w:type="dxa"/>
            <w:vMerge w:val="restart"/>
          </w:tcPr>
          <w:p w14:paraId="6A12B812"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sector (subsectors)</w:t>
            </w:r>
          </w:p>
        </w:tc>
        <w:tc>
          <w:tcPr>
            <w:tcW w:w="2293" w:type="dxa"/>
            <w:vMerge w:val="restart"/>
          </w:tcPr>
          <w:p w14:paraId="6B2C753C" w14:textId="77777777" w:rsidR="003E074A" w:rsidRPr="004F313C" w:rsidRDefault="003E074A" w:rsidP="00566A10">
            <w:pPr>
              <w:autoSpaceDE w:val="0"/>
              <w:autoSpaceDN w:val="0"/>
              <w:adjustRightInd w:val="0"/>
              <w:spacing w:line="240" w:lineRule="auto"/>
              <w:rPr>
                <w:rFonts w:cs="Helvetica"/>
                <w:b/>
                <w:bCs/>
                <w:color w:val="000000"/>
                <w:sz w:val="18"/>
                <w:szCs w:val="18"/>
              </w:rPr>
            </w:pPr>
            <w:r w:rsidRPr="004F313C">
              <w:rPr>
                <w:rFonts w:cs="Helvetica"/>
                <w:b/>
                <w:bCs/>
                <w:color w:val="000000"/>
                <w:sz w:val="18"/>
                <w:szCs w:val="18"/>
              </w:rPr>
              <w:t>modifiers</w:t>
            </w:r>
          </w:p>
          <w:p w14:paraId="239A71D0"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(examples only)</w:t>
            </w:r>
          </w:p>
        </w:tc>
        <w:tc>
          <w:tcPr>
            <w:tcW w:w="2512" w:type="dxa"/>
            <w:gridSpan w:val="2"/>
          </w:tcPr>
          <w:p w14:paraId="770D0B81" w14:textId="77777777" w:rsidR="003E074A" w:rsidRPr="004F313C" w:rsidRDefault="003E074A" w:rsidP="00566A10">
            <w:pPr>
              <w:pStyle w:val="Heading2"/>
              <w:spacing w:line="240" w:lineRule="auto"/>
              <w:jc w:val="center"/>
              <w:rPr>
                <w:sz w:val="18"/>
                <w:szCs w:val="18"/>
              </w:rPr>
            </w:pPr>
            <w:r w:rsidRPr="004F313C">
              <w:rPr>
                <w:rFonts w:cs="Helvetica"/>
                <w:color w:val="C00000"/>
                <w:sz w:val="18"/>
                <w:szCs w:val="18"/>
              </w:rPr>
              <w:t>Undermine</w:t>
            </w:r>
          </w:p>
        </w:tc>
        <w:tc>
          <w:tcPr>
            <w:tcW w:w="1215" w:type="dxa"/>
            <w:vMerge w:val="restart"/>
          </w:tcPr>
          <w:p w14:paraId="4A7F56FD" w14:textId="77777777" w:rsidR="003E074A" w:rsidRPr="004F313C" w:rsidRDefault="003E074A" w:rsidP="00566A10">
            <w:pPr>
              <w:pStyle w:val="Heading2"/>
              <w:spacing w:line="240" w:lineRule="auto"/>
              <w:jc w:val="center"/>
              <w:rPr>
                <w:rFonts w:cs="Helvetica"/>
                <w:color w:val="595959" w:themeColor="text1" w:themeTint="A6"/>
                <w:sz w:val="18"/>
                <w:szCs w:val="18"/>
              </w:rPr>
            </w:pPr>
            <w:r w:rsidRPr="004F313C">
              <w:rPr>
                <w:rFonts w:cs="Helvetica"/>
                <w:color w:val="595959" w:themeColor="text1" w:themeTint="A6"/>
                <w:sz w:val="18"/>
                <w:szCs w:val="18"/>
              </w:rPr>
              <w:t>Reference</w:t>
            </w:r>
          </w:p>
          <w:p w14:paraId="1238FCCF" w14:textId="77777777" w:rsidR="003E074A" w:rsidRPr="004F313C" w:rsidRDefault="003E074A" w:rsidP="00566A10">
            <w:pPr>
              <w:pStyle w:val="Heading2"/>
              <w:spacing w:line="240" w:lineRule="auto"/>
              <w:jc w:val="center"/>
              <w:rPr>
                <w:color w:val="595959" w:themeColor="text1" w:themeTint="A6"/>
                <w:sz w:val="18"/>
                <w:szCs w:val="18"/>
              </w:rPr>
            </w:pPr>
            <w:r w:rsidRPr="004F313C">
              <w:rPr>
                <w:rFonts w:cs="Helvetica"/>
                <w:color w:val="595959" w:themeColor="text1" w:themeTint="A6"/>
                <w:sz w:val="18"/>
                <w:szCs w:val="18"/>
              </w:rPr>
              <w:t>(SSP2)</w:t>
            </w:r>
          </w:p>
        </w:tc>
        <w:tc>
          <w:tcPr>
            <w:tcW w:w="2476" w:type="dxa"/>
            <w:gridSpan w:val="2"/>
          </w:tcPr>
          <w:p w14:paraId="2F473CF5" w14:textId="77777777" w:rsidR="003E074A" w:rsidRPr="004F313C" w:rsidRDefault="003E074A" w:rsidP="00566A10">
            <w:pPr>
              <w:pStyle w:val="Heading2"/>
              <w:spacing w:line="240" w:lineRule="auto"/>
              <w:jc w:val="center"/>
              <w:rPr>
                <w:sz w:val="18"/>
                <w:szCs w:val="18"/>
              </w:rPr>
            </w:pPr>
            <w:r w:rsidRPr="004F313C">
              <w:rPr>
                <w:rFonts w:cs="Helvetica"/>
                <w:color w:val="196B24" w:themeColor="accent3"/>
                <w:sz w:val="18"/>
                <w:szCs w:val="18"/>
              </w:rPr>
              <w:t>Enable</w:t>
            </w:r>
          </w:p>
        </w:tc>
        <w:tc>
          <w:tcPr>
            <w:tcW w:w="2798" w:type="dxa"/>
          </w:tcPr>
          <w:p w14:paraId="5AFA5FD7"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notes</w:t>
            </w:r>
          </w:p>
        </w:tc>
      </w:tr>
      <w:tr w:rsidR="003E074A" w:rsidRPr="004F313C" w14:paraId="358F7B43" w14:textId="77777777" w:rsidTr="00566A10">
        <w:tc>
          <w:tcPr>
            <w:tcW w:w="1300" w:type="dxa"/>
            <w:vMerge/>
          </w:tcPr>
          <w:p w14:paraId="531B7618" w14:textId="77777777" w:rsidR="003E074A" w:rsidRPr="004F313C" w:rsidRDefault="003E074A" w:rsidP="00566A10">
            <w:pPr>
              <w:pStyle w:val="Heading2"/>
              <w:spacing w:line="240" w:lineRule="auto"/>
              <w:rPr>
                <w:sz w:val="18"/>
                <w:szCs w:val="18"/>
              </w:rPr>
            </w:pPr>
          </w:p>
        </w:tc>
        <w:tc>
          <w:tcPr>
            <w:tcW w:w="1435" w:type="dxa"/>
            <w:vMerge/>
          </w:tcPr>
          <w:p w14:paraId="5F8E53EE" w14:textId="77777777" w:rsidR="003E074A" w:rsidRPr="004F313C" w:rsidRDefault="003E074A" w:rsidP="00566A10">
            <w:pPr>
              <w:pStyle w:val="Heading2"/>
              <w:spacing w:line="240" w:lineRule="auto"/>
              <w:rPr>
                <w:sz w:val="18"/>
                <w:szCs w:val="18"/>
              </w:rPr>
            </w:pPr>
          </w:p>
        </w:tc>
        <w:tc>
          <w:tcPr>
            <w:tcW w:w="2293" w:type="dxa"/>
            <w:vMerge/>
          </w:tcPr>
          <w:p w14:paraId="7236A9CC" w14:textId="77777777" w:rsidR="003E074A" w:rsidRPr="004F313C" w:rsidRDefault="003E074A" w:rsidP="00566A10">
            <w:pPr>
              <w:pStyle w:val="Heading2"/>
              <w:spacing w:line="240" w:lineRule="auto"/>
              <w:rPr>
                <w:sz w:val="18"/>
                <w:szCs w:val="18"/>
              </w:rPr>
            </w:pPr>
          </w:p>
        </w:tc>
        <w:tc>
          <w:tcPr>
            <w:tcW w:w="1238" w:type="dxa"/>
          </w:tcPr>
          <w:p w14:paraId="361CFD3B" w14:textId="77777777" w:rsidR="003E074A" w:rsidRPr="004F313C" w:rsidRDefault="003E074A" w:rsidP="00566A10">
            <w:pPr>
              <w:pStyle w:val="Heading2"/>
              <w:spacing w:line="240" w:lineRule="auto"/>
              <w:rPr>
                <w:rFonts w:cs="Helvetica"/>
                <w:color w:val="C00000"/>
                <w:sz w:val="18"/>
                <w:szCs w:val="18"/>
              </w:rPr>
            </w:pPr>
            <w:r w:rsidRPr="004F313C">
              <w:rPr>
                <w:rFonts w:cs="Helvetica"/>
                <w:color w:val="C00000"/>
                <w:sz w:val="18"/>
                <w:szCs w:val="18"/>
              </w:rPr>
              <w:t>Extreme</w:t>
            </w:r>
          </w:p>
        </w:tc>
        <w:tc>
          <w:tcPr>
            <w:tcW w:w="1274" w:type="dxa"/>
          </w:tcPr>
          <w:p w14:paraId="112B9F85" w14:textId="77777777" w:rsidR="003E074A" w:rsidRPr="004F313C" w:rsidRDefault="003E074A" w:rsidP="00566A10">
            <w:pPr>
              <w:pStyle w:val="Heading2"/>
              <w:spacing w:line="240" w:lineRule="auto"/>
              <w:rPr>
                <w:rFonts w:cs="Helvetica"/>
                <w:color w:val="FF6600"/>
                <w:sz w:val="18"/>
                <w:szCs w:val="18"/>
              </w:rPr>
            </w:pPr>
            <w:r w:rsidRPr="004F313C">
              <w:rPr>
                <w:rFonts w:cs="Helvetica"/>
                <w:color w:val="FF6600"/>
                <w:sz w:val="18"/>
                <w:szCs w:val="18"/>
              </w:rPr>
              <w:t>Cautious</w:t>
            </w:r>
          </w:p>
        </w:tc>
        <w:tc>
          <w:tcPr>
            <w:tcW w:w="1215" w:type="dxa"/>
            <w:vMerge/>
          </w:tcPr>
          <w:p w14:paraId="5193780C" w14:textId="77777777" w:rsidR="003E074A" w:rsidRPr="004F313C" w:rsidRDefault="003E074A" w:rsidP="00566A10">
            <w:pPr>
              <w:pStyle w:val="Heading2"/>
              <w:spacing w:line="240" w:lineRule="auto"/>
              <w:rPr>
                <w:color w:val="595959" w:themeColor="text1" w:themeTint="A6"/>
                <w:sz w:val="18"/>
                <w:szCs w:val="18"/>
              </w:rPr>
            </w:pPr>
          </w:p>
        </w:tc>
        <w:tc>
          <w:tcPr>
            <w:tcW w:w="1238" w:type="dxa"/>
          </w:tcPr>
          <w:p w14:paraId="2171502F" w14:textId="77777777" w:rsidR="003E074A" w:rsidRPr="004F313C" w:rsidRDefault="003E074A" w:rsidP="00566A10">
            <w:pPr>
              <w:pStyle w:val="Heading2"/>
              <w:spacing w:line="240" w:lineRule="auto"/>
              <w:rPr>
                <w:color w:val="4EA72E" w:themeColor="accent6"/>
                <w:sz w:val="18"/>
                <w:szCs w:val="18"/>
              </w:rPr>
            </w:pPr>
            <w:r w:rsidRPr="004F313C">
              <w:rPr>
                <w:rFonts w:cs="Helvetica"/>
                <w:color w:val="4EA72E" w:themeColor="accent6"/>
                <w:sz w:val="18"/>
                <w:szCs w:val="18"/>
              </w:rPr>
              <w:t>Cautious</w:t>
            </w:r>
          </w:p>
        </w:tc>
        <w:tc>
          <w:tcPr>
            <w:tcW w:w="1238" w:type="dxa"/>
          </w:tcPr>
          <w:p w14:paraId="131DDD2A" w14:textId="77777777" w:rsidR="003E074A" w:rsidRPr="004F313C" w:rsidRDefault="003E074A" w:rsidP="00566A10">
            <w:pPr>
              <w:pStyle w:val="Heading2"/>
              <w:spacing w:line="240" w:lineRule="auto"/>
              <w:rPr>
                <w:color w:val="196B24" w:themeColor="accent3"/>
                <w:sz w:val="18"/>
                <w:szCs w:val="18"/>
              </w:rPr>
            </w:pPr>
            <w:r w:rsidRPr="004F313C">
              <w:rPr>
                <w:rFonts w:cs="Helvetica"/>
                <w:color w:val="196B24" w:themeColor="accent3"/>
                <w:sz w:val="18"/>
                <w:szCs w:val="18"/>
              </w:rPr>
              <w:t>Extreme</w:t>
            </w:r>
          </w:p>
        </w:tc>
        <w:tc>
          <w:tcPr>
            <w:tcW w:w="2798" w:type="dxa"/>
          </w:tcPr>
          <w:p w14:paraId="7BBA4FAC" w14:textId="77777777" w:rsidR="003E074A" w:rsidRPr="004F313C" w:rsidRDefault="003E074A" w:rsidP="00566A10">
            <w:pPr>
              <w:pStyle w:val="Heading2"/>
              <w:spacing w:line="240" w:lineRule="auto"/>
              <w:rPr>
                <w:sz w:val="18"/>
                <w:szCs w:val="18"/>
              </w:rPr>
            </w:pPr>
          </w:p>
        </w:tc>
      </w:tr>
      <w:tr w:rsidR="003E074A" w:rsidRPr="004F313C" w14:paraId="4CB49127" w14:textId="77777777" w:rsidTr="00566A10">
        <w:tc>
          <w:tcPr>
            <w:tcW w:w="1300" w:type="dxa"/>
          </w:tcPr>
          <w:p w14:paraId="5C7883E4"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-Transport</w:t>
            </w:r>
          </w:p>
        </w:tc>
        <w:tc>
          <w:tcPr>
            <w:tcW w:w="1435" w:type="dxa"/>
          </w:tcPr>
          <w:p w14:paraId="1668B7C5"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transport (passenger &amp; freight)</w:t>
            </w:r>
          </w:p>
        </w:tc>
        <w:tc>
          <w:tcPr>
            <w:tcW w:w="2293" w:type="dxa"/>
          </w:tcPr>
          <w:p w14:paraId="4A5EB04C"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 changes in final energy from reference in 2050 in EEU region</w:t>
            </w:r>
          </w:p>
        </w:tc>
        <w:tc>
          <w:tcPr>
            <w:tcW w:w="1238" w:type="dxa"/>
          </w:tcPr>
          <w:p w14:paraId="2D9E2223" w14:textId="77777777" w:rsidR="003E074A" w:rsidRPr="004F313C" w:rsidRDefault="003E074A" w:rsidP="00566A10">
            <w:pPr>
              <w:pStyle w:val="Heading2"/>
              <w:spacing w:line="240" w:lineRule="auto"/>
              <w:rPr>
                <w:rFonts w:cs="Helvetica"/>
                <w:b w:val="0"/>
                <w:bCs w:val="0"/>
                <w:color w:val="C00000"/>
                <w:sz w:val="18"/>
                <w:szCs w:val="18"/>
              </w:rPr>
            </w:pPr>
            <w:r w:rsidRPr="004F313C">
              <w:rPr>
                <w:rFonts w:cs="Helvetica"/>
                <w:b w:val="0"/>
                <w:bCs w:val="0"/>
                <w:color w:val="C00000"/>
                <w:sz w:val="18"/>
                <w:szCs w:val="18"/>
              </w:rPr>
              <w:t>e.g. +17% truck freight</w:t>
            </w:r>
          </w:p>
        </w:tc>
        <w:tc>
          <w:tcPr>
            <w:tcW w:w="1274" w:type="dxa"/>
          </w:tcPr>
          <w:p w14:paraId="269059FB" w14:textId="77777777" w:rsidR="003E074A" w:rsidRPr="004F313C" w:rsidRDefault="003E074A" w:rsidP="00566A10">
            <w:pPr>
              <w:pStyle w:val="Heading2"/>
              <w:spacing w:line="240" w:lineRule="auto"/>
              <w:rPr>
                <w:rFonts w:cs="Helvetica"/>
                <w:b w:val="0"/>
                <w:bCs w:val="0"/>
                <w:color w:val="FF6600"/>
                <w:sz w:val="18"/>
                <w:szCs w:val="18"/>
              </w:rPr>
            </w:pPr>
            <w:r w:rsidRPr="004F313C">
              <w:rPr>
                <w:rFonts w:cs="Helvetica"/>
                <w:b w:val="0"/>
                <w:bCs w:val="0"/>
                <w:color w:val="FF6600"/>
                <w:sz w:val="18"/>
                <w:szCs w:val="18"/>
              </w:rPr>
              <w:t>e.g. +6% truck freight</w:t>
            </w:r>
          </w:p>
        </w:tc>
        <w:tc>
          <w:tcPr>
            <w:tcW w:w="1215" w:type="dxa"/>
          </w:tcPr>
          <w:p w14:paraId="0AD8ADAE"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 SSP2 -</w:t>
            </w:r>
          </w:p>
        </w:tc>
        <w:tc>
          <w:tcPr>
            <w:tcW w:w="1238" w:type="dxa"/>
          </w:tcPr>
          <w:p w14:paraId="358BA83B"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-16% truck freight</w:t>
            </w:r>
          </w:p>
        </w:tc>
        <w:tc>
          <w:tcPr>
            <w:tcW w:w="1238" w:type="dxa"/>
          </w:tcPr>
          <w:p w14:paraId="49C1A5DE" w14:textId="77777777" w:rsidR="003E074A" w:rsidRPr="004F313C" w:rsidRDefault="003E074A" w:rsidP="00566A10">
            <w:pPr>
              <w:pStyle w:val="Heading2"/>
              <w:spacing w:line="240" w:lineRule="auto"/>
              <w:rPr>
                <w:b w:val="0"/>
                <w:bCs w:val="0"/>
                <w:color w:val="196B24" w:themeColor="accent3"/>
                <w:sz w:val="18"/>
                <w:szCs w:val="18"/>
              </w:rPr>
            </w:pPr>
            <w:r w:rsidRPr="004F313C">
              <w:rPr>
                <w:rFonts w:cs="Helvetica"/>
                <w:b w:val="0"/>
                <w:bCs w:val="0"/>
                <w:color w:val="196B24" w:themeColor="accent3"/>
                <w:sz w:val="18"/>
                <w:szCs w:val="18"/>
              </w:rPr>
              <w:t>e.g. -17% truck freight</w:t>
            </w:r>
          </w:p>
        </w:tc>
        <w:tc>
          <w:tcPr>
            <w:tcW w:w="2798" w:type="dxa"/>
          </w:tcPr>
          <w:p w14:paraId="25050599"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demand modifiers applied to SSP2 regional final energy output in 2 subsectors and 6 modes</w:t>
            </w:r>
          </w:p>
        </w:tc>
      </w:tr>
      <w:tr w:rsidR="003E074A" w:rsidRPr="004F313C" w14:paraId="14273991" w14:textId="77777777" w:rsidTr="00566A10">
        <w:tc>
          <w:tcPr>
            <w:tcW w:w="1300" w:type="dxa"/>
          </w:tcPr>
          <w:p w14:paraId="46316573"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-Buildings</w:t>
            </w:r>
          </w:p>
        </w:tc>
        <w:tc>
          <w:tcPr>
            <w:tcW w:w="1435" w:type="dxa"/>
          </w:tcPr>
          <w:p w14:paraId="700DD646"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buildings (residential &amp; commercial)</w:t>
            </w:r>
          </w:p>
        </w:tc>
        <w:tc>
          <w:tcPr>
            <w:tcW w:w="2293" w:type="dxa"/>
          </w:tcPr>
          <w:p w14:paraId="5DE2320A"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 changes in final energy from reference in 2050 in PAS region</w:t>
            </w:r>
          </w:p>
        </w:tc>
        <w:tc>
          <w:tcPr>
            <w:tcW w:w="1238" w:type="dxa"/>
          </w:tcPr>
          <w:p w14:paraId="49A69827" w14:textId="77777777" w:rsidR="003E074A" w:rsidRPr="004F313C" w:rsidRDefault="003E074A" w:rsidP="00566A10">
            <w:pPr>
              <w:pStyle w:val="Heading2"/>
              <w:spacing w:line="240" w:lineRule="auto"/>
              <w:rPr>
                <w:rFonts w:cs="Helvetica"/>
                <w:b w:val="0"/>
                <w:bCs w:val="0"/>
                <w:color w:val="C00000"/>
                <w:sz w:val="18"/>
                <w:szCs w:val="18"/>
              </w:rPr>
            </w:pPr>
            <w:r w:rsidRPr="004F313C">
              <w:rPr>
                <w:rFonts w:cs="Helvetica"/>
                <w:b w:val="0"/>
                <w:bCs w:val="0"/>
                <w:color w:val="C00000"/>
                <w:sz w:val="18"/>
                <w:szCs w:val="18"/>
              </w:rPr>
              <w:t>e.g. +12% residential cooling</w:t>
            </w:r>
          </w:p>
        </w:tc>
        <w:tc>
          <w:tcPr>
            <w:tcW w:w="1274" w:type="dxa"/>
          </w:tcPr>
          <w:p w14:paraId="1727E6F0" w14:textId="77777777" w:rsidR="003E074A" w:rsidRPr="004F313C" w:rsidRDefault="003E074A" w:rsidP="00566A10">
            <w:pPr>
              <w:pStyle w:val="Heading2"/>
              <w:spacing w:line="240" w:lineRule="auto"/>
              <w:rPr>
                <w:rFonts w:cs="Helvetica"/>
                <w:b w:val="0"/>
                <w:bCs w:val="0"/>
                <w:color w:val="FF6600"/>
                <w:sz w:val="18"/>
                <w:szCs w:val="18"/>
              </w:rPr>
            </w:pPr>
            <w:r w:rsidRPr="004F313C">
              <w:rPr>
                <w:rFonts w:cs="Helvetica"/>
                <w:b w:val="0"/>
                <w:bCs w:val="0"/>
                <w:color w:val="FF6600"/>
                <w:sz w:val="18"/>
                <w:szCs w:val="18"/>
              </w:rPr>
              <w:t>e.g. +8% residential cooling</w:t>
            </w:r>
          </w:p>
        </w:tc>
        <w:tc>
          <w:tcPr>
            <w:tcW w:w="1215" w:type="dxa"/>
          </w:tcPr>
          <w:p w14:paraId="70D345B3"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 SSP2 -</w:t>
            </w:r>
          </w:p>
        </w:tc>
        <w:tc>
          <w:tcPr>
            <w:tcW w:w="1238" w:type="dxa"/>
          </w:tcPr>
          <w:p w14:paraId="7425CCED"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-13% residential cooling</w:t>
            </w:r>
          </w:p>
        </w:tc>
        <w:tc>
          <w:tcPr>
            <w:tcW w:w="1238" w:type="dxa"/>
          </w:tcPr>
          <w:p w14:paraId="69338553" w14:textId="77777777" w:rsidR="003E074A" w:rsidRPr="004F313C" w:rsidRDefault="003E074A" w:rsidP="00566A10">
            <w:pPr>
              <w:pStyle w:val="Heading2"/>
              <w:spacing w:line="240" w:lineRule="auto"/>
              <w:rPr>
                <w:b w:val="0"/>
                <w:bCs w:val="0"/>
                <w:color w:val="196B24" w:themeColor="accent3"/>
                <w:sz w:val="18"/>
                <w:szCs w:val="18"/>
              </w:rPr>
            </w:pPr>
            <w:r w:rsidRPr="004F313C">
              <w:rPr>
                <w:rFonts w:cs="Helvetica"/>
                <w:b w:val="0"/>
                <w:bCs w:val="0"/>
                <w:color w:val="196B24" w:themeColor="accent3"/>
                <w:sz w:val="18"/>
                <w:szCs w:val="18"/>
              </w:rPr>
              <w:t>e.g. -24% residential cooling</w:t>
            </w:r>
          </w:p>
        </w:tc>
        <w:tc>
          <w:tcPr>
            <w:tcW w:w="2798" w:type="dxa"/>
          </w:tcPr>
          <w:p w14:paraId="788EAA46"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demand modifiers applied to SSP2 regional final energy output in 2 subsectors and 5 energy services</w:t>
            </w:r>
          </w:p>
        </w:tc>
      </w:tr>
      <w:tr w:rsidR="003E074A" w:rsidRPr="004F313C" w14:paraId="111400CA" w14:textId="77777777" w:rsidTr="00566A10">
        <w:tc>
          <w:tcPr>
            <w:tcW w:w="1300" w:type="dxa"/>
          </w:tcPr>
          <w:p w14:paraId="3FD82600"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 xml:space="preserve">new projections + </w:t>
            </w: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-Buildings</w:t>
            </w:r>
          </w:p>
        </w:tc>
        <w:tc>
          <w:tcPr>
            <w:tcW w:w="1435" w:type="dxa"/>
          </w:tcPr>
          <w:p w14:paraId="62369BEC"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ICT (data centres &amp; networks)</w:t>
            </w:r>
          </w:p>
        </w:tc>
        <w:tc>
          <w:tcPr>
            <w:tcW w:w="2293" w:type="dxa"/>
          </w:tcPr>
          <w:p w14:paraId="6408A957"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absolute values in 2050 in WEU region</w:t>
            </w:r>
          </w:p>
        </w:tc>
        <w:tc>
          <w:tcPr>
            <w:tcW w:w="1238" w:type="dxa"/>
          </w:tcPr>
          <w:p w14:paraId="3B554B11" w14:textId="77777777" w:rsidR="003E074A" w:rsidRPr="004F313C" w:rsidRDefault="003E074A" w:rsidP="00566A10">
            <w:pPr>
              <w:pStyle w:val="Heading2"/>
              <w:spacing w:line="240" w:lineRule="auto"/>
              <w:rPr>
                <w:rFonts w:cs="Helvetica"/>
                <w:b w:val="0"/>
                <w:bCs w:val="0"/>
                <w:color w:val="C00000"/>
                <w:sz w:val="18"/>
                <w:szCs w:val="18"/>
              </w:rPr>
            </w:pPr>
            <w:r w:rsidRPr="004F313C">
              <w:rPr>
                <w:rFonts w:cs="Helvetica"/>
                <w:b w:val="0"/>
                <w:bCs w:val="0"/>
                <w:color w:val="C00000"/>
                <w:sz w:val="18"/>
                <w:szCs w:val="18"/>
              </w:rPr>
              <w:t>e.g. 347 EJ</w:t>
            </w:r>
          </w:p>
        </w:tc>
        <w:tc>
          <w:tcPr>
            <w:tcW w:w="1274" w:type="dxa"/>
          </w:tcPr>
          <w:p w14:paraId="522DAA8F" w14:textId="77777777" w:rsidR="003E074A" w:rsidRPr="004F313C" w:rsidRDefault="003E074A" w:rsidP="00566A10">
            <w:pPr>
              <w:pStyle w:val="Heading2"/>
              <w:spacing w:line="240" w:lineRule="auto"/>
              <w:rPr>
                <w:rFonts w:cs="Helvetica"/>
                <w:b w:val="0"/>
                <w:bCs w:val="0"/>
                <w:color w:val="FF6600"/>
                <w:sz w:val="18"/>
                <w:szCs w:val="18"/>
              </w:rPr>
            </w:pPr>
            <w:r w:rsidRPr="004F313C">
              <w:rPr>
                <w:rFonts w:cs="Helvetica"/>
                <w:b w:val="0"/>
                <w:bCs w:val="0"/>
                <w:color w:val="FF6600"/>
                <w:sz w:val="18"/>
                <w:szCs w:val="18"/>
              </w:rPr>
              <w:t>e.g. 324 EJ</w:t>
            </w:r>
          </w:p>
        </w:tc>
        <w:tc>
          <w:tcPr>
            <w:tcW w:w="1215" w:type="dxa"/>
          </w:tcPr>
          <w:p w14:paraId="3CF5128E"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e.g. 197 EJ</w:t>
            </w:r>
          </w:p>
        </w:tc>
        <w:tc>
          <w:tcPr>
            <w:tcW w:w="1238" w:type="dxa"/>
          </w:tcPr>
          <w:p w14:paraId="20D5ACED"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85 EJ</w:t>
            </w:r>
          </w:p>
        </w:tc>
        <w:tc>
          <w:tcPr>
            <w:tcW w:w="1238" w:type="dxa"/>
          </w:tcPr>
          <w:p w14:paraId="4057C3AF" w14:textId="77777777" w:rsidR="003E074A" w:rsidRPr="004F313C" w:rsidRDefault="003E074A" w:rsidP="00566A10">
            <w:pPr>
              <w:pStyle w:val="Heading2"/>
              <w:spacing w:line="240" w:lineRule="auto"/>
              <w:rPr>
                <w:b w:val="0"/>
                <w:bCs w:val="0"/>
                <w:color w:val="196B24" w:themeColor="accent3"/>
                <w:sz w:val="18"/>
                <w:szCs w:val="18"/>
              </w:rPr>
            </w:pPr>
            <w:r w:rsidRPr="004F313C">
              <w:rPr>
                <w:rFonts w:cs="Helvetica"/>
                <w:b w:val="0"/>
                <w:bCs w:val="0"/>
                <w:color w:val="196B24" w:themeColor="accent3"/>
                <w:sz w:val="18"/>
                <w:szCs w:val="18"/>
              </w:rPr>
              <w:t>e.g. 79 EJ</w:t>
            </w:r>
          </w:p>
        </w:tc>
        <w:tc>
          <w:tcPr>
            <w:tcW w:w="2798" w:type="dxa"/>
          </w:tcPr>
          <w:p w14:paraId="01FAE446"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demand projections calibrated to historical trends and uncertainties; ICT sector netted out of commercial buildings sub-sector to avoid double counting</w:t>
            </w:r>
          </w:p>
        </w:tc>
      </w:tr>
      <w:tr w:rsidR="003E074A" w:rsidRPr="004F313C" w14:paraId="6BA0FA96" w14:textId="77777777" w:rsidTr="00566A10">
        <w:tc>
          <w:tcPr>
            <w:tcW w:w="1300" w:type="dxa"/>
          </w:tcPr>
          <w:p w14:paraId="476EF111"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-Materials</w:t>
            </w:r>
          </w:p>
        </w:tc>
        <w:tc>
          <w:tcPr>
            <w:tcW w:w="1435" w:type="dxa"/>
          </w:tcPr>
          <w:p w14:paraId="0623060D"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industry (5 energy-intensive sectors +  other manufacturing)</w:t>
            </w:r>
          </w:p>
        </w:tc>
        <w:tc>
          <w:tcPr>
            <w:tcW w:w="2293" w:type="dxa"/>
          </w:tcPr>
          <w:p w14:paraId="08ABD148"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 changes from reference in 2050 in NAM region</w:t>
            </w:r>
          </w:p>
        </w:tc>
        <w:tc>
          <w:tcPr>
            <w:tcW w:w="1238" w:type="dxa"/>
          </w:tcPr>
          <w:p w14:paraId="42885F3E" w14:textId="77777777" w:rsidR="003E074A" w:rsidRPr="004F313C" w:rsidRDefault="003E074A" w:rsidP="00566A10">
            <w:pPr>
              <w:pStyle w:val="Heading2"/>
              <w:spacing w:line="240" w:lineRule="auto"/>
              <w:rPr>
                <w:rFonts w:cs="Helvetica"/>
                <w:b w:val="0"/>
                <w:bCs w:val="0"/>
                <w:color w:val="C00000"/>
                <w:sz w:val="18"/>
                <w:szCs w:val="18"/>
              </w:rPr>
            </w:pPr>
            <w:r w:rsidRPr="004F313C">
              <w:rPr>
                <w:rFonts w:cs="Helvetica"/>
                <w:b w:val="0"/>
                <w:bCs w:val="0"/>
                <w:color w:val="C00000"/>
                <w:sz w:val="18"/>
                <w:szCs w:val="18"/>
              </w:rPr>
              <w:t>no change (=Reference)</w:t>
            </w:r>
          </w:p>
        </w:tc>
        <w:tc>
          <w:tcPr>
            <w:tcW w:w="1274" w:type="dxa"/>
          </w:tcPr>
          <w:p w14:paraId="04BAAE2F" w14:textId="77777777" w:rsidR="003E074A" w:rsidRPr="004F313C" w:rsidRDefault="003E074A" w:rsidP="00566A10">
            <w:pPr>
              <w:pStyle w:val="Heading2"/>
              <w:spacing w:line="240" w:lineRule="auto"/>
              <w:rPr>
                <w:rFonts w:cs="Helvetica"/>
                <w:b w:val="0"/>
                <w:bCs w:val="0"/>
                <w:color w:val="FF6600"/>
                <w:sz w:val="18"/>
                <w:szCs w:val="18"/>
              </w:rPr>
            </w:pPr>
            <w:r w:rsidRPr="004F313C">
              <w:rPr>
                <w:rFonts w:cs="Helvetica"/>
                <w:b w:val="0"/>
                <w:bCs w:val="0"/>
                <w:color w:val="FF6600"/>
                <w:sz w:val="18"/>
                <w:szCs w:val="18"/>
              </w:rPr>
              <w:t>e.g. -2.8% aluminium smelting</w:t>
            </w:r>
          </w:p>
        </w:tc>
        <w:tc>
          <w:tcPr>
            <w:tcW w:w="1215" w:type="dxa"/>
          </w:tcPr>
          <w:p w14:paraId="08B900B1"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 SSP2 -</w:t>
            </w:r>
          </w:p>
        </w:tc>
        <w:tc>
          <w:tcPr>
            <w:tcW w:w="1238" w:type="dxa"/>
          </w:tcPr>
          <w:p w14:paraId="3C5C41F2"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-4.7% aluminium smelting</w:t>
            </w:r>
          </w:p>
        </w:tc>
        <w:tc>
          <w:tcPr>
            <w:tcW w:w="1238" w:type="dxa"/>
          </w:tcPr>
          <w:p w14:paraId="3A5AAADE" w14:textId="77777777" w:rsidR="003E074A" w:rsidRPr="004F313C" w:rsidRDefault="003E074A" w:rsidP="00566A10">
            <w:pPr>
              <w:pStyle w:val="Heading2"/>
              <w:spacing w:line="240" w:lineRule="auto"/>
              <w:rPr>
                <w:b w:val="0"/>
                <w:bCs w:val="0"/>
                <w:color w:val="196B24" w:themeColor="accent3"/>
                <w:sz w:val="18"/>
                <w:szCs w:val="18"/>
              </w:rPr>
            </w:pPr>
            <w:r w:rsidRPr="004F313C">
              <w:rPr>
                <w:rFonts w:cs="Helvetica"/>
                <w:b w:val="0"/>
                <w:bCs w:val="0"/>
                <w:color w:val="196B24" w:themeColor="accent3"/>
                <w:sz w:val="18"/>
                <w:szCs w:val="18"/>
              </w:rPr>
              <w:t>e.g. -4.7% aluminium smelting</w:t>
            </w:r>
          </w:p>
        </w:tc>
        <w:tc>
          <w:tcPr>
            <w:tcW w:w="2798" w:type="dxa"/>
          </w:tcPr>
          <w:p w14:paraId="4359EB34"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demand modifiers applied to SSP2 energy intensity and final energy in 6 subsectors and 11 processes; also to 4 bulk material flows</w:t>
            </w:r>
          </w:p>
        </w:tc>
      </w:tr>
      <w:tr w:rsidR="003E074A" w:rsidRPr="004F313C" w14:paraId="5CCF030F" w14:textId="77777777" w:rsidTr="00566A10">
        <w:tc>
          <w:tcPr>
            <w:tcW w:w="1300" w:type="dxa"/>
          </w:tcPr>
          <w:p w14:paraId="19BA3E63"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435" w:type="dxa"/>
          </w:tcPr>
          <w:p w14:paraId="18F8130A"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end-use sectors (electrification rates)</w:t>
            </w:r>
          </w:p>
        </w:tc>
        <w:tc>
          <w:tcPr>
            <w:tcW w:w="2293" w:type="dxa"/>
          </w:tcPr>
          <w:p w14:paraId="7FFF2D83"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end-use electrification rates (all regions &amp; years)</w:t>
            </w:r>
          </w:p>
        </w:tc>
        <w:tc>
          <w:tcPr>
            <w:tcW w:w="1238" w:type="dxa"/>
          </w:tcPr>
          <w:p w14:paraId="7B81F458" w14:textId="77777777" w:rsidR="003E074A" w:rsidRPr="004F313C" w:rsidRDefault="003E074A" w:rsidP="00566A10">
            <w:pPr>
              <w:pStyle w:val="Heading2"/>
              <w:spacing w:line="240" w:lineRule="auto"/>
              <w:rPr>
                <w:rFonts w:cs="Helvetica"/>
                <w:b w:val="0"/>
                <w:bCs w:val="0"/>
                <w:color w:val="C00000"/>
                <w:sz w:val="18"/>
                <w:szCs w:val="18"/>
              </w:rPr>
            </w:pPr>
            <w:r w:rsidRPr="004F313C">
              <w:rPr>
                <w:rFonts w:cs="Helvetica"/>
                <w:b w:val="0"/>
                <w:bCs w:val="0"/>
                <w:color w:val="C00000"/>
                <w:sz w:val="18"/>
                <w:szCs w:val="18"/>
              </w:rPr>
              <w:t>no change (=Reference)</w:t>
            </w:r>
          </w:p>
        </w:tc>
        <w:tc>
          <w:tcPr>
            <w:tcW w:w="1274" w:type="dxa"/>
          </w:tcPr>
          <w:p w14:paraId="4387DA9D" w14:textId="77777777" w:rsidR="003E074A" w:rsidRPr="004F313C" w:rsidRDefault="003E074A" w:rsidP="00566A10">
            <w:pPr>
              <w:pStyle w:val="Heading2"/>
              <w:spacing w:line="240" w:lineRule="auto"/>
              <w:rPr>
                <w:rFonts w:cs="Helvetica"/>
                <w:b w:val="0"/>
                <w:bCs w:val="0"/>
                <w:color w:val="FF6600"/>
                <w:sz w:val="18"/>
                <w:szCs w:val="18"/>
              </w:rPr>
            </w:pPr>
            <w:r w:rsidRPr="004F313C">
              <w:rPr>
                <w:rFonts w:cs="Helvetica"/>
                <w:b w:val="0"/>
                <w:bCs w:val="0"/>
                <w:color w:val="FF6600"/>
                <w:sz w:val="18"/>
                <w:szCs w:val="18"/>
              </w:rPr>
              <w:t>no change (=Reference)</w:t>
            </w:r>
          </w:p>
        </w:tc>
        <w:tc>
          <w:tcPr>
            <w:tcW w:w="1215" w:type="dxa"/>
          </w:tcPr>
          <w:p w14:paraId="4DDAA29C"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 SSP2 -</w:t>
            </w:r>
          </w:p>
        </w:tc>
        <w:tc>
          <w:tcPr>
            <w:tcW w:w="1238" w:type="dxa"/>
          </w:tcPr>
          <w:p w14:paraId="579D11E3"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-1% p.a. reduction in deployment constraint for EVs &amp; HPs</w:t>
            </w:r>
          </w:p>
        </w:tc>
        <w:tc>
          <w:tcPr>
            <w:tcW w:w="1238" w:type="dxa"/>
          </w:tcPr>
          <w:p w14:paraId="3FC41BCA" w14:textId="77777777" w:rsidR="003E074A" w:rsidRPr="004F313C" w:rsidRDefault="003E074A" w:rsidP="00566A10">
            <w:pPr>
              <w:pStyle w:val="Heading2"/>
              <w:spacing w:line="240" w:lineRule="auto"/>
              <w:rPr>
                <w:b w:val="0"/>
                <w:bCs w:val="0"/>
                <w:color w:val="196B24" w:themeColor="accent3"/>
                <w:sz w:val="18"/>
                <w:szCs w:val="18"/>
              </w:rPr>
            </w:pPr>
            <w:r w:rsidRPr="004F313C">
              <w:rPr>
                <w:rFonts w:cs="Helvetica"/>
                <w:b w:val="0"/>
                <w:bCs w:val="0"/>
                <w:color w:val="196B24" w:themeColor="accent3"/>
                <w:sz w:val="18"/>
                <w:szCs w:val="18"/>
              </w:rPr>
              <w:t>e.g. -1.5% p.a. reduction in deployment constraint for EVs &amp; HPs</w:t>
            </w:r>
          </w:p>
        </w:tc>
        <w:tc>
          <w:tcPr>
            <w:tcW w:w="2798" w:type="dxa"/>
          </w:tcPr>
          <w:p w14:paraId="616AE48E"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 xml:space="preserve"> constrains maximum electrification rates to ensure feasible transition speeds as electric substitutes for conventional technologies become cost-competitive. Electric vehicles (EVs) and heat pumps (HPs) are the two main examples.</w:t>
            </w:r>
          </w:p>
        </w:tc>
      </w:tr>
    </w:tbl>
    <w:p w14:paraId="0CB550BC" w14:textId="77777777" w:rsidR="003E074A" w:rsidRPr="004F313C" w:rsidRDefault="003E074A" w:rsidP="003E074A"/>
    <w:p w14:paraId="22E7008F" w14:textId="77777777" w:rsidR="003E074A" w:rsidRPr="004F313C" w:rsidRDefault="003E074A" w:rsidP="003E074A">
      <w:pPr>
        <w:spacing w:line="240" w:lineRule="auto"/>
      </w:pPr>
      <w:r w:rsidRPr="004F313C">
        <w:br w:type="page"/>
      </w:r>
    </w:p>
    <w:p w14:paraId="130D33A3" w14:textId="377DE798" w:rsidR="003E074A" w:rsidRDefault="003E074A" w:rsidP="003E074A">
      <w:pPr>
        <w:pStyle w:val="Caption"/>
      </w:pPr>
      <w:bookmarkStart w:id="6" w:name="_Ref220672355"/>
      <w:r w:rsidRPr="004F313C">
        <w:lastRenderedPageBreak/>
        <w:t xml:space="preserve">Table </w:t>
      </w:r>
      <w:bookmarkEnd w:id="6"/>
      <w:r w:rsidR="0054328E">
        <w:t xml:space="preserve">6. </w:t>
      </w:r>
      <w:r w:rsidRPr="004F313C">
        <w:t xml:space="preserve">Summary and examples of main </w:t>
      </w:r>
      <w:proofErr w:type="spellStart"/>
      <w:r w:rsidRPr="004F313C">
        <w:t>MESSAGEiX</w:t>
      </w:r>
      <w:proofErr w:type="spellEnd"/>
      <w:r w:rsidRPr="004F313C">
        <w:t xml:space="preserve"> scenario implementation assumptions (2) energy system integration.</w:t>
      </w:r>
    </w:p>
    <w:p w14:paraId="2B291436" w14:textId="77777777" w:rsidR="004B4769" w:rsidRPr="004B4769" w:rsidRDefault="004B4769" w:rsidP="004B4769"/>
    <w:tbl>
      <w:tblPr>
        <w:tblStyle w:val="TableGrid"/>
        <w:tblW w:w="14029" w:type="dxa"/>
        <w:tblLayout w:type="fixed"/>
        <w:tblLook w:val="04A0" w:firstRow="1" w:lastRow="0" w:firstColumn="1" w:lastColumn="0" w:noHBand="0" w:noVBand="1"/>
      </w:tblPr>
      <w:tblGrid>
        <w:gridCol w:w="1263"/>
        <w:gridCol w:w="1280"/>
        <w:gridCol w:w="1651"/>
        <w:gridCol w:w="1238"/>
        <w:gridCol w:w="1238"/>
        <w:gridCol w:w="1635"/>
        <w:gridCol w:w="1329"/>
        <w:gridCol w:w="1276"/>
        <w:gridCol w:w="3119"/>
      </w:tblGrid>
      <w:tr w:rsidR="003E074A" w:rsidRPr="004F313C" w14:paraId="1D35F41D" w14:textId="77777777" w:rsidTr="00566A10">
        <w:tc>
          <w:tcPr>
            <w:tcW w:w="1263" w:type="dxa"/>
            <w:vMerge w:val="restart"/>
          </w:tcPr>
          <w:p w14:paraId="7C82A4D7"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model component</w:t>
            </w:r>
          </w:p>
        </w:tc>
        <w:tc>
          <w:tcPr>
            <w:tcW w:w="1280" w:type="dxa"/>
            <w:vMerge w:val="restart"/>
          </w:tcPr>
          <w:p w14:paraId="3AFAC7E3"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sector (subsectors)</w:t>
            </w:r>
          </w:p>
        </w:tc>
        <w:tc>
          <w:tcPr>
            <w:tcW w:w="1651" w:type="dxa"/>
            <w:vMerge w:val="restart"/>
          </w:tcPr>
          <w:p w14:paraId="41D32C00" w14:textId="77777777" w:rsidR="003E074A" w:rsidRPr="004F313C" w:rsidRDefault="003E074A" w:rsidP="00566A10">
            <w:pPr>
              <w:autoSpaceDE w:val="0"/>
              <w:autoSpaceDN w:val="0"/>
              <w:adjustRightInd w:val="0"/>
              <w:spacing w:line="240" w:lineRule="auto"/>
              <w:rPr>
                <w:rFonts w:cs="Helvetica"/>
                <w:b/>
                <w:bCs/>
                <w:color w:val="000000"/>
                <w:sz w:val="18"/>
                <w:szCs w:val="18"/>
              </w:rPr>
            </w:pPr>
            <w:r w:rsidRPr="004F313C">
              <w:rPr>
                <w:rFonts w:cs="Helvetica"/>
                <w:b/>
                <w:bCs/>
                <w:color w:val="000000"/>
                <w:sz w:val="18"/>
                <w:szCs w:val="18"/>
              </w:rPr>
              <w:t>modifiers</w:t>
            </w:r>
          </w:p>
          <w:p w14:paraId="5D4BE25A"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(examples only)</w:t>
            </w:r>
          </w:p>
        </w:tc>
        <w:tc>
          <w:tcPr>
            <w:tcW w:w="2476" w:type="dxa"/>
            <w:gridSpan w:val="2"/>
          </w:tcPr>
          <w:p w14:paraId="4337752E" w14:textId="77777777" w:rsidR="003E074A" w:rsidRPr="004F313C" w:rsidRDefault="003E074A" w:rsidP="00566A10">
            <w:pPr>
              <w:pStyle w:val="Heading2"/>
              <w:spacing w:line="240" w:lineRule="auto"/>
              <w:jc w:val="center"/>
              <w:rPr>
                <w:sz w:val="18"/>
                <w:szCs w:val="18"/>
              </w:rPr>
            </w:pPr>
            <w:r w:rsidRPr="004F313C">
              <w:rPr>
                <w:rFonts w:cs="Helvetica"/>
                <w:color w:val="993300"/>
                <w:sz w:val="18"/>
                <w:szCs w:val="18"/>
              </w:rPr>
              <w:t>Undermine</w:t>
            </w:r>
          </w:p>
        </w:tc>
        <w:tc>
          <w:tcPr>
            <w:tcW w:w="1635" w:type="dxa"/>
            <w:vMerge w:val="restart"/>
          </w:tcPr>
          <w:p w14:paraId="4197416C" w14:textId="77777777" w:rsidR="003E074A" w:rsidRPr="004F313C" w:rsidRDefault="003E074A" w:rsidP="00566A10">
            <w:pPr>
              <w:pStyle w:val="Heading2"/>
              <w:spacing w:line="240" w:lineRule="auto"/>
              <w:jc w:val="center"/>
              <w:rPr>
                <w:rFonts w:cs="Helvetica"/>
                <w:color w:val="595959" w:themeColor="text1" w:themeTint="A6"/>
                <w:sz w:val="18"/>
                <w:szCs w:val="18"/>
              </w:rPr>
            </w:pPr>
            <w:r w:rsidRPr="004F313C">
              <w:rPr>
                <w:rFonts w:cs="Helvetica"/>
                <w:color w:val="595959" w:themeColor="text1" w:themeTint="A6"/>
                <w:sz w:val="18"/>
                <w:szCs w:val="18"/>
              </w:rPr>
              <w:t>Reference</w:t>
            </w:r>
          </w:p>
          <w:p w14:paraId="62B5B2A9" w14:textId="77777777" w:rsidR="003E074A" w:rsidRPr="004F313C" w:rsidRDefault="003E074A" w:rsidP="00566A10">
            <w:pPr>
              <w:pStyle w:val="Heading2"/>
              <w:spacing w:line="240" w:lineRule="auto"/>
              <w:jc w:val="center"/>
              <w:rPr>
                <w:color w:val="595959" w:themeColor="text1" w:themeTint="A6"/>
                <w:sz w:val="18"/>
                <w:szCs w:val="18"/>
              </w:rPr>
            </w:pPr>
            <w:r w:rsidRPr="004F313C">
              <w:rPr>
                <w:rFonts w:cs="Helvetica"/>
                <w:color w:val="595959" w:themeColor="text1" w:themeTint="A6"/>
                <w:sz w:val="18"/>
                <w:szCs w:val="18"/>
              </w:rPr>
              <w:t>(SSP2)</w:t>
            </w:r>
          </w:p>
        </w:tc>
        <w:tc>
          <w:tcPr>
            <w:tcW w:w="2605" w:type="dxa"/>
            <w:gridSpan w:val="2"/>
          </w:tcPr>
          <w:p w14:paraId="6F93E2D8" w14:textId="77777777" w:rsidR="003E074A" w:rsidRPr="004F313C" w:rsidRDefault="003E074A" w:rsidP="00566A10">
            <w:pPr>
              <w:pStyle w:val="Heading2"/>
              <w:spacing w:line="240" w:lineRule="auto"/>
              <w:jc w:val="center"/>
              <w:rPr>
                <w:sz w:val="18"/>
                <w:szCs w:val="18"/>
              </w:rPr>
            </w:pPr>
            <w:r w:rsidRPr="004F313C">
              <w:rPr>
                <w:rFonts w:cs="Helvetica"/>
                <w:color w:val="196B24" w:themeColor="accent3"/>
                <w:sz w:val="18"/>
                <w:szCs w:val="18"/>
              </w:rPr>
              <w:t>Enable</w:t>
            </w:r>
          </w:p>
        </w:tc>
        <w:tc>
          <w:tcPr>
            <w:tcW w:w="3119" w:type="dxa"/>
            <w:vMerge w:val="restart"/>
          </w:tcPr>
          <w:p w14:paraId="1772766D" w14:textId="77777777" w:rsidR="003E074A" w:rsidRPr="004F313C" w:rsidRDefault="003E074A" w:rsidP="00566A10">
            <w:pPr>
              <w:pStyle w:val="Heading2"/>
              <w:spacing w:line="240" w:lineRule="auto"/>
              <w:rPr>
                <w:sz w:val="18"/>
                <w:szCs w:val="18"/>
              </w:rPr>
            </w:pPr>
            <w:r w:rsidRPr="004F313C">
              <w:rPr>
                <w:rFonts w:cs="Helvetica"/>
                <w:color w:val="000000"/>
                <w:sz w:val="18"/>
                <w:szCs w:val="18"/>
              </w:rPr>
              <w:t>notes</w:t>
            </w:r>
          </w:p>
        </w:tc>
      </w:tr>
      <w:tr w:rsidR="003E074A" w:rsidRPr="004F313C" w14:paraId="6F4779A4" w14:textId="77777777" w:rsidTr="00566A10">
        <w:tc>
          <w:tcPr>
            <w:tcW w:w="1263" w:type="dxa"/>
            <w:vMerge/>
          </w:tcPr>
          <w:p w14:paraId="39E2BF12" w14:textId="77777777" w:rsidR="003E074A" w:rsidRPr="004F313C" w:rsidRDefault="003E074A" w:rsidP="00566A10">
            <w:pPr>
              <w:pStyle w:val="Heading2"/>
              <w:spacing w:line="240" w:lineRule="auto"/>
              <w:rPr>
                <w:sz w:val="18"/>
                <w:szCs w:val="18"/>
              </w:rPr>
            </w:pPr>
          </w:p>
        </w:tc>
        <w:tc>
          <w:tcPr>
            <w:tcW w:w="1280" w:type="dxa"/>
            <w:vMerge/>
          </w:tcPr>
          <w:p w14:paraId="4AC8FAC4" w14:textId="77777777" w:rsidR="003E074A" w:rsidRPr="004F313C" w:rsidRDefault="003E074A" w:rsidP="00566A10">
            <w:pPr>
              <w:pStyle w:val="Heading2"/>
              <w:spacing w:line="240" w:lineRule="auto"/>
              <w:rPr>
                <w:sz w:val="18"/>
                <w:szCs w:val="18"/>
              </w:rPr>
            </w:pPr>
          </w:p>
        </w:tc>
        <w:tc>
          <w:tcPr>
            <w:tcW w:w="1651" w:type="dxa"/>
            <w:vMerge/>
          </w:tcPr>
          <w:p w14:paraId="1B491A41" w14:textId="77777777" w:rsidR="003E074A" w:rsidRPr="004F313C" w:rsidRDefault="003E074A" w:rsidP="00566A10">
            <w:pPr>
              <w:pStyle w:val="Heading2"/>
              <w:spacing w:line="240" w:lineRule="auto"/>
              <w:rPr>
                <w:sz w:val="18"/>
                <w:szCs w:val="18"/>
              </w:rPr>
            </w:pPr>
          </w:p>
        </w:tc>
        <w:tc>
          <w:tcPr>
            <w:tcW w:w="1238" w:type="dxa"/>
          </w:tcPr>
          <w:p w14:paraId="5E80FC6A" w14:textId="77777777" w:rsidR="003E074A" w:rsidRPr="004F313C" w:rsidRDefault="003E074A" w:rsidP="00566A10">
            <w:pPr>
              <w:pStyle w:val="Heading2"/>
              <w:spacing w:line="240" w:lineRule="auto"/>
              <w:rPr>
                <w:sz w:val="18"/>
                <w:szCs w:val="18"/>
              </w:rPr>
            </w:pPr>
            <w:r w:rsidRPr="004F313C">
              <w:rPr>
                <w:rFonts w:cs="Helvetica"/>
                <w:color w:val="993300"/>
                <w:sz w:val="18"/>
                <w:szCs w:val="18"/>
              </w:rPr>
              <w:t>Extreme</w:t>
            </w:r>
          </w:p>
        </w:tc>
        <w:tc>
          <w:tcPr>
            <w:tcW w:w="1238" w:type="dxa"/>
          </w:tcPr>
          <w:p w14:paraId="15604F51" w14:textId="77777777" w:rsidR="003E074A" w:rsidRPr="004F313C" w:rsidRDefault="003E074A" w:rsidP="00566A10">
            <w:pPr>
              <w:pStyle w:val="Heading2"/>
              <w:spacing w:line="240" w:lineRule="auto"/>
              <w:rPr>
                <w:color w:val="E97132" w:themeColor="accent2"/>
                <w:sz w:val="18"/>
                <w:szCs w:val="18"/>
              </w:rPr>
            </w:pPr>
            <w:r w:rsidRPr="004F313C">
              <w:rPr>
                <w:rFonts w:cs="Helvetica"/>
                <w:color w:val="E97132" w:themeColor="accent2"/>
                <w:sz w:val="18"/>
                <w:szCs w:val="18"/>
              </w:rPr>
              <w:t>Cautious</w:t>
            </w:r>
          </w:p>
        </w:tc>
        <w:tc>
          <w:tcPr>
            <w:tcW w:w="1635" w:type="dxa"/>
            <w:vMerge/>
          </w:tcPr>
          <w:p w14:paraId="2ACFA3FA" w14:textId="77777777" w:rsidR="003E074A" w:rsidRPr="004F313C" w:rsidRDefault="003E074A" w:rsidP="00566A10">
            <w:pPr>
              <w:pStyle w:val="Heading2"/>
              <w:spacing w:line="240" w:lineRule="auto"/>
              <w:rPr>
                <w:color w:val="595959" w:themeColor="text1" w:themeTint="A6"/>
                <w:sz w:val="18"/>
                <w:szCs w:val="18"/>
              </w:rPr>
            </w:pPr>
          </w:p>
        </w:tc>
        <w:tc>
          <w:tcPr>
            <w:tcW w:w="1329" w:type="dxa"/>
          </w:tcPr>
          <w:p w14:paraId="7AD28795" w14:textId="77777777" w:rsidR="003E074A" w:rsidRPr="004F313C" w:rsidRDefault="003E074A" w:rsidP="00566A10">
            <w:pPr>
              <w:pStyle w:val="Heading2"/>
              <w:spacing w:line="240" w:lineRule="auto"/>
              <w:rPr>
                <w:sz w:val="18"/>
                <w:szCs w:val="18"/>
              </w:rPr>
            </w:pPr>
            <w:r w:rsidRPr="004F313C">
              <w:rPr>
                <w:rFonts w:cs="Helvetica"/>
                <w:color w:val="4EA72E" w:themeColor="accent6"/>
                <w:sz w:val="18"/>
                <w:szCs w:val="18"/>
              </w:rPr>
              <w:t>Cautious</w:t>
            </w:r>
          </w:p>
        </w:tc>
        <w:tc>
          <w:tcPr>
            <w:tcW w:w="1276" w:type="dxa"/>
          </w:tcPr>
          <w:p w14:paraId="79A85031" w14:textId="77777777" w:rsidR="003E074A" w:rsidRPr="004F313C" w:rsidRDefault="003E074A" w:rsidP="00566A10">
            <w:pPr>
              <w:pStyle w:val="Heading2"/>
              <w:spacing w:line="240" w:lineRule="auto"/>
              <w:rPr>
                <w:sz w:val="18"/>
                <w:szCs w:val="18"/>
              </w:rPr>
            </w:pPr>
            <w:r w:rsidRPr="004F313C">
              <w:rPr>
                <w:rFonts w:cs="Helvetica"/>
                <w:color w:val="196B24" w:themeColor="accent3"/>
                <w:sz w:val="18"/>
                <w:szCs w:val="18"/>
              </w:rPr>
              <w:t>Extreme</w:t>
            </w:r>
          </w:p>
        </w:tc>
        <w:tc>
          <w:tcPr>
            <w:tcW w:w="3119" w:type="dxa"/>
            <w:vMerge/>
          </w:tcPr>
          <w:p w14:paraId="49196BC0" w14:textId="77777777" w:rsidR="003E074A" w:rsidRPr="004F313C" w:rsidRDefault="003E074A" w:rsidP="00566A10">
            <w:pPr>
              <w:pStyle w:val="Heading2"/>
              <w:spacing w:line="240" w:lineRule="auto"/>
              <w:rPr>
                <w:sz w:val="18"/>
                <w:szCs w:val="18"/>
              </w:rPr>
            </w:pPr>
          </w:p>
        </w:tc>
      </w:tr>
      <w:tr w:rsidR="003E074A" w:rsidRPr="004F313C" w14:paraId="1437462A" w14:textId="77777777" w:rsidTr="00566A10">
        <w:tc>
          <w:tcPr>
            <w:tcW w:w="1263" w:type="dxa"/>
          </w:tcPr>
          <w:p w14:paraId="24128111"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280" w:type="dxa"/>
          </w:tcPr>
          <w:p w14:paraId="74EE1FA5"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energy system (VRE Integration costs)</w:t>
            </w:r>
          </w:p>
        </w:tc>
        <w:tc>
          <w:tcPr>
            <w:tcW w:w="1651" w:type="dxa"/>
          </w:tcPr>
          <w:p w14:paraId="6E40FF2A"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VRE integration cost (all regions &amp; years)</w:t>
            </w:r>
          </w:p>
        </w:tc>
        <w:tc>
          <w:tcPr>
            <w:tcW w:w="1238" w:type="dxa"/>
          </w:tcPr>
          <w:p w14:paraId="4E89E29F"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no change (=Reference)</w:t>
            </w:r>
          </w:p>
        </w:tc>
        <w:tc>
          <w:tcPr>
            <w:tcW w:w="1238" w:type="dxa"/>
          </w:tcPr>
          <w:p w14:paraId="1AC7CB0D"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no change (=Reference)</w:t>
            </w:r>
          </w:p>
        </w:tc>
        <w:tc>
          <w:tcPr>
            <w:tcW w:w="1635" w:type="dxa"/>
          </w:tcPr>
          <w:p w14:paraId="7DC56AAA"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e.g. 30% of PV resources in low-cost integration (tier 1)</w:t>
            </w:r>
          </w:p>
        </w:tc>
        <w:tc>
          <w:tcPr>
            <w:tcW w:w="1329" w:type="dxa"/>
          </w:tcPr>
          <w:p w14:paraId="1999FDC3"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35% of PV resources in low-cost integration (tier 1)</w:t>
            </w:r>
          </w:p>
        </w:tc>
        <w:tc>
          <w:tcPr>
            <w:tcW w:w="1276" w:type="dxa"/>
          </w:tcPr>
          <w:p w14:paraId="43A8DB03"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bCs w:val="0"/>
                <w:color w:val="196B24" w:themeColor="accent3"/>
                <w:sz w:val="18"/>
                <w:szCs w:val="18"/>
              </w:rPr>
              <w:t>e.g. 70% of PV resources in low-cost integration (tier 1)</w:t>
            </w:r>
          </w:p>
        </w:tc>
        <w:tc>
          <w:tcPr>
            <w:tcW w:w="3119" w:type="dxa"/>
          </w:tcPr>
          <w:p w14:paraId="3FE6CC45" w14:textId="29E01ACE"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 xml:space="preserve">System integration cost of VRE includes grid management and congestion costs, and the additional cost of non-VRE (thermal) generators (cycling cost, low-utilization rate, etc). In </w:t>
            </w: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 xml:space="preserve">, there are four tiers for solar PV penetration sorted from 1 (low VRE share) to 4 (high VRE share). Integration costs increase at higher VRE shares due to more grid congestion </w:t>
            </w:r>
            <w:r>
              <w:rPr>
                <w:rFonts w:cs="Helvetica"/>
                <w:b w:val="0"/>
                <w:bCs w:val="0"/>
                <w:color w:val="000000"/>
                <w:sz w:val="18"/>
                <w:szCs w:val="18"/>
              </w:rPr>
              <w:fldChar w:fldCharType="begin"/>
            </w:r>
            <w:r w:rsidR="00964797">
              <w:rPr>
                <w:rFonts w:cs="Helvetica"/>
                <w:b w:val="0"/>
                <w:bCs w:val="0"/>
                <w:color w:val="000000"/>
                <w:sz w:val="18"/>
                <w:szCs w:val="18"/>
              </w:rPr>
              <w:instrText xml:space="preserve"> ADDIN ZOTERO_ITEM CSL_CITATION {"citationID":"ar12hu7ps8","properties":{"formattedCitation":"\\super 16\\nosupersub{}","plainCitation":"16","noteIndex":0},"citationItems":[{"id":12287,"uris":["http://zotero.org/users/16679130/items/DS8ZUYHV"],"itemData":{"id":12287,"type":"article-journal","abstract":"The integration of wind and solar generators into power systems causes “integration costs” – for grids, balancing services, more flexible operation of thermal plants, and reduced utilization of the capital stock embodied in infrastructure, among other things. This paper proposes a framework to analyze and quantify these costs. We propose a definition of integration costs based on the marginal economic value of electricity, or market value – as such a definition can be more easily used in economic cost-benefit assessment than previous approaches. We suggest decomposing integration costs intro three components, according to the principal characteristics of wind and solar power: temporal variability, uncertainty, and location-constraints. Quantitative estimates of these components are extracted from a review of 100 + published studies. At high penetration rates, say a wind market share of 30–40%, integration costs are found to be 25–35 €/MWh, i.e. up to 50% of generation costs. While these estimates are system-specific and subject to significant uncertainty, integration costs are certainly too large to be ignored in high-penetration assessments (but might be ignored at low penetration). The largest single factor is reduced utilization of capital embodied in thermal plants, a cost component that has not been accounted for in most previous integration studies.","container-title":"Renewable Energy","DOI":"10.1016/j.renene.2014.08.065","ISSN":"0960-1481","journalAbbreviation":"Renewable Energy","page":"925-939","title":"Integration costs revisited – An economic framework for wind and solar variability","volume":"74","author":[{"family":"Hirth","given":"Lion"},{"family":"Ueckerdt","given":"Falko"},{"family":"Edenhofer","given":"Ottmar"}],"issued":{"date-parts":[["2015",2,1]]}}}],"schema":"https://github.com/citation-style-language/schema/raw/master/csl-citation.json"} </w:instrText>
            </w:r>
            <w:r>
              <w:rPr>
                <w:rFonts w:cs="Helvetica"/>
                <w:b w:val="0"/>
                <w:bCs w:val="0"/>
                <w:color w:val="000000"/>
                <w:sz w:val="18"/>
                <w:szCs w:val="18"/>
              </w:rPr>
              <w:fldChar w:fldCharType="separate"/>
            </w:r>
            <w:r w:rsidR="00964797" w:rsidRPr="00964797">
              <w:rPr>
                <w:color w:val="000000"/>
                <w:sz w:val="18"/>
                <w:szCs w:val="24"/>
                <w:vertAlign w:val="superscript"/>
              </w:rPr>
              <w:t>16</w:t>
            </w:r>
            <w:r>
              <w:rPr>
                <w:rFonts w:cs="Helvetica"/>
                <w:b w:val="0"/>
                <w:bCs w:val="0"/>
                <w:color w:val="000000"/>
                <w:sz w:val="18"/>
                <w:szCs w:val="18"/>
              </w:rPr>
              <w:fldChar w:fldCharType="end"/>
            </w:r>
            <w:r w:rsidRPr="004F313C">
              <w:rPr>
                <w:rFonts w:cs="Helvetica"/>
                <w:b w:val="0"/>
                <w:bCs w:val="0"/>
                <w:color w:val="000000"/>
                <w:sz w:val="18"/>
                <w:szCs w:val="18"/>
              </w:rPr>
              <w:t>.</w:t>
            </w:r>
          </w:p>
        </w:tc>
      </w:tr>
      <w:tr w:rsidR="003E074A" w:rsidRPr="004F313C" w14:paraId="625113A4" w14:textId="77777777" w:rsidTr="00566A10">
        <w:tc>
          <w:tcPr>
            <w:tcW w:w="1263" w:type="dxa"/>
          </w:tcPr>
          <w:p w14:paraId="278B7D98"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280" w:type="dxa"/>
            <w:vMerge w:val="restart"/>
          </w:tcPr>
          <w:p w14:paraId="2D5DFCDF"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energy system (VRE capacity contribution to reserve margin)</w:t>
            </w:r>
          </w:p>
        </w:tc>
        <w:tc>
          <w:tcPr>
            <w:tcW w:w="1651" w:type="dxa"/>
          </w:tcPr>
          <w:p w14:paraId="09BAC9E3"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VRE reserve margin in 2050 in WEU region</w:t>
            </w:r>
          </w:p>
        </w:tc>
        <w:tc>
          <w:tcPr>
            <w:tcW w:w="1238" w:type="dxa"/>
          </w:tcPr>
          <w:p w14:paraId="5DDFB8E5"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e.g. 5% greater peak load compared to SSP2</w:t>
            </w:r>
          </w:p>
        </w:tc>
        <w:tc>
          <w:tcPr>
            <w:tcW w:w="1238" w:type="dxa"/>
          </w:tcPr>
          <w:p w14:paraId="6AC50234"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e.g. 1% higher peak load compared to SSP2</w:t>
            </w:r>
          </w:p>
        </w:tc>
        <w:tc>
          <w:tcPr>
            <w:tcW w:w="1635" w:type="dxa"/>
          </w:tcPr>
          <w:p w14:paraId="22F27D01"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 xml:space="preserve">- SSP2 - </w:t>
            </w:r>
          </w:p>
        </w:tc>
        <w:tc>
          <w:tcPr>
            <w:tcW w:w="1329" w:type="dxa"/>
          </w:tcPr>
          <w:p w14:paraId="4BB2496F"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2% lower peak load compared to SSP2</w:t>
            </w:r>
          </w:p>
        </w:tc>
        <w:tc>
          <w:tcPr>
            <w:tcW w:w="1276" w:type="dxa"/>
          </w:tcPr>
          <w:p w14:paraId="11B7F866"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color w:val="196B24" w:themeColor="accent3"/>
                <w:sz w:val="18"/>
                <w:szCs w:val="18"/>
              </w:rPr>
              <w:t xml:space="preserve">e.g. </w:t>
            </w:r>
            <w:r w:rsidRPr="004F313C">
              <w:rPr>
                <w:rFonts w:cs="Helvetica"/>
                <w:b w:val="0"/>
                <w:bCs w:val="0"/>
                <w:color w:val="196B24" w:themeColor="accent3"/>
                <w:sz w:val="18"/>
                <w:szCs w:val="18"/>
              </w:rPr>
              <w:t>7% lower</w:t>
            </w:r>
            <w:r w:rsidRPr="004F313C">
              <w:rPr>
                <w:rFonts w:cs="Helvetica"/>
                <w:b w:val="0"/>
                <w:color w:val="196B24" w:themeColor="accent3"/>
                <w:sz w:val="18"/>
                <w:szCs w:val="18"/>
              </w:rPr>
              <w:t xml:space="preserve"> peak load compared to SSP2</w:t>
            </w:r>
          </w:p>
        </w:tc>
        <w:tc>
          <w:tcPr>
            <w:tcW w:w="3119" w:type="dxa"/>
            <w:vMerge w:val="restart"/>
          </w:tcPr>
          <w:p w14:paraId="59C1290F" w14:textId="35B29EBB"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 xml:space="preserve">Different technologies provide firm capacity based on their availability and power output predictability. Operating reserve margins are the extra firm capacity available for covering demand peaks and fluctuations. With improved output predictability, VRE capacity can contribute to operating reserve margins during periods of power scarcity, and can also reduce peak loads - both these are parameterised in </w:t>
            </w:r>
            <w:proofErr w:type="spellStart"/>
            <w:r w:rsidRPr="004F313C">
              <w:rPr>
                <w:rFonts w:cs="Helvetica"/>
                <w:b w:val="0"/>
                <w:bCs w:val="0"/>
                <w:color w:val="000000"/>
                <w:sz w:val="18"/>
                <w:szCs w:val="18"/>
              </w:rPr>
              <w:t>MESSAGE</w:t>
            </w:r>
            <w:r w:rsidRPr="00F744B0">
              <w:rPr>
                <w:rFonts w:cs="Helvetica"/>
                <w:b w:val="0"/>
                <w:bCs w:val="0"/>
                <w:color w:val="000000"/>
                <w:sz w:val="18"/>
                <w:szCs w:val="18"/>
              </w:rPr>
              <w:t>iX</w:t>
            </w:r>
            <w:proofErr w:type="spellEnd"/>
            <w:r w:rsidRPr="00F744B0">
              <w:rPr>
                <w:rFonts w:cs="Helvetica"/>
                <w:b w:val="0"/>
                <w:bCs w:val="0"/>
                <w:color w:val="000000"/>
                <w:sz w:val="18"/>
                <w:szCs w:val="18"/>
              </w:rPr>
              <w:t xml:space="preserve"> </w:t>
            </w:r>
            <w:r w:rsidRPr="00F744B0">
              <w:rPr>
                <w:rFonts w:cs="Helvetica"/>
                <w:b w:val="0"/>
                <w:bCs w:val="0"/>
                <w:color w:val="000000"/>
                <w:sz w:val="18"/>
                <w:szCs w:val="18"/>
              </w:rPr>
              <w:fldChar w:fldCharType="begin"/>
            </w:r>
            <w:r w:rsidR="00964797">
              <w:rPr>
                <w:rFonts w:cs="Helvetica"/>
                <w:b w:val="0"/>
                <w:bCs w:val="0"/>
                <w:color w:val="000000"/>
                <w:sz w:val="18"/>
                <w:szCs w:val="18"/>
              </w:rPr>
              <w:instrText xml:space="preserve"> ADDIN ZOTERO_ITEM CSL_CITATION {"citationID":"a1sgg9edple","properties":{"formattedCitation":"\\super 17,18\\nosupersub{}","plainCitation":"17,18","noteIndex":0},"citationItems":[{"id":12286,"uris":["http://zotero.org/users/16679130/items/898MYU2I"],"itemData":{"id":12286,"type":"article-journal","abstract":"In many climate change mitigation scenarios, integrated assessment models of the energy and climate systems rely heavily on renewable energy technologies with variable and uncertain generation, such as wind and solar PV, to achieve substantial decarbonization of the electricity sector. However, these models often include very little temporal resolution and thus have difficulty in representing the integration costs that arise from mismatches between electricity supply and demand. The global integrated assessment model, MESSAGE, has been updated to explicitly model the trade-offs between variable renewable energy (VRE) deployment and its impacts on the electricity system, including the implications for electricity curtailment, backup capacity, and system flexibility. These impacts have been parameterized using a reduced-form approach, which allows VRE integration impacts to be quantified on a regional basis. In addition, thermoelectric technologies were updated to include two modes of operation, baseload and flexible, to better account for the cost, efficiency, and availability penalties associated with flexible operation. In this paper, the modeling approach used in MESSAGE is explained and the implications for VRE deployment in mitigation scenarios are assessed. Three important stylized facts associated with integrating high VRE shares are successfully reproduced by our modeling approach: (1) the significant reduction in the utilization of non-VRE power plants; (2) the diminishing role for traditional baseload generators, such as nuclear and coal, and the transition to more flexible technologies; and (3) the importance of electricity storage and hydrogen electrolysis in facilitating the deployment of VRE.","container-title":"Energy Economics","DOI":"10.1016/j.eneco.2016.07.010","ISSN":"0140-9883","journalAbbreviation":"Energy Economics","page":"651-664","title":"A reduced-form approach for representing the impacts of wind and solar PV deployment on the structure and operation of the electricity system","volume":"64","author":[{"family":"Johnson","given":"Nils"},{"family":"Strubegger","given":"Manfred"},{"family":"McPherson","given":"Madeleine"},{"family":"Parkinson","given":"Simon C."},{"family":"Krey","given":"Volker"},{"family":"Sullivan","given":"Patrick"}],"issued":{"date-parts":[["2017",5,1]]}}},{"id":12275,"uris":["http://zotero.org/users/16679130/items/XQJP2XWN"],"itemData":{"id":12275,"type":"article-journal","abstract":"This paper introduces a methodology for incorporating metrics for electric-sector reliability into a global Integrated Assessment Model. Using load, resource availability, and system dispatch data with high temporal resolution, we designed a set of reduced-form constraints that guide investment and usage decisions among power plants in IIASA's MESSAGE model. The analysis examines how such reliability metrics impact modeled system build-out, including in scenarios with greenhouse gas (GHG) limits. Scenarios show how carefully chosen model constraints can allow a flexible approach to treating integrations concerns of variable renewable technologies into the electric sector in a high-level energy model.","container-title":"Future Energy Systems and Market Integration of Wind Power","DOI":"10.1016/j.esr.2013.01.001","ISSN":"2211-467X","issue":"3","journalAbbreviation":"Energy Strategy Reviews","page":"157-163","title":"Impacts of considering electric sector variability and reliability in the MESSAGE model","volume":"1","author":[{"family":"Sullivan","given":"Patrick"},{"family":"Krey","given":"Volker"},{"family":"Riahi","given":"Keywan"}],"issued":{"date-parts":[["2013",3,1]]}}}],"schema":"https://github.com/citation-style-language/schema/raw/master/csl-citation.json"} </w:instrText>
            </w:r>
            <w:r w:rsidRPr="00F744B0">
              <w:rPr>
                <w:rFonts w:cs="Helvetica"/>
                <w:b w:val="0"/>
                <w:bCs w:val="0"/>
                <w:color w:val="000000"/>
                <w:sz w:val="18"/>
                <w:szCs w:val="18"/>
              </w:rPr>
              <w:fldChar w:fldCharType="separate"/>
            </w:r>
            <w:r w:rsidR="00964797" w:rsidRPr="00964797">
              <w:rPr>
                <w:color w:val="000000"/>
                <w:sz w:val="18"/>
                <w:szCs w:val="24"/>
                <w:vertAlign w:val="superscript"/>
              </w:rPr>
              <w:t>17,18</w:t>
            </w:r>
            <w:r w:rsidRPr="00F744B0">
              <w:rPr>
                <w:rFonts w:cs="Helvetica"/>
                <w:b w:val="0"/>
                <w:bCs w:val="0"/>
                <w:color w:val="000000"/>
                <w:sz w:val="18"/>
                <w:szCs w:val="18"/>
              </w:rPr>
              <w:fldChar w:fldCharType="end"/>
            </w:r>
            <w:r w:rsidRPr="00F744B0">
              <w:rPr>
                <w:rFonts w:cs="Helvetica"/>
                <w:b w:val="0"/>
                <w:bCs w:val="0"/>
                <w:color w:val="000000"/>
                <w:sz w:val="18"/>
                <w:szCs w:val="18"/>
              </w:rPr>
              <w:t>.</w:t>
            </w:r>
          </w:p>
        </w:tc>
      </w:tr>
      <w:tr w:rsidR="003E074A" w:rsidRPr="004F313C" w14:paraId="1755EBF1" w14:textId="77777777" w:rsidTr="00566A10">
        <w:tc>
          <w:tcPr>
            <w:tcW w:w="1263" w:type="dxa"/>
          </w:tcPr>
          <w:p w14:paraId="5B6B69B2"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280" w:type="dxa"/>
            <w:vMerge/>
          </w:tcPr>
          <w:p w14:paraId="42C2B9D1" w14:textId="77777777" w:rsidR="003E074A" w:rsidRPr="004F313C" w:rsidRDefault="003E074A" w:rsidP="00566A10">
            <w:pPr>
              <w:pStyle w:val="Heading2"/>
              <w:spacing w:line="240" w:lineRule="auto"/>
              <w:rPr>
                <w:b w:val="0"/>
                <w:bCs w:val="0"/>
                <w:sz w:val="18"/>
                <w:szCs w:val="18"/>
              </w:rPr>
            </w:pPr>
          </w:p>
        </w:tc>
        <w:tc>
          <w:tcPr>
            <w:tcW w:w="1651" w:type="dxa"/>
          </w:tcPr>
          <w:p w14:paraId="435F4CD6"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maximum solar PV capacity contribution to peak capacity in 2050 in WEU region</w:t>
            </w:r>
          </w:p>
        </w:tc>
        <w:tc>
          <w:tcPr>
            <w:tcW w:w="1238" w:type="dxa"/>
          </w:tcPr>
          <w:p w14:paraId="3A137347"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e.g. max 10% solar PV capacity value</w:t>
            </w:r>
          </w:p>
        </w:tc>
        <w:tc>
          <w:tcPr>
            <w:tcW w:w="1238" w:type="dxa"/>
          </w:tcPr>
          <w:p w14:paraId="173A33DA"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e.g. max 14% solar PV capacity value</w:t>
            </w:r>
          </w:p>
        </w:tc>
        <w:tc>
          <w:tcPr>
            <w:tcW w:w="1635" w:type="dxa"/>
          </w:tcPr>
          <w:p w14:paraId="2EE3E97E"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e.g. max 15% solar PV capacity value</w:t>
            </w:r>
          </w:p>
        </w:tc>
        <w:tc>
          <w:tcPr>
            <w:tcW w:w="1329" w:type="dxa"/>
          </w:tcPr>
          <w:p w14:paraId="7881628F"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max 34% solar PV capacity value</w:t>
            </w:r>
          </w:p>
        </w:tc>
        <w:tc>
          <w:tcPr>
            <w:tcW w:w="1276" w:type="dxa"/>
          </w:tcPr>
          <w:p w14:paraId="16AEF559"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color w:val="196B24" w:themeColor="accent3"/>
                <w:sz w:val="18"/>
                <w:szCs w:val="18"/>
              </w:rPr>
              <w:t xml:space="preserve">e.g. max </w:t>
            </w:r>
            <w:r w:rsidRPr="004F313C">
              <w:rPr>
                <w:rFonts w:cs="Helvetica"/>
                <w:b w:val="0"/>
                <w:bCs w:val="0"/>
                <w:color w:val="196B24" w:themeColor="accent3"/>
                <w:sz w:val="18"/>
                <w:szCs w:val="18"/>
              </w:rPr>
              <w:t>36</w:t>
            </w:r>
            <w:r w:rsidRPr="004F313C">
              <w:rPr>
                <w:rFonts w:cs="Helvetica"/>
                <w:b w:val="0"/>
                <w:color w:val="196B24" w:themeColor="accent3"/>
                <w:sz w:val="18"/>
                <w:szCs w:val="18"/>
              </w:rPr>
              <w:t>% solar PV capacity value</w:t>
            </w:r>
          </w:p>
        </w:tc>
        <w:tc>
          <w:tcPr>
            <w:tcW w:w="3119" w:type="dxa"/>
            <w:vMerge/>
          </w:tcPr>
          <w:p w14:paraId="5107124D" w14:textId="77777777" w:rsidR="003E074A" w:rsidRPr="004F313C" w:rsidRDefault="003E074A" w:rsidP="00566A10">
            <w:pPr>
              <w:pStyle w:val="Heading2"/>
              <w:spacing w:line="240" w:lineRule="auto"/>
              <w:rPr>
                <w:b w:val="0"/>
                <w:bCs w:val="0"/>
                <w:sz w:val="18"/>
                <w:szCs w:val="18"/>
              </w:rPr>
            </w:pPr>
          </w:p>
        </w:tc>
      </w:tr>
      <w:tr w:rsidR="003E074A" w:rsidRPr="004F313C" w14:paraId="0F1A9400" w14:textId="77777777" w:rsidTr="00566A10">
        <w:tc>
          <w:tcPr>
            <w:tcW w:w="1263" w:type="dxa"/>
          </w:tcPr>
          <w:p w14:paraId="56493977"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280" w:type="dxa"/>
            <w:vMerge w:val="restart"/>
          </w:tcPr>
          <w:p w14:paraId="522E7DEB"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energy system (VRE impact on operating reserve &amp; flexibility needs)</w:t>
            </w:r>
          </w:p>
        </w:tc>
        <w:tc>
          <w:tcPr>
            <w:tcW w:w="1651" w:type="dxa"/>
          </w:tcPr>
          <w:p w14:paraId="5CA18B98"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solar PV flexibility needs (all regions &amp; years)</w:t>
            </w:r>
          </w:p>
        </w:tc>
        <w:tc>
          <w:tcPr>
            <w:tcW w:w="1238" w:type="dxa"/>
          </w:tcPr>
          <w:p w14:paraId="3C751D49"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e.g. up to 57% of solar PV generation needed as storage discharge or flexible generation</w:t>
            </w:r>
          </w:p>
        </w:tc>
        <w:tc>
          <w:tcPr>
            <w:tcW w:w="1238" w:type="dxa"/>
          </w:tcPr>
          <w:p w14:paraId="73F155E7"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e.g. up to 56% of solar PV generation needed as storage discharge or flexible generation</w:t>
            </w:r>
          </w:p>
        </w:tc>
        <w:tc>
          <w:tcPr>
            <w:tcW w:w="1635" w:type="dxa"/>
          </w:tcPr>
          <w:p w14:paraId="0C797DB3"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e.g. up to 45% of solar PV generation needed as storage discharge or flexible generation</w:t>
            </w:r>
          </w:p>
        </w:tc>
        <w:tc>
          <w:tcPr>
            <w:tcW w:w="1329" w:type="dxa"/>
          </w:tcPr>
          <w:p w14:paraId="2BD7FC64"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up to 31% of solar PV generation needed as storage discharge or flexible generation</w:t>
            </w:r>
          </w:p>
        </w:tc>
        <w:tc>
          <w:tcPr>
            <w:tcW w:w="1276" w:type="dxa"/>
          </w:tcPr>
          <w:p w14:paraId="17FA634B"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color w:val="196B24" w:themeColor="accent3"/>
                <w:sz w:val="18"/>
                <w:szCs w:val="18"/>
              </w:rPr>
              <w:t xml:space="preserve">e.g. up to </w:t>
            </w:r>
            <w:r w:rsidRPr="004F313C">
              <w:rPr>
                <w:rFonts w:cs="Helvetica"/>
                <w:b w:val="0"/>
                <w:bCs w:val="0"/>
                <w:color w:val="196B24" w:themeColor="accent3"/>
                <w:sz w:val="18"/>
                <w:szCs w:val="18"/>
              </w:rPr>
              <w:t>20</w:t>
            </w:r>
            <w:r w:rsidRPr="004F313C">
              <w:rPr>
                <w:rFonts w:cs="Helvetica"/>
                <w:b w:val="0"/>
                <w:color w:val="196B24" w:themeColor="accent3"/>
                <w:sz w:val="18"/>
                <w:szCs w:val="18"/>
              </w:rPr>
              <w:t>% of solar PV generation needed as storage discharge or flexible generation</w:t>
            </w:r>
          </w:p>
        </w:tc>
        <w:tc>
          <w:tcPr>
            <w:tcW w:w="3119" w:type="dxa"/>
            <w:vMerge w:val="restart"/>
          </w:tcPr>
          <w:p w14:paraId="7BBFFB5A" w14:textId="31FD05E2"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 xml:space="preserve">In </w:t>
            </w: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 xml:space="preserve">, VRE impacts short-term balancing needs in the system, i.e., how the rest of the system can adjust its power output to match supply and demand </w:t>
            </w:r>
            <w:r>
              <w:rPr>
                <w:rFonts w:cs="Helvetica"/>
                <w:b w:val="0"/>
                <w:bCs w:val="0"/>
                <w:color w:val="000000"/>
                <w:sz w:val="18"/>
                <w:szCs w:val="18"/>
              </w:rPr>
              <w:fldChar w:fldCharType="begin"/>
            </w:r>
            <w:r w:rsidR="00964797">
              <w:rPr>
                <w:rFonts w:cs="Helvetica"/>
                <w:b w:val="0"/>
                <w:bCs w:val="0"/>
                <w:color w:val="000000"/>
                <w:sz w:val="18"/>
                <w:szCs w:val="18"/>
              </w:rPr>
              <w:instrText xml:space="preserve"> ADDIN ZOTERO_ITEM CSL_CITATION {"citationID":"pL8uJS63","properties":{"formattedCitation":"\\super 18\\nosupersub{}","plainCitation":"18","noteIndex":0},"citationItems":[{"id":12275,"uris":["http://zotero.org/users/16679130/items/XQJP2XWN"],"itemData":{"id":12275,"type":"article-journal","abstract":"This paper introduces a methodology for incorporating metrics for electric-sector reliability into a global Integrated Assessment Model. Using load, resource availability, and system dispatch data with high temporal resolution, we designed a set of reduced-form constraints that guide investment and usage decisions among power plants in IIASA's MESSAGE model. The analysis examines how such reliability metrics impact modeled system build-out, including in scenarios with greenhouse gas (GHG) limits. Scenarios show how carefully chosen model constraints can allow a flexible approach to treating integrations concerns of variable renewable technologies into the electric sector in a high-level energy model.","container-title":"Future Energy Systems and Market Integration of Wind Power","DOI":"10.1016/j.esr.2013.01.001","ISSN":"2211-467X","issue":"3","journalAbbreviation":"Energy Strategy Reviews","page":"157-163","title":"Impacts of considering electric sector variability and reliability in the MESSAGE model","volume":"1","author":[{"family":"Sullivan","given":"Patrick"},{"family":"Krey","given":"Volker"},{"family":"Riahi","given":"Keywan"}],"issued":{"date-parts":[["2013",3,1]]}}}],"schema":"https://github.com/citation-style-language/schema/raw/master/csl-citation.json"} </w:instrText>
            </w:r>
            <w:r>
              <w:rPr>
                <w:rFonts w:cs="Helvetica"/>
                <w:b w:val="0"/>
                <w:bCs w:val="0"/>
                <w:color w:val="000000"/>
                <w:sz w:val="18"/>
                <w:szCs w:val="18"/>
              </w:rPr>
              <w:fldChar w:fldCharType="separate"/>
            </w:r>
            <w:r w:rsidR="00964797" w:rsidRPr="00964797">
              <w:rPr>
                <w:color w:val="000000"/>
                <w:sz w:val="18"/>
                <w:szCs w:val="24"/>
                <w:vertAlign w:val="superscript"/>
              </w:rPr>
              <w:t>18</w:t>
            </w:r>
            <w:r>
              <w:rPr>
                <w:rFonts w:cs="Helvetica"/>
                <w:b w:val="0"/>
                <w:bCs w:val="0"/>
                <w:color w:val="000000"/>
                <w:sz w:val="18"/>
                <w:szCs w:val="18"/>
              </w:rPr>
              <w:fldChar w:fldCharType="end"/>
            </w:r>
            <w:r w:rsidRPr="004F313C">
              <w:rPr>
                <w:rFonts w:cs="Helvetica"/>
                <w:b w:val="0"/>
                <w:bCs w:val="0"/>
                <w:color w:val="000000"/>
                <w:sz w:val="18"/>
                <w:szCs w:val="18"/>
              </w:rPr>
              <w:t>. Supply technologies, storage, and demand</w:t>
            </w:r>
            <w:r>
              <w:rPr>
                <w:rFonts w:cs="Helvetica"/>
                <w:b w:val="0"/>
                <w:bCs w:val="0"/>
                <w:color w:val="000000"/>
                <w:sz w:val="18"/>
                <w:szCs w:val="18"/>
              </w:rPr>
              <w:t xml:space="preserve"> response</w:t>
            </w:r>
            <w:r w:rsidRPr="004F313C">
              <w:rPr>
                <w:rFonts w:cs="Helvetica"/>
                <w:b w:val="0"/>
                <w:bCs w:val="0"/>
                <w:color w:val="000000"/>
                <w:sz w:val="18"/>
                <w:szCs w:val="18"/>
              </w:rPr>
              <w:t xml:space="preserve"> contribute to flexibility. VRE requires flexibility to </w:t>
            </w:r>
            <w:r w:rsidRPr="004F313C">
              <w:rPr>
                <w:rFonts w:cs="Helvetica"/>
                <w:b w:val="0"/>
                <w:bCs w:val="0"/>
                <w:color w:val="000000"/>
                <w:sz w:val="18"/>
                <w:szCs w:val="18"/>
              </w:rPr>
              <w:lastRenderedPageBreak/>
              <w:t>balance out its variability. For example, 20% flexibility needs means that for 1 TWh of solar PV generation there must be 0.2 TWh flexible generation or storage discharge.</w:t>
            </w:r>
          </w:p>
        </w:tc>
      </w:tr>
      <w:tr w:rsidR="003E074A" w:rsidRPr="004F313C" w14:paraId="0B405CCA" w14:textId="77777777" w:rsidTr="00566A10">
        <w:tc>
          <w:tcPr>
            <w:tcW w:w="1263" w:type="dxa"/>
          </w:tcPr>
          <w:p w14:paraId="09AC717C"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lastRenderedPageBreak/>
              <w:t>MESSAGEiX</w:t>
            </w:r>
            <w:proofErr w:type="spellEnd"/>
          </w:p>
        </w:tc>
        <w:tc>
          <w:tcPr>
            <w:tcW w:w="1280" w:type="dxa"/>
            <w:vMerge/>
          </w:tcPr>
          <w:p w14:paraId="378A5F57" w14:textId="77777777" w:rsidR="003E074A" w:rsidRPr="004F313C" w:rsidRDefault="003E074A" w:rsidP="00566A10">
            <w:pPr>
              <w:pStyle w:val="Heading2"/>
              <w:spacing w:line="240" w:lineRule="auto"/>
              <w:rPr>
                <w:b w:val="0"/>
                <w:bCs w:val="0"/>
                <w:sz w:val="18"/>
                <w:szCs w:val="18"/>
              </w:rPr>
            </w:pPr>
          </w:p>
        </w:tc>
        <w:tc>
          <w:tcPr>
            <w:tcW w:w="1651" w:type="dxa"/>
          </w:tcPr>
          <w:p w14:paraId="52785669"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EV smart charging flexibility (all regions &amp; years)</w:t>
            </w:r>
          </w:p>
        </w:tc>
        <w:tc>
          <w:tcPr>
            <w:tcW w:w="1238" w:type="dxa"/>
          </w:tcPr>
          <w:p w14:paraId="6D97D0C2"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e.g. 3% of EV charging load is flexible</w:t>
            </w:r>
          </w:p>
        </w:tc>
        <w:tc>
          <w:tcPr>
            <w:tcW w:w="1238" w:type="dxa"/>
          </w:tcPr>
          <w:p w14:paraId="7430A1C7"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e.g. 3% of EV charging load is flexible</w:t>
            </w:r>
          </w:p>
        </w:tc>
        <w:tc>
          <w:tcPr>
            <w:tcW w:w="1635" w:type="dxa"/>
          </w:tcPr>
          <w:p w14:paraId="08BB4083"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e.g. 5% of EV charging load is flexible</w:t>
            </w:r>
          </w:p>
        </w:tc>
        <w:tc>
          <w:tcPr>
            <w:tcW w:w="1329" w:type="dxa"/>
          </w:tcPr>
          <w:p w14:paraId="12A6A6C0"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5% of EV charging load is flexible</w:t>
            </w:r>
          </w:p>
        </w:tc>
        <w:tc>
          <w:tcPr>
            <w:tcW w:w="1276" w:type="dxa"/>
          </w:tcPr>
          <w:p w14:paraId="1E57E054"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color w:val="196B24" w:themeColor="accent3"/>
                <w:sz w:val="18"/>
                <w:szCs w:val="18"/>
              </w:rPr>
              <w:t xml:space="preserve">e.g. </w:t>
            </w:r>
            <w:r w:rsidRPr="004F313C">
              <w:rPr>
                <w:rFonts w:cs="Helvetica"/>
                <w:b w:val="0"/>
                <w:bCs w:val="0"/>
                <w:color w:val="196B24" w:themeColor="accent3"/>
                <w:sz w:val="18"/>
                <w:szCs w:val="18"/>
              </w:rPr>
              <w:t>20</w:t>
            </w:r>
            <w:r w:rsidRPr="004F313C">
              <w:rPr>
                <w:rFonts w:cs="Helvetica"/>
                <w:b w:val="0"/>
                <w:color w:val="196B24" w:themeColor="accent3"/>
                <w:sz w:val="18"/>
                <w:szCs w:val="18"/>
              </w:rPr>
              <w:t>% of EV charging load is flexible</w:t>
            </w:r>
          </w:p>
        </w:tc>
        <w:tc>
          <w:tcPr>
            <w:tcW w:w="3119" w:type="dxa"/>
            <w:vMerge/>
          </w:tcPr>
          <w:p w14:paraId="2C45C26B" w14:textId="77777777" w:rsidR="003E074A" w:rsidRPr="004F313C" w:rsidRDefault="003E074A" w:rsidP="00566A10">
            <w:pPr>
              <w:pStyle w:val="Heading2"/>
              <w:spacing w:line="240" w:lineRule="auto"/>
              <w:rPr>
                <w:b w:val="0"/>
                <w:bCs w:val="0"/>
                <w:sz w:val="18"/>
                <w:szCs w:val="18"/>
              </w:rPr>
            </w:pPr>
          </w:p>
        </w:tc>
      </w:tr>
      <w:tr w:rsidR="003E074A" w:rsidRPr="004F313C" w14:paraId="5F4D6C7D" w14:textId="77777777" w:rsidTr="00566A10">
        <w:tc>
          <w:tcPr>
            <w:tcW w:w="1263" w:type="dxa"/>
          </w:tcPr>
          <w:p w14:paraId="3F3463A9"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280" w:type="dxa"/>
          </w:tcPr>
          <w:p w14:paraId="57E01FA9"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energy system (distributed VRE output)</w:t>
            </w:r>
          </w:p>
        </w:tc>
        <w:tc>
          <w:tcPr>
            <w:tcW w:w="1651" w:type="dxa"/>
          </w:tcPr>
          <w:p w14:paraId="4C2B8B5B"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parameter adjustment on maximum rooftop PV shares in building sector (all regions &amp; years)</w:t>
            </w:r>
          </w:p>
        </w:tc>
        <w:tc>
          <w:tcPr>
            <w:tcW w:w="1238" w:type="dxa"/>
          </w:tcPr>
          <w:p w14:paraId="3D8E10A7"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no change</w:t>
            </w:r>
          </w:p>
        </w:tc>
        <w:tc>
          <w:tcPr>
            <w:tcW w:w="1238" w:type="dxa"/>
          </w:tcPr>
          <w:p w14:paraId="0E21B468"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 xml:space="preserve">no change </w:t>
            </w:r>
          </w:p>
        </w:tc>
        <w:tc>
          <w:tcPr>
            <w:tcW w:w="1635" w:type="dxa"/>
          </w:tcPr>
          <w:p w14:paraId="3E12B62D"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e.g. 35% max share</w:t>
            </w:r>
          </w:p>
        </w:tc>
        <w:tc>
          <w:tcPr>
            <w:tcW w:w="1329" w:type="dxa"/>
          </w:tcPr>
          <w:p w14:paraId="6EE39F42"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e.g. 40% max share</w:t>
            </w:r>
          </w:p>
        </w:tc>
        <w:tc>
          <w:tcPr>
            <w:tcW w:w="1276" w:type="dxa"/>
          </w:tcPr>
          <w:p w14:paraId="2D6188AF"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bCs w:val="0"/>
                <w:color w:val="196B24" w:themeColor="accent3"/>
                <w:sz w:val="18"/>
                <w:szCs w:val="18"/>
              </w:rPr>
              <w:t>e.g. 45% max share</w:t>
            </w:r>
          </w:p>
        </w:tc>
        <w:tc>
          <w:tcPr>
            <w:tcW w:w="3119" w:type="dxa"/>
          </w:tcPr>
          <w:p w14:paraId="11C57606"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r w:rsidRPr="004F313C">
              <w:rPr>
                <w:rFonts w:cs="Helvetica"/>
                <w:b w:val="0"/>
                <w:bCs w:val="0"/>
                <w:color w:val="000000"/>
                <w:sz w:val="18"/>
                <w:szCs w:val="18"/>
              </w:rPr>
              <w:t xml:space="preserve"> constrains the maximum share of residential and commercial sector electricity that can be supplied by rooftop solar PV.</w:t>
            </w:r>
          </w:p>
        </w:tc>
      </w:tr>
      <w:tr w:rsidR="003E074A" w:rsidRPr="004F313C" w14:paraId="4EDB08E7" w14:textId="77777777" w:rsidTr="00566A10">
        <w:tc>
          <w:tcPr>
            <w:tcW w:w="1263" w:type="dxa"/>
          </w:tcPr>
          <w:p w14:paraId="3847ECF9" w14:textId="77777777" w:rsidR="003E074A" w:rsidRPr="004F313C" w:rsidRDefault="003E074A" w:rsidP="00566A10">
            <w:pPr>
              <w:pStyle w:val="Heading2"/>
              <w:spacing w:line="240" w:lineRule="auto"/>
              <w:rPr>
                <w:b w:val="0"/>
                <w:bCs w:val="0"/>
                <w:sz w:val="18"/>
                <w:szCs w:val="18"/>
              </w:rPr>
            </w:pPr>
            <w:proofErr w:type="spellStart"/>
            <w:r w:rsidRPr="004F313C">
              <w:rPr>
                <w:rFonts w:cs="Helvetica"/>
                <w:b w:val="0"/>
                <w:bCs w:val="0"/>
                <w:color w:val="000000"/>
                <w:sz w:val="18"/>
                <w:szCs w:val="18"/>
              </w:rPr>
              <w:t>MESSAGEiX</w:t>
            </w:r>
            <w:proofErr w:type="spellEnd"/>
          </w:p>
        </w:tc>
        <w:tc>
          <w:tcPr>
            <w:tcW w:w="1280" w:type="dxa"/>
          </w:tcPr>
          <w:p w14:paraId="3A5AE612"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energy supply</w:t>
            </w:r>
          </w:p>
        </w:tc>
        <w:tc>
          <w:tcPr>
            <w:tcW w:w="1651" w:type="dxa"/>
          </w:tcPr>
          <w:p w14:paraId="4C3923AB"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examples: % changes from reference in 2050 in all regions</w:t>
            </w:r>
          </w:p>
        </w:tc>
        <w:tc>
          <w:tcPr>
            <w:tcW w:w="1238" w:type="dxa"/>
          </w:tcPr>
          <w:p w14:paraId="471A3CE0" w14:textId="77777777" w:rsidR="003E074A" w:rsidRPr="004F313C" w:rsidRDefault="003E074A" w:rsidP="00566A10">
            <w:pPr>
              <w:pStyle w:val="Heading2"/>
              <w:spacing w:line="240" w:lineRule="auto"/>
              <w:rPr>
                <w:b w:val="0"/>
                <w:bCs w:val="0"/>
                <w:color w:val="C00000"/>
                <w:sz w:val="18"/>
                <w:szCs w:val="18"/>
              </w:rPr>
            </w:pPr>
            <w:r w:rsidRPr="004F313C">
              <w:rPr>
                <w:rFonts w:cs="Helvetica"/>
                <w:b w:val="0"/>
                <w:bCs w:val="0"/>
                <w:color w:val="C00000"/>
                <w:sz w:val="18"/>
                <w:szCs w:val="18"/>
              </w:rPr>
              <w:t>e.g. -10% unconventional reserves extraction cost, +3% conventional reserve size</w:t>
            </w:r>
          </w:p>
        </w:tc>
        <w:tc>
          <w:tcPr>
            <w:tcW w:w="1238" w:type="dxa"/>
          </w:tcPr>
          <w:p w14:paraId="549E2A7A" w14:textId="77777777" w:rsidR="003E074A" w:rsidRPr="004F313C" w:rsidRDefault="003E074A" w:rsidP="00566A10">
            <w:pPr>
              <w:pStyle w:val="Heading2"/>
              <w:spacing w:line="240" w:lineRule="auto"/>
              <w:rPr>
                <w:b w:val="0"/>
                <w:bCs w:val="0"/>
                <w:color w:val="E97132" w:themeColor="accent2"/>
                <w:sz w:val="18"/>
                <w:szCs w:val="18"/>
              </w:rPr>
            </w:pPr>
            <w:r w:rsidRPr="004F313C">
              <w:rPr>
                <w:rFonts w:cs="Helvetica"/>
                <w:b w:val="0"/>
                <w:bCs w:val="0"/>
                <w:color w:val="E97132" w:themeColor="accent2"/>
                <w:sz w:val="18"/>
                <w:szCs w:val="18"/>
              </w:rPr>
              <w:t>e.g. -10% unconventional reserves extraction cost</w:t>
            </w:r>
          </w:p>
        </w:tc>
        <w:tc>
          <w:tcPr>
            <w:tcW w:w="1635" w:type="dxa"/>
          </w:tcPr>
          <w:p w14:paraId="52D060A3" w14:textId="77777777" w:rsidR="003E074A" w:rsidRPr="004F313C" w:rsidRDefault="003E074A" w:rsidP="00566A10">
            <w:pPr>
              <w:pStyle w:val="Heading2"/>
              <w:spacing w:line="240" w:lineRule="auto"/>
              <w:jc w:val="center"/>
              <w:rPr>
                <w:b w:val="0"/>
                <w:color w:val="595959" w:themeColor="text1" w:themeTint="A6"/>
                <w:sz w:val="18"/>
                <w:szCs w:val="18"/>
              </w:rPr>
            </w:pPr>
            <w:r w:rsidRPr="004F313C">
              <w:rPr>
                <w:rFonts w:cs="Helvetica"/>
                <w:b w:val="0"/>
                <w:color w:val="595959" w:themeColor="text1" w:themeTint="A6"/>
                <w:sz w:val="18"/>
                <w:szCs w:val="18"/>
              </w:rPr>
              <w:t xml:space="preserve">- SSP2 - </w:t>
            </w:r>
          </w:p>
        </w:tc>
        <w:tc>
          <w:tcPr>
            <w:tcW w:w="1329" w:type="dxa"/>
          </w:tcPr>
          <w:p w14:paraId="1F1830A6" w14:textId="77777777" w:rsidR="003E074A" w:rsidRPr="004F313C" w:rsidRDefault="003E074A" w:rsidP="00566A10">
            <w:pPr>
              <w:pStyle w:val="Heading2"/>
              <w:spacing w:line="240" w:lineRule="auto"/>
              <w:rPr>
                <w:b w:val="0"/>
                <w:bCs w:val="0"/>
                <w:color w:val="4EA72E" w:themeColor="accent6"/>
                <w:sz w:val="18"/>
                <w:szCs w:val="18"/>
              </w:rPr>
            </w:pPr>
            <w:r w:rsidRPr="004F313C">
              <w:rPr>
                <w:rFonts w:cs="Helvetica"/>
                <w:b w:val="0"/>
                <w:bCs w:val="0"/>
                <w:color w:val="4EA72E" w:themeColor="accent6"/>
                <w:sz w:val="18"/>
                <w:szCs w:val="18"/>
              </w:rPr>
              <w:t>no change (=Reference)</w:t>
            </w:r>
          </w:p>
        </w:tc>
        <w:tc>
          <w:tcPr>
            <w:tcW w:w="1276" w:type="dxa"/>
          </w:tcPr>
          <w:p w14:paraId="7E0F0533" w14:textId="77777777" w:rsidR="003E074A" w:rsidRPr="004F313C" w:rsidRDefault="003E074A" w:rsidP="00566A10">
            <w:pPr>
              <w:pStyle w:val="Heading2"/>
              <w:spacing w:line="240" w:lineRule="auto"/>
              <w:rPr>
                <w:b w:val="0"/>
                <w:color w:val="196B24" w:themeColor="accent3"/>
                <w:sz w:val="18"/>
                <w:szCs w:val="18"/>
              </w:rPr>
            </w:pPr>
            <w:r w:rsidRPr="004F313C">
              <w:rPr>
                <w:rFonts w:cs="Helvetica"/>
                <w:b w:val="0"/>
                <w:bCs w:val="0"/>
                <w:color w:val="196B24" w:themeColor="accent3"/>
                <w:sz w:val="18"/>
                <w:szCs w:val="18"/>
              </w:rPr>
              <w:t>no change (=Reference)</w:t>
            </w:r>
          </w:p>
        </w:tc>
        <w:tc>
          <w:tcPr>
            <w:tcW w:w="3119" w:type="dxa"/>
          </w:tcPr>
          <w:p w14:paraId="21477EE0" w14:textId="77777777" w:rsidR="003E074A" w:rsidRPr="004F313C" w:rsidRDefault="003E074A" w:rsidP="00566A10">
            <w:pPr>
              <w:pStyle w:val="Heading2"/>
              <w:spacing w:line="240" w:lineRule="auto"/>
              <w:rPr>
                <w:b w:val="0"/>
                <w:bCs w:val="0"/>
                <w:sz w:val="18"/>
                <w:szCs w:val="18"/>
              </w:rPr>
            </w:pPr>
            <w:r w:rsidRPr="004F313C">
              <w:rPr>
                <w:rFonts w:cs="Helvetica"/>
                <w:b w:val="0"/>
                <w:bCs w:val="0"/>
                <w:color w:val="000000"/>
                <w:sz w:val="18"/>
                <w:szCs w:val="18"/>
              </w:rPr>
              <w:t>reserve sizes &amp; resource costs modified in sensitivity test but not included in final implementation as only marginal effects observed to 2050</w:t>
            </w:r>
          </w:p>
        </w:tc>
      </w:tr>
    </w:tbl>
    <w:p w14:paraId="43F1623B" w14:textId="77777777" w:rsidR="003E074A" w:rsidRDefault="003E074A" w:rsidP="003E074A">
      <w:pPr>
        <w:pStyle w:val="Heading3"/>
      </w:pPr>
    </w:p>
    <w:p w14:paraId="7A84E6CC" w14:textId="77777777" w:rsidR="00DE21D2" w:rsidRDefault="00DE21D2" w:rsidP="00DE21D2">
      <w:pPr>
        <w:rPr>
          <w:lang w:val="en-US"/>
        </w:rPr>
      </w:pPr>
    </w:p>
    <w:p w14:paraId="6200E343" w14:textId="77777777" w:rsidR="00DE21D2" w:rsidRDefault="00DE21D2" w:rsidP="00DE21D2">
      <w:pPr>
        <w:rPr>
          <w:lang w:val="en-US"/>
        </w:rPr>
        <w:sectPr w:rsidR="00DE21D2" w:rsidSect="00DE21D2">
          <w:pgSz w:w="16838" w:h="11906" w:orient="landscape"/>
          <w:pgMar w:top="1440" w:right="1440" w:bottom="1440" w:left="1440" w:header="709" w:footer="709" w:gutter="0"/>
          <w:cols w:space="708"/>
          <w:docGrid w:linePitch="360"/>
        </w:sectPr>
      </w:pPr>
    </w:p>
    <w:tbl>
      <w:tblPr>
        <w:tblStyle w:val="TableGridLight"/>
        <w:tblW w:w="0" w:type="auto"/>
        <w:tblLook w:val="04A0" w:firstRow="1" w:lastRow="0" w:firstColumn="1" w:lastColumn="0" w:noHBand="0" w:noVBand="1"/>
      </w:tblPr>
      <w:tblGrid>
        <w:gridCol w:w="509"/>
        <w:gridCol w:w="8417"/>
      </w:tblGrid>
      <w:tr w:rsidR="00433F84" w:rsidRPr="004F313C" w14:paraId="32DD3811" w14:textId="77777777" w:rsidTr="00433F84">
        <w:tc>
          <w:tcPr>
            <w:tcW w:w="509" w:type="dxa"/>
            <w:textDirection w:val="btLr"/>
          </w:tcPr>
          <w:p w14:paraId="73BDE278" w14:textId="77777777" w:rsidR="00433F84" w:rsidRPr="004F313C" w:rsidRDefault="00433F84" w:rsidP="00A601DB">
            <w:pPr>
              <w:pStyle w:val="Heading2"/>
              <w:ind w:left="113" w:right="113"/>
              <w:jc w:val="center"/>
              <w:rPr>
                <w:b w:val="0"/>
                <w:bCs w:val="0"/>
                <w:color w:val="000000" w:themeColor="text1"/>
                <w:sz w:val="20"/>
              </w:rPr>
            </w:pPr>
          </w:p>
        </w:tc>
        <w:tc>
          <w:tcPr>
            <w:tcW w:w="8417" w:type="dxa"/>
          </w:tcPr>
          <w:p w14:paraId="43F54177" w14:textId="32621603" w:rsidR="00433F84" w:rsidRPr="004F313C" w:rsidRDefault="00433F84" w:rsidP="00A601DB">
            <w:pPr>
              <w:pStyle w:val="Heading2"/>
              <w:jc w:val="center"/>
              <w:rPr>
                <w:b w:val="0"/>
                <w:bCs w:val="0"/>
                <w:color w:val="000000" w:themeColor="text1"/>
                <w:sz w:val="20"/>
                <w:szCs w:val="16"/>
              </w:rPr>
            </w:pPr>
            <w:r w:rsidRPr="004F313C">
              <w:rPr>
                <w:b w:val="0"/>
                <w:bCs w:val="0"/>
                <w:color w:val="000000" w:themeColor="text1"/>
                <w:sz w:val="20"/>
                <w:szCs w:val="16"/>
              </w:rPr>
              <w:t>absolute storage capacity (GW)</w:t>
            </w:r>
          </w:p>
        </w:tc>
      </w:tr>
      <w:tr w:rsidR="00433F84" w:rsidRPr="004F313C" w14:paraId="522C21D0" w14:textId="77777777" w:rsidTr="00433F84">
        <w:tc>
          <w:tcPr>
            <w:tcW w:w="509" w:type="dxa"/>
            <w:textDirection w:val="btLr"/>
          </w:tcPr>
          <w:p w14:paraId="384DB6C1" w14:textId="600A636F" w:rsidR="00433F84" w:rsidRPr="004F313C" w:rsidRDefault="00433F84" w:rsidP="00A11A45">
            <w:pPr>
              <w:pStyle w:val="Heading2"/>
              <w:ind w:left="113" w:right="113"/>
              <w:jc w:val="center"/>
              <w:rPr>
                <w:b w:val="0"/>
                <w:bCs w:val="0"/>
                <w:noProof/>
                <w:sz w:val="20"/>
              </w:rPr>
            </w:pPr>
            <w:r w:rsidRPr="004F313C">
              <w:rPr>
                <w:b w:val="0"/>
                <w:bCs w:val="0"/>
                <w:noProof/>
                <w:sz w:val="20"/>
              </w:rPr>
              <w:t>CurPol</w:t>
            </w:r>
          </w:p>
        </w:tc>
        <w:tc>
          <w:tcPr>
            <w:tcW w:w="8417" w:type="dxa"/>
          </w:tcPr>
          <w:p w14:paraId="3EBC2033" w14:textId="6C11F3AC" w:rsidR="00433F84" w:rsidRPr="004F313C" w:rsidRDefault="00433F84" w:rsidP="0081550A">
            <w:pPr>
              <w:pStyle w:val="Heading2"/>
              <w:jc w:val="center"/>
              <w:rPr>
                <w:color w:val="000000" w:themeColor="text1"/>
              </w:rPr>
            </w:pPr>
            <w:r w:rsidRPr="004F313C">
              <w:rPr>
                <w:noProof/>
              </w:rPr>
              <w:drawing>
                <wp:inline distT="0" distB="0" distL="0" distR="0" wp14:anchorId="07BDEBE6" wp14:editId="04706CD8">
                  <wp:extent cx="4650828" cy="3490438"/>
                  <wp:effectExtent l="0" t="0" r="0" b="0"/>
                  <wp:docPr id="59514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49476" name=""/>
                          <pic:cNvPicPr/>
                        </pic:nvPicPr>
                        <pic:blipFill>
                          <a:blip r:embed="rId15"/>
                          <a:stretch>
                            <a:fillRect/>
                          </a:stretch>
                        </pic:blipFill>
                        <pic:spPr>
                          <a:xfrm>
                            <a:off x="0" y="0"/>
                            <a:ext cx="4777129" cy="3585227"/>
                          </a:xfrm>
                          <a:prstGeom prst="rect">
                            <a:avLst/>
                          </a:prstGeom>
                        </pic:spPr>
                      </pic:pic>
                    </a:graphicData>
                  </a:graphic>
                </wp:inline>
              </w:drawing>
            </w:r>
          </w:p>
        </w:tc>
      </w:tr>
      <w:tr w:rsidR="00433F84" w:rsidRPr="004F313C" w14:paraId="6FF3ACC3" w14:textId="77777777" w:rsidTr="00433F84">
        <w:tc>
          <w:tcPr>
            <w:tcW w:w="509" w:type="dxa"/>
            <w:textDirection w:val="btLr"/>
          </w:tcPr>
          <w:p w14:paraId="7AD53E50" w14:textId="40F99E0F" w:rsidR="00433F84" w:rsidRPr="004F313C" w:rsidRDefault="00433F84" w:rsidP="00A57C08">
            <w:pPr>
              <w:pStyle w:val="Heading2"/>
              <w:ind w:left="113" w:right="113"/>
              <w:jc w:val="center"/>
              <w:rPr>
                <w:b w:val="0"/>
                <w:bCs w:val="0"/>
                <w:color w:val="000000" w:themeColor="text1"/>
                <w:sz w:val="20"/>
              </w:rPr>
            </w:pPr>
            <w:r w:rsidRPr="004F313C">
              <w:rPr>
                <w:b w:val="0"/>
                <w:bCs w:val="0"/>
                <w:color w:val="000000" w:themeColor="text1"/>
                <w:sz w:val="20"/>
              </w:rPr>
              <w:t>2°C</w:t>
            </w:r>
          </w:p>
        </w:tc>
        <w:tc>
          <w:tcPr>
            <w:tcW w:w="8417" w:type="dxa"/>
          </w:tcPr>
          <w:p w14:paraId="3BACD1A6" w14:textId="6F86ADB6" w:rsidR="00433F84" w:rsidRPr="004F313C" w:rsidRDefault="00433F84" w:rsidP="00027514">
            <w:pPr>
              <w:pStyle w:val="Heading2"/>
              <w:jc w:val="center"/>
              <w:rPr>
                <w:color w:val="000000" w:themeColor="text1"/>
              </w:rPr>
            </w:pPr>
            <w:r w:rsidRPr="004F313C">
              <w:rPr>
                <w:noProof/>
              </w:rPr>
              <w:drawing>
                <wp:inline distT="0" distB="0" distL="0" distR="0" wp14:anchorId="1CC319DA" wp14:editId="4A05C69F">
                  <wp:extent cx="4789533" cy="3594538"/>
                  <wp:effectExtent l="0" t="0" r="0" b="0"/>
                  <wp:docPr id="884508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08347" name=""/>
                          <pic:cNvPicPr/>
                        </pic:nvPicPr>
                        <pic:blipFill>
                          <a:blip r:embed="rId16"/>
                          <a:stretch>
                            <a:fillRect/>
                          </a:stretch>
                        </pic:blipFill>
                        <pic:spPr>
                          <a:xfrm>
                            <a:off x="0" y="0"/>
                            <a:ext cx="4884933" cy="3666136"/>
                          </a:xfrm>
                          <a:prstGeom prst="rect">
                            <a:avLst/>
                          </a:prstGeom>
                        </pic:spPr>
                      </pic:pic>
                    </a:graphicData>
                  </a:graphic>
                </wp:inline>
              </w:drawing>
            </w:r>
          </w:p>
        </w:tc>
      </w:tr>
    </w:tbl>
    <w:p w14:paraId="03E552EB" w14:textId="77777777" w:rsidR="009A040F" w:rsidRDefault="009A040F" w:rsidP="00606E33">
      <w:pPr>
        <w:pStyle w:val="Heading2"/>
        <w:rPr>
          <w:color w:val="000000" w:themeColor="text1"/>
        </w:rPr>
      </w:pPr>
    </w:p>
    <w:p w14:paraId="21651C12" w14:textId="3EF29D7B" w:rsidR="00027514" w:rsidRDefault="00027514">
      <w:pPr>
        <w:spacing w:line="240" w:lineRule="auto"/>
        <w:rPr>
          <w:b/>
          <w:bCs/>
          <w:iCs/>
          <w:color w:val="000000" w:themeColor="text1"/>
        </w:rPr>
      </w:pPr>
      <w:r>
        <w:rPr>
          <w:color w:val="000000" w:themeColor="text1"/>
        </w:rPr>
        <w:br w:type="page"/>
      </w:r>
    </w:p>
    <w:tbl>
      <w:tblPr>
        <w:tblStyle w:val="TableGridLight"/>
        <w:tblW w:w="0" w:type="auto"/>
        <w:tblLook w:val="04A0" w:firstRow="1" w:lastRow="0" w:firstColumn="1" w:lastColumn="0" w:noHBand="0" w:noVBand="1"/>
      </w:tblPr>
      <w:tblGrid>
        <w:gridCol w:w="509"/>
        <w:gridCol w:w="8480"/>
      </w:tblGrid>
      <w:tr w:rsidR="0055381D" w:rsidRPr="004F313C" w14:paraId="327FD85C" w14:textId="77777777" w:rsidTr="0055381D">
        <w:trPr>
          <w:trHeight w:val="395"/>
        </w:trPr>
        <w:tc>
          <w:tcPr>
            <w:tcW w:w="421" w:type="dxa"/>
            <w:textDirection w:val="btLr"/>
          </w:tcPr>
          <w:p w14:paraId="672CD93D" w14:textId="77777777" w:rsidR="0055381D" w:rsidRPr="004F313C" w:rsidRDefault="0055381D" w:rsidP="00566A10">
            <w:pPr>
              <w:pStyle w:val="Heading2"/>
              <w:ind w:left="113" w:right="113"/>
              <w:jc w:val="center"/>
              <w:rPr>
                <w:b w:val="0"/>
                <w:bCs w:val="0"/>
                <w:color w:val="000000" w:themeColor="text1"/>
                <w:sz w:val="20"/>
              </w:rPr>
            </w:pPr>
          </w:p>
        </w:tc>
        <w:tc>
          <w:tcPr>
            <w:tcW w:w="8480" w:type="dxa"/>
          </w:tcPr>
          <w:p w14:paraId="3E96F0D2" w14:textId="77777777" w:rsidR="0055381D" w:rsidRPr="004F313C" w:rsidRDefault="0055381D" w:rsidP="00566A10">
            <w:pPr>
              <w:pStyle w:val="Heading2"/>
              <w:jc w:val="center"/>
              <w:rPr>
                <w:b w:val="0"/>
                <w:bCs w:val="0"/>
                <w:color w:val="000000" w:themeColor="text1"/>
                <w:sz w:val="20"/>
                <w:szCs w:val="16"/>
              </w:rPr>
            </w:pPr>
            <w:r w:rsidRPr="004F313C">
              <w:rPr>
                <w:b w:val="0"/>
                <w:bCs w:val="0"/>
                <w:color w:val="000000" w:themeColor="text1"/>
                <w:sz w:val="20"/>
                <w:szCs w:val="16"/>
              </w:rPr>
              <w:t>storage relative to total power capacity (%)</w:t>
            </w:r>
          </w:p>
        </w:tc>
      </w:tr>
      <w:tr w:rsidR="0055381D" w:rsidRPr="004F313C" w14:paraId="4D434097" w14:textId="77777777" w:rsidTr="0055381D">
        <w:trPr>
          <w:trHeight w:val="4279"/>
        </w:trPr>
        <w:tc>
          <w:tcPr>
            <w:tcW w:w="421" w:type="dxa"/>
            <w:textDirection w:val="btLr"/>
          </w:tcPr>
          <w:p w14:paraId="6D9C0B4C" w14:textId="77777777" w:rsidR="0055381D" w:rsidRPr="004F313C" w:rsidRDefault="0055381D" w:rsidP="00566A10">
            <w:pPr>
              <w:pStyle w:val="Heading2"/>
              <w:ind w:left="113" w:right="113"/>
              <w:jc w:val="center"/>
              <w:rPr>
                <w:b w:val="0"/>
                <w:bCs w:val="0"/>
                <w:noProof/>
                <w:sz w:val="20"/>
              </w:rPr>
            </w:pPr>
            <w:r w:rsidRPr="004F313C">
              <w:rPr>
                <w:b w:val="0"/>
                <w:bCs w:val="0"/>
                <w:noProof/>
                <w:sz w:val="20"/>
              </w:rPr>
              <w:t>CurPol</w:t>
            </w:r>
          </w:p>
        </w:tc>
        <w:tc>
          <w:tcPr>
            <w:tcW w:w="8480" w:type="dxa"/>
          </w:tcPr>
          <w:p w14:paraId="166A6690" w14:textId="77777777" w:rsidR="0055381D" w:rsidRPr="004F313C" w:rsidRDefault="0055381D" w:rsidP="00566A10">
            <w:pPr>
              <w:pStyle w:val="Heading2"/>
              <w:jc w:val="center"/>
              <w:rPr>
                <w:color w:val="000000" w:themeColor="text1"/>
              </w:rPr>
            </w:pPr>
            <w:r w:rsidRPr="004F313C">
              <w:rPr>
                <w:noProof/>
              </w:rPr>
              <w:drawing>
                <wp:inline distT="0" distB="0" distL="0" distR="0" wp14:anchorId="614CFEC7" wp14:editId="16CB967E">
                  <wp:extent cx="4031002" cy="3019007"/>
                  <wp:effectExtent l="0" t="0" r="0" b="0"/>
                  <wp:docPr id="24829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8369" name=""/>
                          <pic:cNvPicPr/>
                        </pic:nvPicPr>
                        <pic:blipFill>
                          <a:blip r:embed="rId17"/>
                          <a:stretch>
                            <a:fillRect/>
                          </a:stretch>
                        </pic:blipFill>
                        <pic:spPr>
                          <a:xfrm>
                            <a:off x="0" y="0"/>
                            <a:ext cx="4168257" cy="3121803"/>
                          </a:xfrm>
                          <a:prstGeom prst="rect">
                            <a:avLst/>
                          </a:prstGeom>
                        </pic:spPr>
                      </pic:pic>
                    </a:graphicData>
                  </a:graphic>
                </wp:inline>
              </w:drawing>
            </w:r>
          </w:p>
        </w:tc>
      </w:tr>
      <w:tr w:rsidR="0055381D" w:rsidRPr="004F313C" w14:paraId="35037930" w14:textId="77777777" w:rsidTr="0055381D">
        <w:trPr>
          <w:trHeight w:val="4147"/>
        </w:trPr>
        <w:tc>
          <w:tcPr>
            <w:tcW w:w="421" w:type="dxa"/>
            <w:textDirection w:val="btLr"/>
          </w:tcPr>
          <w:p w14:paraId="2811BDB2" w14:textId="77777777" w:rsidR="0055381D" w:rsidRPr="004F313C" w:rsidRDefault="0055381D" w:rsidP="00566A10">
            <w:pPr>
              <w:pStyle w:val="Heading2"/>
              <w:ind w:left="113" w:right="113"/>
              <w:jc w:val="center"/>
              <w:rPr>
                <w:b w:val="0"/>
                <w:bCs w:val="0"/>
                <w:color w:val="000000" w:themeColor="text1"/>
                <w:sz w:val="20"/>
              </w:rPr>
            </w:pPr>
            <w:r w:rsidRPr="004F313C">
              <w:rPr>
                <w:b w:val="0"/>
                <w:bCs w:val="0"/>
                <w:color w:val="000000" w:themeColor="text1"/>
                <w:sz w:val="20"/>
              </w:rPr>
              <w:t>2°C</w:t>
            </w:r>
          </w:p>
        </w:tc>
        <w:tc>
          <w:tcPr>
            <w:tcW w:w="8480" w:type="dxa"/>
          </w:tcPr>
          <w:p w14:paraId="4BA70B2A" w14:textId="77777777" w:rsidR="0055381D" w:rsidRPr="004F313C" w:rsidRDefault="0055381D" w:rsidP="0055381D">
            <w:pPr>
              <w:pStyle w:val="Heading2"/>
              <w:jc w:val="center"/>
              <w:rPr>
                <w:color w:val="000000" w:themeColor="text1"/>
              </w:rPr>
            </w:pPr>
            <w:r w:rsidRPr="004F313C">
              <w:rPr>
                <w:noProof/>
              </w:rPr>
              <w:drawing>
                <wp:inline distT="0" distB="0" distL="0" distR="0" wp14:anchorId="5B1D4648" wp14:editId="05A793D6">
                  <wp:extent cx="4319751" cy="3235266"/>
                  <wp:effectExtent l="0" t="0" r="0" b="0"/>
                  <wp:docPr id="77053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5149" name=""/>
                          <pic:cNvPicPr/>
                        </pic:nvPicPr>
                        <pic:blipFill>
                          <a:blip r:embed="rId18"/>
                          <a:stretch>
                            <a:fillRect/>
                          </a:stretch>
                        </pic:blipFill>
                        <pic:spPr>
                          <a:xfrm>
                            <a:off x="0" y="0"/>
                            <a:ext cx="4370418" cy="3273213"/>
                          </a:xfrm>
                          <a:prstGeom prst="rect">
                            <a:avLst/>
                          </a:prstGeom>
                        </pic:spPr>
                      </pic:pic>
                    </a:graphicData>
                  </a:graphic>
                </wp:inline>
              </w:drawing>
            </w:r>
          </w:p>
        </w:tc>
      </w:tr>
    </w:tbl>
    <w:p w14:paraId="28D0A3E9" w14:textId="77777777" w:rsidR="00E93707" w:rsidRPr="004F313C" w:rsidRDefault="00E93707" w:rsidP="00606E33">
      <w:pPr>
        <w:pStyle w:val="Heading2"/>
        <w:rPr>
          <w:color w:val="000000" w:themeColor="text1"/>
        </w:rPr>
      </w:pPr>
    </w:p>
    <w:p w14:paraId="275D6FA1" w14:textId="4B21911A" w:rsidR="00606E33" w:rsidRPr="004F313C" w:rsidRDefault="00A022EB" w:rsidP="00A022EB">
      <w:pPr>
        <w:pStyle w:val="Caption"/>
        <w:rPr>
          <w:b w:val="0"/>
          <w:bCs w:val="0"/>
        </w:rPr>
      </w:pPr>
      <w:bookmarkStart w:id="7" w:name="_Ref220683587"/>
      <w:bookmarkStart w:id="8" w:name="_Toc222500791"/>
      <w:r w:rsidRPr="004F313C">
        <w:t xml:space="preserve">Figure </w:t>
      </w:r>
      <w:bookmarkEnd w:id="7"/>
      <w:r w:rsidR="0054328E">
        <w:t xml:space="preserve">8. </w:t>
      </w:r>
      <w:r w:rsidR="00606E33" w:rsidRPr="004F313C">
        <w:t xml:space="preserve">Intermittent renewables </w:t>
      </w:r>
      <w:r w:rsidR="004F6DFA" w:rsidRPr="004F313C">
        <w:t>and storage</w:t>
      </w:r>
      <w:r w:rsidR="00606E33" w:rsidRPr="004F313C">
        <w:t>.</w:t>
      </w:r>
      <w:bookmarkEnd w:id="8"/>
    </w:p>
    <w:p w14:paraId="25196D8C" w14:textId="68A485BD" w:rsidR="00606E33" w:rsidRPr="004F313C" w:rsidRDefault="00606E33" w:rsidP="007E12C7">
      <w:pPr>
        <w:pStyle w:val="Heading4"/>
        <w:rPr>
          <w:color w:val="000000" w:themeColor="text1"/>
        </w:rPr>
      </w:pPr>
      <w:r w:rsidRPr="004F313C">
        <w:rPr>
          <w:color w:val="000000" w:themeColor="text1"/>
        </w:rPr>
        <w:t>Legend: Variable renewable energy (VRE) share of total electricity generation (x-axis) vs storage</w:t>
      </w:r>
      <w:r w:rsidR="00C23900" w:rsidRPr="004F313C">
        <w:rPr>
          <w:color w:val="000000" w:themeColor="text1"/>
        </w:rPr>
        <w:t xml:space="preserve"> (y-axis)</w:t>
      </w:r>
      <w:r w:rsidR="00B55BC5" w:rsidRPr="004F313C">
        <w:rPr>
          <w:color w:val="000000" w:themeColor="text1"/>
        </w:rPr>
        <w:t xml:space="preserve"> in absolute terms </w:t>
      </w:r>
      <w:r w:rsidR="00C23900" w:rsidRPr="004F313C">
        <w:rPr>
          <w:color w:val="000000" w:themeColor="text1"/>
        </w:rPr>
        <w:t>(</w:t>
      </w:r>
      <w:r w:rsidR="000D5F4A">
        <w:rPr>
          <w:color w:val="000000" w:themeColor="text1"/>
        </w:rPr>
        <w:t>top</w:t>
      </w:r>
      <w:r w:rsidR="00C23900" w:rsidRPr="004F313C">
        <w:rPr>
          <w:color w:val="000000" w:themeColor="text1"/>
        </w:rPr>
        <w:t xml:space="preserve"> panels) and </w:t>
      </w:r>
      <w:r w:rsidR="00B55BC5" w:rsidRPr="004F313C">
        <w:rPr>
          <w:color w:val="000000" w:themeColor="text1"/>
        </w:rPr>
        <w:t xml:space="preserve">in relative terms as </w:t>
      </w:r>
      <w:r w:rsidR="00C23900" w:rsidRPr="004F313C">
        <w:rPr>
          <w:color w:val="000000" w:themeColor="text1"/>
        </w:rPr>
        <w:t xml:space="preserve">a </w:t>
      </w:r>
      <w:r w:rsidRPr="004F313C">
        <w:rPr>
          <w:color w:val="000000" w:themeColor="text1"/>
        </w:rPr>
        <w:t>share of total electricity generation capacity (</w:t>
      </w:r>
      <w:r w:rsidR="000D5F4A">
        <w:rPr>
          <w:color w:val="000000" w:themeColor="text1"/>
        </w:rPr>
        <w:t>bottom</w:t>
      </w:r>
      <w:r w:rsidR="00B55BC5" w:rsidRPr="004F313C">
        <w:rPr>
          <w:color w:val="000000" w:themeColor="text1"/>
        </w:rPr>
        <w:t xml:space="preserve"> panels</w:t>
      </w:r>
      <w:r w:rsidRPr="004F313C">
        <w:rPr>
          <w:color w:val="000000" w:themeColor="text1"/>
        </w:rPr>
        <w:t>)</w:t>
      </w:r>
      <w:r w:rsidR="002A5A50">
        <w:rPr>
          <w:color w:val="000000" w:themeColor="text1"/>
        </w:rPr>
        <w:t xml:space="preserve"> under </w:t>
      </w:r>
      <w:r w:rsidR="00925B48" w:rsidRPr="004F313C">
        <w:rPr>
          <w:color w:val="000000" w:themeColor="text1"/>
        </w:rPr>
        <w:t>current climate ambition (</w:t>
      </w:r>
      <w:proofErr w:type="spellStart"/>
      <w:r w:rsidR="00925B48" w:rsidRPr="004F313C">
        <w:rPr>
          <w:color w:val="000000" w:themeColor="text1"/>
        </w:rPr>
        <w:t>CurPol</w:t>
      </w:r>
      <w:proofErr w:type="spellEnd"/>
      <w:r w:rsidR="00925B48" w:rsidRPr="004F313C">
        <w:rPr>
          <w:color w:val="000000" w:themeColor="text1"/>
        </w:rPr>
        <w:t>)</w:t>
      </w:r>
      <w:r w:rsidR="002A5A50">
        <w:rPr>
          <w:color w:val="000000" w:themeColor="text1"/>
        </w:rPr>
        <w:t xml:space="preserve"> and </w:t>
      </w:r>
      <w:r w:rsidR="00B67D28" w:rsidRPr="004F313C">
        <w:rPr>
          <w:color w:val="000000" w:themeColor="text1"/>
        </w:rPr>
        <w:t>strengthened climate ambition (</w:t>
      </w:r>
      <w:r w:rsidR="00925B48" w:rsidRPr="004F313C">
        <w:rPr>
          <w:color w:val="000000" w:themeColor="text1"/>
        </w:rPr>
        <w:t>2°C</w:t>
      </w:r>
      <w:r w:rsidR="00B67D28" w:rsidRPr="004F313C">
        <w:rPr>
          <w:color w:val="000000" w:themeColor="text1"/>
        </w:rPr>
        <w:t>)</w:t>
      </w:r>
      <w:r w:rsidR="00925B48" w:rsidRPr="004F313C">
        <w:rPr>
          <w:color w:val="000000" w:themeColor="text1"/>
        </w:rPr>
        <w:t xml:space="preserve">. </w:t>
      </w:r>
      <w:r w:rsidRPr="004F313C">
        <w:rPr>
          <w:color w:val="000000" w:themeColor="text1"/>
        </w:rPr>
        <w:t>VRE includes wind, solar, hydro but excludes biomass. Data points for each scenario are 5 year time steps from 2025-2050.</w:t>
      </w:r>
    </w:p>
    <w:p w14:paraId="31D3745E" w14:textId="77777777" w:rsidR="00606E33" w:rsidRPr="004F313C" w:rsidRDefault="00606E33" w:rsidP="00606E33">
      <w:pPr>
        <w:pStyle w:val="Heading2"/>
        <w:rPr>
          <w:color w:val="000000" w:themeColor="text1"/>
        </w:rPr>
      </w:pPr>
    </w:p>
    <w:p w14:paraId="7099D138" w14:textId="77777777" w:rsidR="00606E33" w:rsidRPr="004F313C" w:rsidRDefault="00606E33" w:rsidP="00606E33">
      <w:pPr>
        <w:rPr>
          <w:color w:val="000000" w:themeColor="text1"/>
        </w:rPr>
      </w:pPr>
      <w:r w:rsidRPr="004F313C">
        <w:rPr>
          <w:color w:val="000000" w:themeColor="text1"/>
        </w:rPr>
        <w:t>By coordinating storage and flexible demand resources on integrated electricity networks, digital-climate alignment reduces the need for storage at higher VRE shares. This has a knock-on effect of increasing VRE curtailment but in a more efficient overall system.</w:t>
      </w:r>
    </w:p>
    <w:p w14:paraId="61F7F0F4" w14:textId="77777777" w:rsidR="00D22120" w:rsidRPr="004F313C" w:rsidRDefault="00D22120" w:rsidP="00606E33">
      <w:pPr>
        <w:rPr>
          <w:color w:val="000000" w:themeColor="text1"/>
        </w:rPr>
      </w:pPr>
    </w:p>
    <w:p w14:paraId="5AA726F9" w14:textId="2E7CD23D" w:rsidR="00D22120" w:rsidRPr="004F313C" w:rsidRDefault="00D22120" w:rsidP="00606E33">
      <w:pPr>
        <w:rPr>
          <w:color w:val="000000" w:themeColor="text1"/>
        </w:rPr>
      </w:pPr>
      <w:r w:rsidRPr="004F313C">
        <w:rPr>
          <w:color w:val="000000" w:themeColor="text1"/>
        </w:rPr>
        <w:t>Note: The clustering of some data points in Undermine-Cautious is due to a significantly higher share of electricity from gas, which leads to less need for storage as flexible/backup capacity.</w:t>
      </w:r>
    </w:p>
    <w:p w14:paraId="57C7FE34" w14:textId="77777777" w:rsidR="00606E33" w:rsidRPr="004F313C" w:rsidRDefault="00606E33" w:rsidP="00606E33">
      <w:pPr>
        <w:pStyle w:val="Heading2"/>
        <w:rPr>
          <w:color w:val="000000" w:themeColor="text1"/>
        </w:rPr>
      </w:pPr>
    </w:p>
    <w:p w14:paraId="5B8C6754" w14:textId="77777777" w:rsidR="00606E33" w:rsidRPr="004F313C" w:rsidRDefault="00606E33" w:rsidP="00606E33">
      <w:pPr>
        <w:spacing w:line="240" w:lineRule="auto"/>
        <w:rPr>
          <w:color w:val="000000" w:themeColor="text1"/>
        </w:rPr>
      </w:pPr>
      <w:r w:rsidRPr="004F313C">
        <w:rPr>
          <w:color w:val="000000" w:themeColor="text1"/>
        </w:rPr>
        <w:br w:type="page"/>
      </w:r>
    </w:p>
    <w:tbl>
      <w:tblPr>
        <w:tblStyle w:val="TableGridLight"/>
        <w:tblW w:w="0" w:type="auto"/>
        <w:tblLook w:val="04A0" w:firstRow="1" w:lastRow="0" w:firstColumn="1" w:lastColumn="0" w:noHBand="0" w:noVBand="1"/>
      </w:tblPr>
      <w:tblGrid>
        <w:gridCol w:w="520"/>
        <w:gridCol w:w="2832"/>
        <w:gridCol w:w="2832"/>
        <w:gridCol w:w="2832"/>
      </w:tblGrid>
      <w:tr w:rsidR="00866C34" w:rsidRPr="004F313C" w14:paraId="2657FB66" w14:textId="77777777" w:rsidTr="00910B5D">
        <w:tc>
          <w:tcPr>
            <w:tcW w:w="279" w:type="dxa"/>
            <w:textDirection w:val="btLr"/>
          </w:tcPr>
          <w:p w14:paraId="1FE5C8CC" w14:textId="77777777" w:rsidR="00866C34" w:rsidRPr="004F313C" w:rsidRDefault="00866C34" w:rsidP="00BB6CB6">
            <w:pPr>
              <w:pStyle w:val="Heading2"/>
              <w:ind w:left="113" w:right="113"/>
              <w:jc w:val="center"/>
              <w:rPr>
                <w:b w:val="0"/>
                <w:bCs w:val="0"/>
                <w:color w:val="000000" w:themeColor="text1"/>
                <w:sz w:val="20"/>
              </w:rPr>
            </w:pPr>
          </w:p>
        </w:tc>
        <w:tc>
          <w:tcPr>
            <w:tcW w:w="3073" w:type="dxa"/>
          </w:tcPr>
          <w:p w14:paraId="569B9FB3" w14:textId="58CF3309" w:rsidR="00866C34" w:rsidRPr="004F313C" w:rsidRDefault="00866C34" w:rsidP="00BB6CB6">
            <w:pPr>
              <w:pStyle w:val="Heading2"/>
              <w:jc w:val="center"/>
              <w:rPr>
                <w:b w:val="0"/>
                <w:bCs w:val="0"/>
                <w:color w:val="000000" w:themeColor="text1"/>
                <w:sz w:val="20"/>
              </w:rPr>
            </w:pPr>
            <w:r w:rsidRPr="004F313C">
              <w:rPr>
                <w:b w:val="0"/>
                <w:bCs w:val="0"/>
                <w:color w:val="000000" w:themeColor="text1"/>
                <w:sz w:val="20"/>
              </w:rPr>
              <w:t>buildings in 2050</w:t>
            </w:r>
          </w:p>
        </w:tc>
        <w:tc>
          <w:tcPr>
            <w:tcW w:w="0" w:type="auto"/>
          </w:tcPr>
          <w:p w14:paraId="2B4A6AEC" w14:textId="2154D52A" w:rsidR="00866C34" w:rsidRPr="004F313C" w:rsidRDefault="00866C34" w:rsidP="00BB6CB6">
            <w:pPr>
              <w:pStyle w:val="Heading2"/>
              <w:jc w:val="center"/>
              <w:rPr>
                <w:b w:val="0"/>
                <w:bCs w:val="0"/>
                <w:color w:val="000000" w:themeColor="text1"/>
                <w:sz w:val="20"/>
              </w:rPr>
            </w:pPr>
            <w:r w:rsidRPr="004F313C">
              <w:rPr>
                <w:b w:val="0"/>
                <w:bCs w:val="0"/>
                <w:color w:val="000000" w:themeColor="text1"/>
                <w:sz w:val="20"/>
              </w:rPr>
              <w:t>transport in 2050</w:t>
            </w:r>
          </w:p>
        </w:tc>
        <w:tc>
          <w:tcPr>
            <w:tcW w:w="0" w:type="auto"/>
          </w:tcPr>
          <w:p w14:paraId="60F4B1DB" w14:textId="0D900578" w:rsidR="00866C34" w:rsidRPr="004F313C" w:rsidRDefault="00866C34" w:rsidP="00BB6CB6">
            <w:pPr>
              <w:pStyle w:val="Heading2"/>
              <w:jc w:val="center"/>
              <w:rPr>
                <w:b w:val="0"/>
                <w:bCs w:val="0"/>
                <w:color w:val="000000" w:themeColor="text1"/>
                <w:sz w:val="20"/>
              </w:rPr>
            </w:pPr>
            <w:r w:rsidRPr="004F313C">
              <w:rPr>
                <w:b w:val="0"/>
                <w:bCs w:val="0"/>
                <w:color w:val="000000" w:themeColor="text1"/>
                <w:sz w:val="20"/>
              </w:rPr>
              <w:t>all end-use in 2050</w:t>
            </w:r>
          </w:p>
        </w:tc>
      </w:tr>
      <w:tr w:rsidR="00866C34" w:rsidRPr="004F313C" w14:paraId="2BF8CABC" w14:textId="77777777" w:rsidTr="00910B5D">
        <w:tc>
          <w:tcPr>
            <w:tcW w:w="279" w:type="dxa"/>
            <w:textDirection w:val="btLr"/>
          </w:tcPr>
          <w:p w14:paraId="1D6767E2" w14:textId="5FE4857A" w:rsidR="00866C34" w:rsidRPr="004F313C" w:rsidRDefault="00866C34" w:rsidP="00866C34">
            <w:pPr>
              <w:pStyle w:val="Heading2"/>
              <w:ind w:left="113" w:right="113"/>
              <w:jc w:val="center"/>
              <w:rPr>
                <w:b w:val="0"/>
                <w:bCs w:val="0"/>
                <w:noProof/>
              </w:rPr>
            </w:pPr>
            <w:r w:rsidRPr="004F313C">
              <w:rPr>
                <w:b w:val="0"/>
                <w:bCs w:val="0"/>
                <w:noProof/>
              </w:rPr>
              <w:t>CurPol</w:t>
            </w:r>
          </w:p>
        </w:tc>
        <w:tc>
          <w:tcPr>
            <w:tcW w:w="3073" w:type="dxa"/>
          </w:tcPr>
          <w:p w14:paraId="18542D8E" w14:textId="2A9125E4" w:rsidR="00866C34" w:rsidRPr="004F313C" w:rsidRDefault="00866C34" w:rsidP="00606E33">
            <w:pPr>
              <w:pStyle w:val="Heading2"/>
              <w:rPr>
                <w:color w:val="000000" w:themeColor="text1"/>
              </w:rPr>
            </w:pPr>
            <w:r w:rsidRPr="004F313C">
              <w:rPr>
                <w:noProof/>
              </w:rPr>
              <w:drawing>
                <wp:inline distT="0" distB="0" distL="0" distR="0" wp14:anchorId="267EDD9B" wp14:editId="644956B6">
                  <wp:extent cx="1747777" cy="873889"/>
                  <wp:effectExtent l="0" t="0" r="5080" b="2540"/>
                  <wp:docPr id="133994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43311" name=""/>
                          <pic:cNvPicPr/>
                        </pic:nvPicPr>
                        <pic:blipFill>
                          <a:blip r:embed="rId19"/>
                          <a:stretch>
                            <a:fillRect/>
                          </a:stretch>
                        </pic:blipFill>
                        <pic:spPr>
                          <a:xfrm>
                            <a:off x="0" y="0"/>
                            <a:ext cx="1772899" cy="886450"/>
                          </a:xfrm>
                          <a:prstGeom prst="rect">
                            <a:avLst/>
                          </a:prstGeom>
                        </pic:spPr>
                      </pic:pic>
                    </a:graphicData>
                  </a:graphic>
                </wp:inline>
              </w:drawing>
            </w:r>
          </w:p>
        </w:tc>
        <w:tc>
          <w:tcPr>
            <w:tcW w:w="0" w:type="auto"/>
          </w:tcPr>
          <w:p w14:paraId="70646E95" w14:textId="3F6C9090" w:rsidR="00866C34" w:rsidRPr="004F313C" w:rsidRDefault="00866C34" w:rsidP="00606E33">
            <w:pPr>
              <w:pStyle w:val="Heading2"/>
              <w:rPr>
                <w:color w:val="000000" w:themeColor="text1"/>
              </w:rPr>
            </w:pPr>
            <w:r w:rsidRPr="004F313C">
              <w:rPr>
                <w:noProof/>
              </w:rPr>
              <w:drawing>
                <wp:inline distT="0" distB="0" distL="0" distR="0" wp14:anchorId="42F2C5DF" wp14:editId="4C6D577F">
                  <wp:extent cx="1747777" cy="873889"/>
                  <wp:effectExtent l="0" t="0" r="5080" b="2540"/>
                  <wp:docPr id="22160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9407" name=""/>
                          <pic:cNvPicPr/>
                        </pic:nvPicPr>
                        <pic:blipFill>
                          <a:blip r:embed="rId20"/>
                          <a:stretch>
                            <a:fillRect/>
                          </a:stretch>
                        </pic:blipFill>
                        <pic:spPr>
                          <a:xfrm>
                            <a:off x="0" y="0"/>
                            <a:ext cx="1774835" cy="887418"/>
                          </a:xfrm>
                          <a:prstGeom prst="rect">
                            <a:avLst/>
                          </a:prstGeom>
                        </pic:spPr>
                      </pic:pic>
                    </a:graphicData>
                  </a:graphic>
                </wp:inline>
              </w:drawing>
            </w:r>
          </w:p>
        </w:tc>
        <w:tc>
          <w:tcPr>
            <w:tcW w:w="0" w:type="auto"/>
          </w:tcPr>
          <w:p w14:paraId="57F34DB4" w14:textId="3EFF73B2" w:rsidR="00866C34" w:rsidRPr="004F313C" w:rsidRDefault="00866C34" w:rsidP="00606E33">
            <w:pPr>
              <w:pStyle w:val="Heading2"/>
              <w:rPr>
                <w:color w:val="000000" w:themeColor="text1"/>
              </w:rPr>
            </w:pPr>
            <w:r w:rsidRPr="004F313C">
              <w:rPr>
                <w:noProof/>
              </w:rPr>
              <w:drawing>
                <wp:inline distT="0" distB="0" distL="0" distR="0" wp14:anchorId="690645EF" wp14:editId="5CDA385E">
                  <wp:extent cx="1747519" cy="873760"/>
                  <wp:effectExtent l="0" t="0" r="5715" b="2540"/>
                  <wp:docPr id="119415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860" name=""/>
                          <pic:cNvPicPr/>
                        </pic:nvPicPr>
                        <pic:blipFill>
                          <a:blip r:embed="rId21"/>
                          <a:stretch>
                            <a:fillRect/>
                          </a:stretch>
                        </pic:blipFill>
                        <pic:spPr>
                          <a:xfrm>
                            <a:off x="0" y="0"/>
                            <a:ext cx="1784323" cy="892162"/>
                          </a:xfrm>
                          <a:prstGeom prst="rect">
                            <a:avLst/>
                          </a:prstGeom>
                        </pic:spPr>
                      </pic:pic>
                    </a:graphicData>
                  </a:graphic>
                </wp:inline>
              </w:drawing>
            </w:r>
          </w:p>
        </w:tc>
      </w:tr>
      <w:tr w:rsidR="00866C34" w:rsidRPr="004F313C" w14:paraId="48EE0B6A" w14:textId="77777777" w:rsidTr="00910B5D">
        <w:tc>
          <w:tcPr>
            <w:tcW w:w="279" w:type="dxa"/>
            <w:textDirection w:val="btLr"/>
          </w:tcPr>
          <w:p w14:paraId="11686069" w14:textId="516F6560" w:rsidR="00866C34" w:rsidRPr="004F313C" w:rsidRDefault="00866C34" w:rsidP="00866C34">
            <w:pPr>
              <w:pStyle w:val="Heading2"/>
              <w:ind w:left="113" w:right="113"/>
              <w:jc w:val="center"/>
              <w:rPr>
                <w:b w:val="0"/>
                <w:bCs w:val="0"/>
                <w:noProof/>
              </w:rPr>
            </w:pPr>
            <w:r w:rsidRPr="004F313C">
              <w:rPr>
                <w:b w:val="0"/>
                <w:bCs w:val="0"/>
                <w:noProof/>
              </w:rPr>
              <w:t>2°C</w:t>
            </w:r>
          </w:p>
        </w:tc>
        <w:tc>
          <w:tcPr>
            <w:tcW w:w="3073" w:type="dxa"/>
          </w:tcPr>
          <w:p w14:paraId="028647B2" w14:textId="5E377AA1" w:rsidR="00866C34" w:rsidRPr="004F313C" w:rsidRDefault="00866C34" w:rsidP="00606E33">
            <w:pPr>
              <w:pStyle w:val="Heading2"/>
              <w:rPr>
                <w:color w:val="000000" w:themeColor="text1"/>
              </w:rPr>
            </w:pPr>
            <w:r w:rsidRPr="004F313C">
              <w:rPr>
                <w:noProof/>
              </w:rPr>
              <w:drawing>
                <wp:inline distT="0" distB="0" distL="0" distR="0" wp14:anchorId="049452B3" wp14:editId="02572467">
                  <wp:extent cx="1643603" cy="821802"/>
                  <wp:effectExtent l="0" t="0" r="0" b="3810"/>
                  <wp:docPr id="187566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65848" name=""/>
                          <pic:cNvPicPr/>
                        </pic:nvPicPr>
                        <pic:blipFill>
                          <a:blip r:embed="rId22"/>
                          <a:stretch>
                            <a:fillRect/>
                          </a:stretch>
                        </pic:blipFill>
                        <pic:spPr>
                          <a:xfrm>
                            <a:off x="0" y="0"/>
                            <a:ext cx="1670277" cy="835139"/>
                          </a:xfrm>
                          <a:prstGeom prst="rect">
                            <a:avLst/>
                          </a:prstGeom>
                        </pic:spPr>
                      </pic:pic>
                    </a:graphicData>
                  </a:graphic>
                </wp:inline>
              </w:drawing>
            </w:r>
          </w:p>
        </w:tc>
        <w:tc>
          <w:tcPr>
            <w:tcW w:w="0" w:type="auto"/>
          </w:tcPr>
          <w:p w14:paraId="74793062" w14:textId="243A7FA2" w:rsidR="00866C34" w:rsidRPr="004F313C" w:rsidRDefault="00866C34" w:rsidP="00606E33">
            <w:pPr>
              <w:pStyle w:val="Heading2"/>
              <w:rPr>
                <w:color w:val="000000" w:themeColor="text1"/>
              </w:rPr>
            </w:pPr>
            <w:r w:rsidRPr="004F313C">
              <w:rPr>
                <w:noProof/>
              </w:rPr>
              <w:drawing>
                <wp:inline distT="0" distB="0" distL="0" distR="0" wp14:anchorId="733F2D95" wp14:editId="5CB464EA">
                  <wp:extent cx="1678330" cy="839165"/>
                  <wp:effectExtent l="0" t="0" r="0" b="0"/>
                  <wp:docPr id="117661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0433" name=""/>
                          <pic:cNvPicPr/>
                        </pic:nvPicPr>
                        <pic:blipFill>
                          <a:blip r:embed="rId23"/>
                          <a:stretch>
                            <a:fillRect/>
                          </a:stretch>
                        </pic:blipFill>
                        <pic:spPr>
                          <a:xfrm>
                            <a:off x="0" y="0"/>
                            <a:ext cx="1706831" cy="853416"/>
                          </a:xfrm>
                          <a:prstGeom prst="rect">
                            <a:avLst/>
                          </a:prstGeom>
                        </pic:spPr>
                      </pic:pic>
                    </a:graphicData>
                  </a:graphic>
                </wp:inline>
              </w:drawing>
            </w:r>
          </w:p>
        </w:tc>
        <w:tc>
          <w:tcPr>
            <w:tcW w:w="0" w:type="auto"/>
          </w:tcPr>
          <w:p w14:paraId="68420CB3" w14:textId="7106C1E7" w:rsidR="00866C34" w:rsidRPr="004F313C" w:rsidRDefault="00866C34" w:rsidP="00606E33">
            <w:pPr>
              <w:pStyle w:val="Heading2"/>
              <w:rPr>
                <w:color w:val="000000" w:themeColor="text1"/>
              </w:rPr>
            </w:pPr>
            <w:r w:rsidRPr="004F313C">
              <w:rPr>
                <w:noProof/>
              </w:rPr>
              <w:drawing>
                <wp:inline distT="0" distB="0" distL="0" distR="0" wp14:anchorId="2B49A8EA" wp14:editId="395183DF">
                  <wp:extent cx="1643379" cy="821690"/>
                  <wp:effectExtent l="0" t="0" r="0" b="3810"/>
                  <wp:docPr id="897507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7443" name=""/>
                          <pic:cNvPicPr/>
                        </pic:nvPicPr>
                        <pic:blipFill>
                          <a:blip r:embed="rId24"/>
                          <a:stretch>
                            <a:fillRect/>
                          </a:stretch>
                        </pic:blipFill>
                        <pic:spPr>
                          <a:xfrm>
                            <a:off x="0" y="0"/>
                            <a:ext cx="1678785" cy="839393"/>
                          </a:xfrm>
                          <a:prstGeom prst="rect">
                            <a:avLst/>
                          </a:prstGeom>
                        </pic:spPr>
                      </pic:pic>
                    </a:graphicData>
                  </a:graphic>
                </wp:inline>
              </w:drawing>
            </w:r>
          </w:p>
        </w:tc>
      </w:tr>
    </w:tbl>
    <w:p w14:paraId="5703C65E" w14:textId="77777777" w:rsidR="00871BF1" w:rsidRPr="004F313C" w:rsidRDefault="00871BF1" w:rsidP="00606E33">
      <w:pPr>
        <w:pStyle w:val="Heading2"/>
        <w:rPr>
          <w:color w:val="000000" w:themeColor="text1"/>
        </w:rPr>
      </w:pPr>
    </w:p>
    <w:p w14:paraId="37A2C0AC" w14:textId="5AC0C47E" w:rsidR="00606E33" w:rsidRPr="004F313C" w:rsidRDefault="001156D5" w:rsidP="001156D5">
      <w:pPr>
        <w:pStyle w:val="Caption"/>
        <w:rPr>
          <w:b w:val="0"/>
          <w:bCs w:val="0"/>
        </w:rPr>
      </w:pPr>
      <w:bookmarkStart w:id="9" w:name="_Ref220683775"/>
      <w:bookmarkStart w:id="10" w:name="_Toc222500792"/>
      <w:r w:rsidRPr="004F313C">
        <w:t xml:space="preserve">Figure </w:t>
      </w:r>
      <w:bookmarkEnd w:id="9"/>
      <w:r w:rsidR="0054328E">
        <w:t>9.</w:t>
      </w:r>
      <w:r w:rsidRPr="004F313C">
        <w:t xml:space="preserve"> </w:t>
      </w:r>
      <w:r w:rsidR="00606E33" w:rsidRPr="004F313C">
        <w:t>Electrification rates in buildings, transport, and the full energy system.</w:t>
      </w:r>
      <w:bookmarkEnd w:id="10"/>
    </w:p>
    <w:p w14:paraId="2EDF6CAF" w14:textId="3EF3DA9D" w:rsidR="00606E33" w:rsidRPr="004F313C" w:rsidRDefault="00606E33" w:rsidP="00BF20A1">
      <w:pPr>
        <w:pStyle w:val="Heading4"/>
        <w:rPr>
          <w:color w:val="000000" w:themeColor="text1"/>
        </w:rPr>
      </w:pPr>
      <w:r w:rsidRPr="004F313C">
        <w:rPr>
          <w:color w:val="000000" w:themeColor="text1"/>
        </w:rPr>
        <w:t xml:space="preserve">Legend. Electrification rates relative to reference scenario, calculated as the electricity share of total final energy. </w:t>
      </w:r>
      <w:r w:rsidR="00BF20A1" w:rsidRPr="004F313C">
        <w:rPr>
          <w:color w:val="000000" w:themeColor="text1"/>
        </w:rPr>
        <w:t>Top row</w:t>
      </w:r>
      <w:r w:rsidRPr="004F313C">
        <w:rPr>
          <w:color w:val="000000" w:themeColor="text1"/>
        </w:rPr>
        <w:t xml:space="preserve"> = current climate ambition (</w:t>
      </w:r>
      <w:proofErr w:type="spellStart"/>
      <w:r w:rsidRPr="004F313C">
        <w:rPr>
          <w:color w:val="000000" w:themeColor="text1"/>
        </w:rPr>
        <w:t>CurPol</w:t>
      </w:r>
      <w:proofErr w:type="spellEnd"/>
      <w:r w:rsidRPr="004F313C">
        <w:rPr>
          <w:color w:val="000000" w:themeColor="text1"/>
        </w:rPr>
        <w:t>)</w:t>
      </w:r>
      <w:r w:rsidR="00BF20A1" w:rsidRPr="004F313C">
        <w:rPr>
          <w:color w:val="000000" w:themeColor="text1"/>
        </w:rPr>
        <w:t>; bottom row</w:t>
      </w:r>
      <w:r w:rsidRPr="004F313C">
        <w:rPr>
          <w:color w:val="000000" w:themeColor="text1"/>
        </w:rPr>
        <w:t xml:space="preserve"> </w:t>
      </w:r>
      <w:r w:rsidR="00BF20A1" w:rsidRPr="004F313C">
        <w:rPr>
          <w:color w:val="000000" w:themeColor="text1"/>
        </w:rPr>
        <w:t xml:space="preserve">= </w:t>
      </w:r>
      <w:r w:rsidRPr="004F313C">
        <w:rPr>
          <w:color w:val="000000" w:themeColor="text1"/>
        </w:rPr>
        <w:t>strengthened climate ambition (2°C).</w:t>
      </w:r>
    </w:p>
    <w:p w14:paraId="4A9B16A1" w14:textId="77777777" w:rsidR="00606E33" w:rsidRPr="004F313C" w:rsidRDefault="00606E33" w:rsidP="00606E33">
      <w:pPr>
        <w:rPr>
          <w:color w:val="000000" w:themeColor="text1"/>
        </w:rPr>
      </w:pPr>
    </w:p>
    <w:p w14:paraId="75DA261C" w14:textId="014A6AE6" w:rsidR="00606E33" w:rsidRPr="004F313C" w:rsidRDefault="00606E33" w:rsidP="00606E33">
      <w:pPr>
        <w:rPr>
          <w:color w:val="000000" w:themeColor="text1"/>
        </w:rPr>
      </w:pPr>
      <w:r w:rsidRPr="004F313C">
        <w:rPr>
          <w:color w:val="000000" w:themeColor="text1"/>
        </w:rPr>
        <w:t xml:space="preserve">Heat pump and electric vehicle transitions (electrification of final energy) are marginally accelerated in </w:t>
      </w:r>
      <w:r w:rsidR="00513BBD" w:rsidRPr="004F313C">
        <w:rPr>
          <w:color w:val="000000" w:themeColor="text1"/>
        </w:rPr>
        <w:t>Enable</w:t>
      </w:r>
      <w:r w:rsidRPr="004F313C">
        <w:rPr>
          <w:color w:val="000000" w:themeColor="text1"/>
        </w:rPr>
        <w:t xml:space="preserve"> scenarios due to additional value streams from demand flexibility services (e.g. load shifting out of peak demand periods), and marginally slowed in </w:t>
      </w:r>
      <w:r w:rsidR="00CE1F31" w:rsidRPr="004F313C">
        <w:rPr>
          <w:color w:val="000000" w:themeColor="text1"/>
        </w:rPr>
        <w:t>Undermine</w:t>
      </w:r>
      <w:r w:rsidRPr="004F313C">
        <w:rPr>
          <w:color w:val="000000" w:themeColor="text1"/>
        </w:rPr>
        <w:t xml:space="preserve"> scenarios due to myopic localised controls creating dis-integrated system operation.</w:t>
      </w:r>
    </w:p>
    <w:p w14:paraId="6F3479E2" w14:textId="77777777" w:rsidR="00BA5F76" w:rsidRPr="004F313C" w:rsidRDefault="00BA5F76" w:rsidP="00BA5F76">
      <w:pPr>
        <w:rPr>
          <w:color w:val="000000" w:themeColor="text1"/>
        </w:rPr>
      </w:pPr>
    </w:p>
    <w:p w14:paraId="44CD9608" w14:textId="77777777" w:rsidR="00195A08" w:rsidRDefault="00BA5F76" w:rsidP="00BA5F76">
      <w:pPr>
        <w:rPr>
          <w:color w:val="000000" w:themeColor="text1"/>
        </w:rPr>
      </w:pPr>
      <w:r w:rsidRPr="004F313C">
        <w:rPr>
          <w:color w:val="000000" w:themeColor="text1"/>
        </w:rPr>
        <w:t>Electricity as a share of final energy consumption in buildings and transport sectors is up to 1.7% and 2.1% higher respectively in the Enable scenarios relative to the SSP2 reference scenario under current climate ambition.</w:t>
      </w:r>
    </w:p>
    <w:p w14:paraId="3E6DB974" w14:textId="77777777" w:rsidR="00195A08" w:rsidRDefault="00195A08" w:rsidP="00BA5F76">
      <w:pPr>
        <w:rPr>
          <w:color w:val="000000" w:themeColor="text1"/>
        </w:rPr>
      </w:pPr>
    </w:p>
    <w:p w14:paraId="3ABFF57B" w14:textId="4D47567B" w:rsidR="00606E33" w:rsidRPr="004F313C" w:rsidRDefault="00BA5F76" w:rsidP="00BA5F76">
      <w:pPr>
        <w:rPr>
          <w:color w:val="000000" w:themeColor="text1"/>
        </w:rPr>
      </w:pPr>
      <w:r w:rsidRPr="004F313C">
        <w:rPr>
          <w:color w:val="000000" w:themeColor="text1"/>
        </w:rPr>
        <w:t xml:space="preserve"> </w:t>
      </w:r>
      <w:r w:rsidR="00606E33" w:rsidRPr="004F313C">
        <w:rPr>
          <w:color w:val="000000" w:themeColor="text1"/>
        </w:rPr>
        <w:br w:type="page"/>
      </w:r>
    </w:p>
    <w:tbl>
      <w:tblPr>
        <w:tblStyle w:val="TableGridLight"/>
        <w:tblW w:w="0" w:type="auto"/>
        <w:tblLook w:val="04A0" w:firstRow="1" w:lastRow="0" w:firstColumn="1" w:lastColumn="0" w:noHBand="0" w:noVBand="1"/>
      </w:tblPr>
      <w:tblGrid>
        <w:gridCol w:w="483"/>
        <w:gridCol w:w="8533"/>
      </w:tblGrid>
      <w:tr w:rsidR="00C6647C" w:rsidRPr="004F313C" w14:paraId="78C13642" w14:textId="77777777" w:rsidTr="00910B5D">
        <w:tc>
          <w:tcPr>
            <w:tcW w:w="0" w:type="auto"/>
            <w:textDirection w:val="tbRl"/>
          </w:tcPr>
          <w:p w14:paraId="5058AC4E" w14:textId="77777777" w:rsidR="00C6647C" w:rsidRPr="004F313C" w:rsidRDefault="00C6647C">
            <w:pPr>
              <w:spacing w:line="240" w:lineRule="auto"/>
              <w:ind w:left="113" w:right="113"/>
              <w:jc w:val="center"/>
              <w:rPr>
                <w:color w:val="000000" w:themeColor="text1"/>
              </w:rPr>
            </w:pPr>
          </w:p>
        </w:tc>
        <w:tc>
          <w:tcPr>
            <w:tcW w:w="0" w:type="auto"/>
          </w:tcPr>
          <w:p w14:paraId="74D70AAB" w14:textId="2CB4A793" w:rsidR="00C6647C" w:rsidRPr="004F313C" w:rsidRDefault="004247F0">
            <w:pPr>
              <w:spacing w:line="240" w:lineRule="auto"/>
              <w:jc w:val="center"/>
              <w:rPr>
                <w:color w:val="000000" w:themeColor="text1"/>
              </w:rPr>
            </w:pPr>
            <w:r w:rsidRPr="004F313C">
              <w:rPr>
                <w:color w:val="000000" w:themeColor="text1"/>
              </w:rPr>
              <w:t>global electricity mix</w:t>
            </w:r>
          </w:p>
        </w:tc>
      </w:tr>
      <w:tr w:rsidR="00C6647C" w:rsidRPr="004F313C" w14:paraId="2931CE73" w14:textId="77777777" w:rsidTr="00910B5D">
        <w:tc>
          <w:tcPr>
            <w:tcW w:w="0" w:type="auto"/>
            <w:textDirection w:val="btLr"/>
          </w:tcPr>
          <w:p w14:paraId="274B70A6" w14:textId="77777777" w:rsidR="00C6647C" w:rsidRPr="004F313C" w:rsidRDefault="00C6647C">
            <w:pPr>
              <w:spacing w:line="240" w:lineRule="auto"/>
              <w:ind w:left="113" w:right="113"/>
              <w:jc w:val="center"/>
              <w:rPr>
                <w:color w:val="000000" w:themeColor="text1"/>
              </w:rPr>
            </w:pPr>
            <w:proofErr w:type="spellStart"/>
            <w:r w:rsidRPr="004F313C">
              <w:rPr>
                <w:color w:val="000000" w:themeColor="text1"/>
              </w:rPr>
              <w:t>CurPol</w:t>
            </w:r>
            <w:proofErr w:type="spellEnd"/>
          </w:p>
        </w:tc>
        <w:tc>
          <w:tcPr>
            <w:tcW w:w="0" w:type="auto"/>
          </w:tcPr>
          <w:p w14:paraId="142D4EB9" w14:textId="4CE8D815" w:rsidR="00C6647C" w:rsidRPr="004F313C" w:rsidRDefault="00C6647C">
            <w:pPr>
              <w:spacing w:line="240" w:lineRule="auto"/>
              <w:rPr>
                <w:color w:val="000000" w:themeColor="text1"/>
              </w:rPr>
            </w:pPr>
            <w:r w:rsidRPr="004F313C">
              <w:rPr>
                <w:noProof/>
              </w:rPr>
              <w:drawing>
                <wp:inline distT="0" distB="0" distL="0" distR="0" wp14:anchorId="1BB688EE" wp14:editId="53D84CDE">
                  <wp:extent cx="5324354" cy="2662177"/>
                  <wp:effectExtent l="0" t="0" r="0" b="0"/>
                  <wp:docPr id="134457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77124" name=""/>
                          <pic:cNvPicPr/>
                        </pic:nvPicPr>
                        <pic:blipFill>
                          <a:blip r:embed="rId25"/>
                          <a:stretch>
                            <a:fillRect/>
                          </a:stretch>
                        </pic:blipFill>
                        <pic:spPr>
                          <a:xfrm>
                            <a:off x="0" y="0"/>
                            <a:ext cx="5332082" cy="2666041"/>
                          </a:xfrm>
                          <a:prstGeom prst="rect">
                            <a:avLst/>
                          </a:prstGeom>
                        </pic:spPr>
                      </pic:pic>
                    </a:graphicData>
                  </a:graphic>
                </wp:inline>
              </w:drawing>
            </w:r>
          </w:p>
        </w:tc>
      </w:tr>
      <w:tr w:rsidR="00C6647C" w:rsidRPr="004F313C" w14:paraId="3448F0DA" w14:textId="77777777" w:rsidTr="00910B5D">
        <w:tc>
          <w:tcPr>
            <w:tcW w:w="0" w:type="auto"/>
            <w:textDirection w:val="btLr"/>
          </w:tcPr>
          <w:p w14:paraId="76C9D0F0" w14:textId="77777777" w:rsidR="00C6647C" w:rsidRPr="004F313C" w:rsidRDefault="00C6647C">
            <w:pPr>
              <w:spacing w:line="240" w:lineRule="auto"/>
              <w:ind w:left="113" w:right="113"/>
              <w:jc w:val="center"/>
              <w:rPr>
                <w:color w:val="000000" w:themeColor="text1"/>
              </w:rPr>
            </w:pPr>
            <w:r w:rsidRPr="004F313C">
              <w:rPr>
                <w:color w:val="000000" w:themeColor="text1"/>
              </w:rPr>
              <w:t>2°C</w:t>
            </w:r>
          </w:p>
        </w:tc>
        <w:tc>
          <w:tcPr>
            <w:tcW w:w="0" w:type="auto"/>
          </w:tcPr>
          <w:p w14:paraId="37618C1C" w14:textId="4A28C7EB" w:rsidR="00C6647C" w:rsidRPr="004F313C" w:rsidRDefault="004247F0">
            <w:pPr>
              <w:spacing w:line="240" w:lineRule="auto"/>
              <w:rPr>
                <w:color w:val="000000" w:themeColor="text1"/>
              </w:rPr>
            </w:pPr>
            <w:r w:rsidRPr="004F313C">
              <w:rPr>
                <w:noProof/>
              </w:rPr>
              <w:drawing>
                <wp:inline distT="0" distB="0" distL="0" distR="0" wp14:anchorId="198A6EA5" wp14:editId="377F6326">
                  <wp:extent cx="5301206" cy="2650603"/>
                  <wp:effectExtent l="0" t="0" r="0" b="0"/>
                  <wp:docPr id="158675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4425" name=""/>
                          <pic:cNvPicPr/>
                        </pic:nvPicPr>
                        <pic:blipFill>
                          <a:blip r:embed="rId26"/>
                          <a:stretch>
                            <a:fillRect/>
                          </a:stretch>
                        </pic:blipFill>
                        <pic:spPr>
                          <a:xfrm>
                            <a:off x="0" y="0"/>
                            <a:ext cx="5303276" cy="2651638"/>
                          </a:xfrm>
                          <a:prstGeom prst="rect">
                            <a:avLst/>
                          </a:prstGeom>
                        </pic:spPr>
                      </pic:pic>
                    </a:graphicData>
                  </a:graphic>
                </wp:inline>
              </w:drawing>
            </w:r>
          </w:p>
        </w:tc>
      </w:tr>
    </w:tbl>
    <w:p w14:paraId="3C8834A7" w14:textId="77777777" w:rsidR="00C6647C" w:rsidRPr="004F313C" w:rsidRDefault="00C6647C" w:rsidP="00606E33">
      <w:pPr>
        <w:rPr>
          <w:color w:val="000000" w:themeColor="text1"/>
        </w:rPr>
      </w:pPr>
    </w:p>
    <w:p w14:paraId="07A30638" w14:textId="420285DF" w:rsidR="00606E33" w:rsidRPr="004F313C" w:rsidRDefault="00F04652" w:rsidP="00F04652">
      <w:pPr>
        <w:pStyle w:val="Caption"/>
        <w:rPr>
          <w:b w:val="0"/>
          <w:bCs w:val="0"/>
        </w:rPr>
      </w:pPr>
      <w:bookmarkStart w:id="11" w:name="_Ref220683884"/>
      <w:bookmarkStart w:id="12" w:name="_Toc222500793"/>
      <w:r w:rsidRPr="004F313C">
        <w:t xml:space="preserve">Figure </w:t>
      </w:r>
      <w:bookmarkEnd w:id="11"/>
      <w:r w:rsidR="00DA6FC2">
        <w:t>10.</w:t>
      </w:r>
      <w:r w:rsidRPr="004F313C">
        <w:t xml:space="preserve"> </w:t>
      </w:r>
      <w:r w:rsidR="00606E33" w:rsidRPr="004F313C">
        <w:t>Electricity generation by resource type</w:t>
      </w:r>
      <w:r w:rsidR="00AC03B6" w:rsidRPr="004F313C">
        <w:t>.</w:t>
      </w:r>
      <w:bookmarkEnd w:id="12"/>
    </w:p>
    <w:p w14:paraId="69A18475" w14:textId="4426E7FC" w:rsidR="00606E33" w:rsidRPr="004F313C" w:rsidRDefault="00606E33" w:rsidP="00C5148E">
      <w:pPr>
        <w:pStyle w:val="Heading4"/>
        <w:rPr>
          <w:color w:val="000000" w:themeColor="text1"/>
        </w:rPr>
      </w:pPr>
      <w:r w:rsidRPr="004F313C">
        <w:rPr>
          <w:color w:val="000000" w:themeColor="text1"/>
        </w:rPr>
        <w:t>Legend. Shares of total electricity generation by fossil fuel and renewable resource type</w:t>
      </w:r>
      <w:r w:rsidR="00A0592D" w:rsidRPr="004F313C">
        <w:rPr>
          <w:color w:val="000000" w:themeColor="text1"/>
        </w:rPr>
        <w:t xml:space="preserve"> (</w:t>
      </w:r>
      <w:r w:rsidR="00241482" w:rsidRPr="004F313C">
        <w:rPr>
          <w:color w:val="000000" w:themeColor="text1"/>
        </w:rPr>
        <w:t xml:space="preserve">shaded areas, </w:t>
      </w:r>
      <w:r w:rsidR="00A0592D" w:rsidRPr="004F313C">
        <w:rPr>
          <w:color w:val="000000" w:themeColor="text1"/>
        </w:rPr>
        <w:t>left y-axis) and total electricity generation (</w:t>
      </w:r>
      <w:r w:rsidR="00241482" w:rsidRPr="004F313C">
        <w:rPr>
          <w:color w:val="000000" w:themeColor="text1"/>
        </w:rPr>
        <w:t xml:space="preserve">line, </w:t>
      </w:r>
      <w:r w:rsidR="00A0592D" w:rsidRPr="004F313C">
        <w:rPr>
          <w:color w:val="000000" w:themeColor="text1"/>
        </w:rPr>
        <w:t>right y-axis).</w:t>
      </w:r>
      <w:r w:rsidR="00AC03B6" w:rsidRPr="004F313C">
        <w:rPr>
          <w:color w:val="000000" w:themeColor="text1"/>
        </w:rPr>
        <w:t xml:space="preserve"> Top row = current climate ambition (</w:t>
      </w:r>
      <w:proofErr w:type="spellStart"/>
      <w:r w:rsidR="00AC03B6" w:rsidRPr="004F313C">
        <w:rPr>
          <w:color w:val="000000" w:themeColor="text1"/>
        </w:rPr>
        <w:t>CurPol</w:t>
      </w:r>
      <w:proofErr w:type="spellEnd"/>
      <w:r w:rsidR="00AC03B6" w:rsidRPr="004F313C">
        <w:rPr>
          <w:color w:val="000000" w:themeColor="text1"/>
        </w:rPr>
        <w:t>); bottom row = strengthened climate ambition (2°C).</w:t>
      </w:r>
    </w:p>
    <w:p w14:paraId="42F5379D" w14:textId="77777777" w:rsidR="00C5148E" w:rsidRPr="004F313C" w:rsidRDefault="00C5148E" w:rsidP="00606E33">
      <w:pPr>
        <w:rPr>
          <w:color w:val="000000" w:themeColor="text1"/>
        </w:rPr>
      </w:pPr>
    </w:p>
    <w:p w14:paraId="776A4A23" w14:textId="41B3CF02" w:rsidR="00606E33" w:rsidRPr="004F313C" w:rsidRDefault="00B77B71" w:rsidP="00930783">
      <w:pPr>
        <w:rPr>
          <w:color w:val="000000" w:themeColor="text1"/>
        </w:rPr>
      </w:pPr>
      <w:r w:rsidRPr="004F313C">
        <w:rPr>
          <w:color w:val="000000" w:themeColor="text1"/>
        </w:rPr>
        <w:t>Digitalisation s</w:t>
      </w:r>
      <w:r w:rsidR="001039C8" w:rsidRPr="004F313C">
        <w:rPr>
          <w:color w:val="000000" w:themeColor="text1"/>
        </w:rPr>
        <w:t>izes the energy system</w:t>
      </w:r>
      <w:r w:rsidR="00684758" w:rsidRPr="004F313C">
        <w:rPr>
          <w:color w:val="000000" w:themeColor="text1"/>
        </w:rPr>
        <w:t>: the total electricity supply in 2050</w:t>
      </w:r>
      <w:r w:rsidR="001B1548" w:rsidRPr="004F313C">
        <w:rPr>
          <w:color w:val="000000" w:themeColor="text1"/>
        </w:rPr>
        <w:t xml:space="preserve"> under </w:t>
      </w:r>
      <w:r w:rsidR="00845E8D" w:rsidRPr="004F313C">
        <w:rPr>
          <w:color w:val="000000" w:themeColor="text1"/>
        </w:rPr>
        <w:t xml:space="preserve">Undermine-Extreme assumptions is roughly double </w:t>
      </w:r>
      <w:r w:rsidR="001B1548" w:rsidRPr="004F313C">
        <w:rPr>
          <w:color w:val="000000" w:themeColor="text1"/>
        </w:rPr>
        <w:t>Enable</w:t>
      </w:r>
      <w:r w:rsidR="00FB3DAC" w:rsidRPr="004F313C">
        <w:rPr>
          <w:color w:val="000000" w:themeColor="text1"/>
        </w:rPr>
        <w:t>-Extreme</w:t>
      </w:r>
      <w:r w:rsidR="00845E8D" w:rsidRPr="004F313C">
        <w:rPr>
          <w:color w:val="000000" w:themeColor="text1"/>
        </w:rPr>
        <w:t>.</w:t>
      </w:r>
      <w:r w:rsidRPr="004F313C">
        <w:rPr>
          <w:color w:val="000000" w:themeColor="text1"/>
        </w:rPr>
        <w:t xml:space="preserve"> </w:t>
      </w:r>
      <w:r w:rsidR="0060471A" w:rsidRPr="004F313C">
        <w:rPr>
          <w:color w:val="000000" w:themeColor="text1"/>
        </w:rPr>
        <w:t xml:space="preserve">Climate-aligned digitalisation </w:t>
      </w:r>
      <w:r w:rsidR="00365414" w:rsidRPr="004F313C">
        <w:rPr>
          <w:color w:val="000000" w:themeColor="text1"/>
        </w:rPr>
        <w:t xml:space="preserve">in Enable scenarios </w:t>
      </w:r>
      <w:r w:rsidR="00FF7319" w:rsidRPr="004F313C">
        <w:rPr>
          <w:color w:val="000000" w:themeColor="text1"/>
        </w:rPr>
        <w:t xml:space="preserve">also </w:t>
      </w:r>
      <w:r w:rsidR="0060471A" w:rsidRPr="004F313C">
        <w:rPr>
          <w:color w:val="000000" w:themeColor="text1"/>
        </w:rPr>
        <w:t>accelerates the transition to renewable energy and the phase out of fossil fuels for electricity generation</w:t>
      </w:r>
      <w:r w:rsidR="00985EBF" w:rsidRPr="004F313C">
        <w:rPr>
          <w:color w:val="000000" w:themeColor="text1"/>
        </w:rPr>
        <w:t xml:space="preserve">, with wind and solar </w:t>
      </w:r>
      <w:r w:rsidR="004E3A53" w:rsidRPr="004F313C">
        <w:rPr>
          <w:color w:val="000000" w:themeColor="text1"/>
        </w:rPr>
        <w:t>approaching a 60</w:t>
      </w:r>
      <w:r w:rsidR="003534D8" w:rsidRPr="004F313C">
        <w:rPr>
          <w:color w:val="000000" w:themeColor="text1"/>
        </w:rPr>
        <w:t>%</w:t>
      </w:r>
      <w:r w:rsidR="004E3A53" w:rsidRPr="004F313C">
        <w:rPr>
          <w:color w:val="000000" w:themeColor="text1"/>
        </w:rPr>
        <w:t xml:space="preserve"> share</w:t>
      </w:r>
      <w:r w:rsidR="00797A27" w:rsidRPr="004F313C">
        <w:rPr>
          <w:color w:val="000000" w:themeColor="text1"/>
        </w:rPr>
        <w:t xml:space="preserve"> under current climate ambition (</w:t>
      </w:r>
      <w:proofErr w:type="spellStart"/>
      <w:r w:rsidR="00797A27" w:rsidRPr="004F313C">
        <w:rPr>
          <w:color w:val="000000" w:themeColor="text1"/>
        </w:rPr>
        <w:t>CurPol</w:t>
      </w:r>
      <w:proofErr w:type="spellEnd"/>
      <w:r w:rsidR="00797A27" w:rsidRPr="004F313C">
        <w:rPr>
          <w:color w:val="000000" w:themeColor="text1"/>
        </w:rPr>
        <w:t>, upper panel)</w:t>
      </w:r>
      <w:r w:rsidR="0060471A" w:rsidRPr="004F313C">
        <w:rPr>
          <w:color w:val="000000" w:themeColor="text1"/>
        </w:rPr>
        <w:t xml:space="preserve">. </w:t>
      </w:r>
      <w:r w:rsidR="00606E33" w:rsidRPr="004F313C">
        <w:rPr>
          <w:color w:val="000000" w:themeColor="text1"/>
        </w:rPr>
        <w:t xml:space="preserve">Stringent climate policy </w:t>
      </w:r>
      <w:r w:rsidR="002D2DCA" w:rsidRPr="004F313C">
        <w:rPr>
          <w:color w:val="000000" w:themeColor="text1"/>
        </w:rPr>
        <w:t>(2°C</w:t>
      </w:r>
      <w:r w:rsidR="00797A27" w:rsidRPr="004F313C">
        <w:rPr>
          <w:color w:val="000000" w:themeColor="text1"/>
        </w:rPr>
        <w:t>,</w:t>
      </w:r>
      <w:r w:rsidR="002D2DCA" w:rsidRPr="004F313C">
        <w:rPr>
          <w:color w:val="000000" w:themeColor="text1"/>
        </w:rPr>
        <w:t xml:space="preserve"> lower panel) </w:t>
      </w:r>
      <w:r w:rsidR="00606E33" w:rsidRPr="004F313C">
        <w:rPr>
          <w:color w:val="000000" w:themeColor="text1"/>
        </w:rPr>
        <w:t>str</w:t>
      </w:r>
      <w:r w:rsidR="00123986" w:rsidRPr="004F313C">
        <w:rPr>
          <w:color w:val="000000" w:themeColor="text1"/>
        </w:rPr>
        <w:t>e</w:t>
      </w:r>
      <w:r w:rsidR="00606E33" w:rsidRPr="004F313C">
        <w:rPr>
          <w:color w:val="000000" w:themeColor="text1"/>
        </w:rPr>
        <w:t>ng</w:t>
      </w:r>
      <w:r w:rsidR="00123986" w:rsidRPr="004F313C">
        <w:rPr>
          <w:color w:val="000000" w:themeColor="text1"/>
        </w:rPr>
        <w:t>thens decarbonisation</w:t>
      </w:r>
      <w:r w:rsidR="00606E33" w:rsidRPr="004F313C">
        <w:rPr>
          <w:color w:val="000000" w:themeColor="text1"/>
        </w:rPr>
        <w:t xml:space="preserve"> incentives</w:t>
      </w:r>
      <w:r w:rsidR="00123986" w:rsidRPr="004F313C">
        <w:rPr>
          <w:color w:val="000000" w:themeColor="text1"/>
        </w:rPr>
        <w:t>,</w:t>
      </w:r>
      <w:r w:rsidR="00606E33" w:rsidRPr="004F313C">
        <w:rPr>
          <w:color w:val="000000" w:themeColor="text1"/>
        </w:rPr>
        <w:t xml:space="preserve"> driving both faster electrification and VRE deployment that amplifies the effect of digitalisation.</w:t>
      </w:r>
    </w:p>
    <w:p w14:paraId="34F873A5" w14:textId="77777777" w:rsidR="00930783" w:rsidRPr="004F313C" w:rsidRDefault="00930783" w:rsidP="00930783">
      <w:pPr>
        <w:rPr>
          <w:color w:val="000000" w:themeColor="text1"/>
        </w:rPr>
      </w:pPr>
    </w:p>
    <w:p w14:paraId="5DCA4EBF" w14:textId="353BEA6D" w:rsidR="00930783" w:rsidRPr="004F313C" w:rsidRDefault="00930783">
      <w:pPr>
        <w:spacing w:line="240" w:lineRule="auto"/>
        <w:rPr>
          <w:color w:val="000000" w:themeColor="text1"/>
        </w:rPr>
      </w:pPr>
      <w:r w:rsidRPr="004F313C">
        <w:rPr>
          <w:color w:val="000000" w:themeColor="text1"/>
        </w:rPr>
        <w:br w:type="page"/>
      </w:r>
    </w:p>
    <w:tbl>
      <w:tblPr>
        <w:tblStyle w:val="TableGridLight"/>
        <w:tblW w:w="0" w:type="auto"/>
        <w:tblLook w:val="04A0" w:firstRow="1" w:lastRow="0" w:firstColumn="1" w:lastColumn="0" w:noHBand="0" w:noVBand="1"/>
      </w:tblPr>
      <w:tblGrid>
        <w:gridCol w:w="485"/>
        <w:gridCol w:w="8362"/>
      </w:tblGrid>
      <w:tr w:rsidR="00AE1797" w:rsidRPr="004F313C" w14:paraId="4C8E4A3B" w14:textId="77777777" w:rsidTr="00910B5D">
        <w:tc>
          <w:tcPr>
            <w:tcW w:w="279" w:type="dxa"/>
            <w:textDirection w:val="tbRl"/>
          </w:tcPr>
          <w:p w14:paraId="4A8A2752" w14:textId="77777777" w:rsidR="00AE1797" w:rsidRPr="004F313C" w:rsidRDefault="00AE1797">
            <w:pPr>
              <w:spacing w:line="240" w:lineRule="auto"/>
              <w:ind w:left="113" w:right="113"/>
              <w:jc w:val="center"/>
              <w:rPr>
                <w:color w:val="000000" w:themeColor="text1"/>
              </w:rPr>
            </w:pPr>
          </w:p>
        </w:tc>
        <w:tc>
          <w:tcPr>
            <w:tcW w:w="8362" w:type="dxa"/>
          </w:tcPr>
          <w:p w14:paraId="31134D6E" w14:textId="5E1B1BB4" w:rsidR="00AE1797" w:rsidRPr="004F313C" w:rsidRDefault="009C15DF">
            <w:pPr>
              <w:spacing w:line="240" w:lineRule="auto"/>
              <w:jc w:val="center"/>
              <w:rPr>
                <w:color w:val="000000" w:themeColor="text1"/>
              </w:rPr>
            </w:pPr>
            <w:r w:rsidRPr="004F313C">
              <w:rPr>
                <w:color w:val="000000" w:themeColor="text1"/>
              </w:rPr>
              <w:t>% roof top solar in total electricity supply</w:t>
            </w:r>
          </w:p>
        </w:tc>
      </w:tr>
      <w:tr w:rsidR="00AE1797" w:rsidRPr="004F313C" w14:paraId="484CD13C" w14:textId="77777777" w:rsidTr="00910B5D">
        <w:tc>
          <w:tcPr>
            <w:tcW w:w="279" w:type="dxa"/>
            <w:textDirection w:val="btLr"/>
          </w:tcPr>
          <w:p w14:paraId="09C28809" w14:textId="77777777" w:rsidR="00AE1797" w:rsidRPr="004F313C" w:rsidRDefault="00AE1797">
            <w:pPr>
              <w:spacing w:line="240" w:lineRule="auto"/>
              <w:ind w:left="113" w:right="113"/>
              <w:jc w:val="center"/>
              <w:rPr>
                <w:color w:val="000000" w:themeColor="text1"/>
              </w:rPr>
            </w:pPr>
            <w:proofErr w:type="spellStart"/>
            <w:r w:rsidRPr="004F313C">
              <w:rPr>
                <w:color w:val="000000" w:themeColor="text1"/>
              </w:rPr>
              <w:t>CurPol</w:t>
            </w:r>
            <w:proofErr w:type="spellEnd"/>
          </w:p>
        </w:tc>
        <w:tc>
          <w:tcPr>
            <w:tcW w:w="8362" w:type="dxa"/>
          </w:tcPr>
          <w:p w14:paraId="06E98981" w14:textId="0F4B91AF" w:rsidR="00AE1797" w:rsidRPr="004F313C" w:rsidRDefault="008D4E49">
            <w:pPr>
              <w:spacing w:line="240" w:lineRule="auto"/>
              <w:rPr>
                <w:color w:val="000000" w:themeColor="text1"/>
              </w:rPr>
            </w:pPr>
            <w:r w:rsidRPr="004F313C">
              <w:rPr>
                <w:noProof/>
              </w:rPr>
              <w:drawing>
                <wp:inline distT="0" distB="0" distL="0" distR="0" wp14:anchorId="6120AD88" wp14:editId="3DAE14C5">
                  <wp:extent cx="5040000" cy="2520000"/>
                  <wp:effectExtent l="0" t="0" r="1905" b="0"/>
                  <wp:docPr id="12" name="Grafik 11" descr="Ein Bild, das Screenshot, Rechteck, Farbigkeit, Text enthält.&#10;&#10;KI-generierte Inhalte können fehlerhaft sein.">
                    <a:extLst xmlns:a="http://schemas.openxmlformats.org/drawingml/2006/main">
                      <a:ext uri="{FF2B5EF4-FFF2-40B4-BE49-F238E27FC236}">
                        <a16:creationId xmlns:a16="http://schemas.microsoft.com/office/drawing/2014/main" id="{B8546AEC-DA53-145A-6E26-290993704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Screenshot, Rechteck, Farbigkeit, Text enthält.&#10;&#10;KI-generierte Inhalte können fehlerhaft sein.">
                            <a:extLst>
                              <a:ext uri="{FF2B5EF4-FFF2-40B4-BE49-F238E27FC236}">
                                <a16:creationId xmlns:a16="http://schemas.microsoft.com/office/drawing/2014/main" id="{B8546AEC-DA53-145A-6E26-2909937046E1}"/>
                              </a:ext>
                            </a:extLst>
                          </pic:cNvPr>
                          <pic:cNvPicPr>
                            <a:picLocks noChangeAspect="1"/>
                          </pic:cNvPicPr>
                        </pic:nvPicPr>
                        <pic:blipFill>
                          <a:blip r:embed="rId27"/>
                          <a:stretch>
                            <a:fillRect/>
                          </a:stretch>
                        </pic:blipFill>
                        <pic:spPr>
                          <a:xfrm>
                            <a:off x="0" y="0"/>
                            <a:ext cx="5040000" cy="2520000"/>
                          </a:xfrm>
                          <a:prstGeom prst="rect">
                            <a:avLst/>
                          </a:prstGeom>
                        </pic:spPr>
                      </pic:pic>
                    </a:graphicData>
                  </a:graphic>
                </wp:inline>
              </w:drawing>
            </w:r>
          </w:p>
        </w:tc>
      </w:tr>
      <w:tr w:rsidR="00AE1797" w:rsidRPr="004F313C" w14:paraId="3E4E80D8" w14:textId="77777777" w:rsidTr="00910B5D">
        <w:tc>
          <w:tcPr>
            <w:tcW w:w="279" w:type="dxa"/>
            <w:textDirection w:val="btLr"/>
          </w:tcPr>
          <w:p w14:paraId="4603CD8D" w14:textId="77777777" w:rsidR="00AE1797" w:rsidRPr="004F313C" w:rsidRDefault="00AE1797">
            <w:pPr>
              <w:spacing w:line="240" w:lineRule="auto"/>
              <w:ind w:left="113" w:right="113"/>
              <w:jc w:val="center"/>
              <w:rPr>
                <w:color w:val="000000" w:themeColor="text1"/>
              </w:rPr>
            </w:pPr>
            <w:r w:rsidRPr="004F313C">
              <w:rPr>
                <w:color w:val="000000" w:themeColor="text1"/>
              </w:rPr>
              <w:t>2°C</w:t>
            </w:r>
          </w:p>
        </w:tc>
        <w:tc>
          <w:tcPr>
            <w:tcW w:w="8362" w:type="dxa"/>
          </w:tcPr>
          <w:p w14:paraId="1AF18380" w14:textId="23629B3B" w:rsidR="00AE1797" w:rsidRPr="004F313C" w:rsidRDefault="008D4E49">
            <w:pPr>
              <w:spacing w:line="240" w:lineRule="auto"/>
              <w:rPr>
                <w:color w:val="000000" w:themeColor="text1"/>
              </w:rPr>
            </w:pPr>
            <w:r w:rsidRPr="004F313C">
              <w:rPr>
                <w:noProof/>
              </w:rPr>
              <w:drawing>
                <wp:inline distT="0" distB="0" distL="0" distR="0" wp14:anchorId="18E9DFAE" wp14:editId="5F36E75B">
                  <wp:extent cx="5039999" cy="2520000"/>
                  <wp:effectExtent l="0" t="0" r="1905" b="0"/>
                  <wp:docPr id="10" name="Grafik 9" descr="Ein Bild, das Screenshot, Rechteck, Text, Farbigkeit enthält.&#10;&#10;KI-generierte Inhalte können fehlerhaft sein.">
                    <a:extLst xmlns:a="http://schemas.openxmlformats.org/drawingml/2006/main">
                      <a:ext uri="{FF2B5EF4-FFF2-40B4-BE49-F238E27FC236}">
                        <a16:creationId xmlns:a16="http://schemas.microsoft.com/office/drawing/2014/main" id="{FE253DF0-78E2-630B-6924-A086E6129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Screenshot, Rechteck, Text, Farbigkeit enthält.&#10;&#10;KI-generierte Inhalte können fehlerhaft sein.">
                            <a:extLst>
                              <a:ext uri="{FF2B5EF4-FFF2-40B4-BE49-F238E27FC236}">
                                <a16:creationId xmlns:a16="http://schemas.microsoft.com/office/drawing/2014/main" id="{FE253DF0-78E2-630B-6924-A086E61290AB}"/>
                              </a:ext>
                            </a:extLst>
                          </pic:cNvPr>
                          <pic:cNvPicPr>
                            <a:picLocks noChangeAspect="1"/>
                          </pic:cNvPicPr>
                        </pic:nvPicPr>
                        <pic:blipFill>
                          <a:blip r:embed="rId28"/>
                          <a:stretch>
                            <a:fillRect/>
                          </a:stretch>
                        </pic:blipFill>
                        <pic:spPr>
                          <a:xfrm>
                            <a:off x="0" y="0"/>
                            <a:ext cx="5039999" cy="2520000"/>
                          </a:xfrm>
                          <a:prstGeom prst="rect">
                            <a:avLst/>
                          </a:prstGeom>
                        </pic:spPr>
                      </pic:pic>
                    </a:graphicData>
                  </a:graphic>
                </wp:inline>
              </w:drawing>
            </w:r>
          </w:p>
        </w:tc>
      </w:tr>
    </w:tbl>
    <w:p w14:paraId="5F25DC88" w14:textId="77777777" w:rsidR="00AE1797" w:rsidRPr="004F313C" w:rsidRDefault="00AE1797" w:rsidP="00606E33">
      <w:pPr>
        <w:pStyle w:val="Heading2"/>
        <w:rPr>
          <w:color w:val="000000" w:themeColor="text1"/>
        </w:rPr>
      </w:pPr>
    </w:p>
    <w:p w14:paraId="15433E55" w14:textId="1EC5A1AB" w:rsidR="00606E33" w:rsidRPr="004F313C" w:rsidRDefault="00930783" w:rsidP="00930783">
      <w:pPr>
        <w:pStyle w:val="Caption"/>
        <w:rPr>
          <w:b w:val="0"/>
          <w:bCs w:val="0"/>
        </w:rPr>
      </w:pPr>
      <w:bookmarkStart w:id="13" w:name="_Ref220684244"/>
      <w:bookmarkStart w:id="14" w:name="_Toc222500794"/>
      <w:r w:rsidRPr="004F313C">
        <w:t xml:space="preserve">Figure </w:t>
      </w:r>
      <w:bookmarkEnd w:id="13"/>
      <w:r w:rsidR="00DA6FC2">
        <w:t>11.</w:t>
      </w:r>
      <w:r w:rsidRPr="004F313C">
        <w:t xml:space="preserve"> </w:t>
      </w:r>
      <w:r w:rsidR="00606E33" w:rsidRPr="004F313C">
        <w:t>Distributed solar power generation.</w:t>
      </w:r>
      <w:bookmarkEnd w:id="14"/>
    </w:p>
    <w:p w14:paraId="4FBAEE30" w14:textId="6103357A" w:rsidR="00606E33" w:rsidRPr="004F313C" w:rsidRDefault="00606E33" w:rsidP="00606E33">
      <w:pPr>
        <w:pStyle w:val="Heading4"/>
        <w:rPr>
          <w:color w:val="000000" w:themeColor="text1"/>
        </w:rPr>
      </w:pPr>
      <w:r w:rsidRPr="004F313C">
        <w:rPr>
          <w:color w:val="000000" w:themeColor="text1"/>
        </w:rPr>
        <w:t>Legend. Share of rooftop solar in total electricity generation</w:t>
      </w:r>
      <w:r w:rsidR="005418ED" w:rsidRPr="004F313C">
        <w:rPr>
          <w:color w:val="000000" w:themeColor="text1"/>
        </w:rPr>
        <w:t xml:space="preserve"> in 2050</w:t>
      </w:r>
      <w:r w:rsidRPr="004F313C">
        <w:rPr>
          <w:color w:val="000000" w:themeColor="text1"/>
        </w:rPr>
        <w:t>.</w:t>
      </w:r>
      <w:r w:rsidR="005418ED" w:rsidRPr="004F313C">
        <w:rPr>
          <w:color w:val="000000" w:themeColor="text1"/>
        </w:rPr>
        <w:t xml:space="preserve"> Top row = current climate ambition (</w:t>
      </w:r>
      <w:proofErr w:type="spellStart"/>
      <w:r w:rsidR="005418ED" w:rsidRPr="004F313C">
        <w:rPr>
          <w:color w:val="000000" w:themeColor="text1"/>
        </w:rPr>
        <w:t>CurPol</w:t>
      </w:r>
      <w:proofErr w:type="spellEnd"/>
      <w:r w:rsidR="005418ED" w:rsidRPr="004F313C">
        <w:rPr>
          <w:color w:val="000000" w:themeColor="text1"/>
        </w:rPr>
        <w:t>); bottom row = strengthened climate ambition (2°C).</w:t>
      </w:r>
    </w:p>
    <w:p w14:paraId="1096DDE5" w14:textId="77777777" w:rsidR="00606E33" w:rsidRPr="004F313C" w:rsidRDefault="00606E33" w:rsidP="00606E33">
      <w:pPr>
        <w:rPr>
          <w:color w:val="000000" w:themeColor="text1"/>
        </w:rPr>
      </w:pPr>
    </w:p>
    <w:p w14:paraId="7D326B49" w14:textId="4F67B55F" w:rsidR="00606E33" w:rsidRPr="004F313C" w:rsidRDefault="00D24498" w:rsidP="00606E33">
      <w:pPr>
        <w:rPr>
          <w:color w:val="000000" w:themeColor="text1"/>
        </w:rPr>
      </w:pPr>
      <w:r w:rsidRPr="004F313C">
        <w:rPr>
          <w:color w:val="000000" w:themeColor="text1"/>
        </w:rPr>
        <w:t>Climate-a</w:t>
      </w:r>
      <w:r w:rsidR="00606E33" w:rsidRPr="004F313C">
        <w:rPr>
          <w:color w:val="000000" w:themeColor="text1"/>
        </w:rPr>
        <w:t xml:space="preserve">ligned digitalisation </w:t>
      </w:r>
      <w:r w:rsidR="003D7808" w:rsidRPr="004F313C">
        <w:rPr>
          <w:color w:val="000000" w:themeColor="text1"/>
        </w:rPr>
        <w:t xml:space="preserve">in Enable scenarios </w:t>
      </w:r>
      <w:r w:rsidR="00606E33" w:rsidRPr="004F313C">
        <w:rPr>
          <w:color w:val="000000" w:themeColor="text1"/>
        </w:rPr>
        <w:t xml:space="preserve">enables rooftop PV deployment by fully integrating distributed resources for system balancing. </w:t>
      </w:r>
      <w:r w:rsidR="0010237C" w:rsidRPr="004F313C">
        <w:rPr>
          <w:color w:val="000000" w:themeColor="text1"/>
        </w:rPr>
        <w:t>D</w:t>
      </w:r>
      <w:r w:rsidR="00606E33" w:rsidRPr="004F313C">
        <w:rPr>
          <w:color w:val="000000" w:themeColor="text1"/>
        </w:rPr>
        <w:t xml:space="preserve">igitalisation </w:t>
      </w:r>
      <w:r w:rsidR="0010237C" w:rsidRPr="004F313C">
        <w:rPr>
          <w:color w:val="000000" w:themeColor="text1"/>
        </w:rPr>
        <w:t xml:space="preserve">in Undermine scenarios </w:t>
      </w:r>
      <w:r w:rsidR="00606E33" w:rsidRPr="004F313C">
        <w:rPr>
          <w:color w:val="000000" w:themeColor="text1"/>
        </w:rPr>
        <w:t xml:space="preserve">sees end users optimising own use of distributed generation but imposing costs on </w:t>
      </w:r>
      <w:r w:rsidR="0010237C" w:rsidRPr="004F313C">
        <w:rPr>
          <w:color w:val="000000" w:themeColor="text1"/>
        </w:rPr>
        <w:t xml:space="preserve">overall </w:t>
      </w:r>
      <w:r w:rsidR="00606E33" w:rsidRPr="004F313C">
        <w:rPr>
          <w:color w:val="000000" w:themeColor="text1"/>
        </w:rPr>
        <w:t xml:space="preserve">system </w:t>
      </w:r>
      <w:r w:rsidR="00AF4ECA" w:rsidRPr="004F313C">
        <w:rPr>
          <w:color w:val="000000" w:themeColor="text1"/>
        </w:rPr>
        <w:t>integration</w:t>
      </w:r>
      <w:r w:rsidR="00606E33" w:rsidRPr="004F313C">
        <w:rPr>
          <w:color w:val="000000" w:themeColor="text1"/>
        </w:rPr>
        <w:t>.</w:t>
      </w:r>
      <w:r w:rsidR="00262C36" w:rsidRPr="004F313C">
        <w:rPr>
          <w:color w:val="000000" w:themeColor="text1"/>
        </w:rPr>
        <w:t xml:space="preserve"> Under strengthened climate ambition</w:t>
      </w:r>
      <w:r w:rsidR="007B2BA9" w:rsidRPr="004F313C">
        <w:rPr>
          <w:color w:val="000000" w:themeColor="text1"/>
        </w:rPr>
        <w:t>, larger absolute volumes of solar output (</w:t>
      </w:r>
      <w:r w:rsidR="00DA6FC2">
        <w:rPr>
          <w:color w:val="000000" w:themeColor="text1"/>
        </w:rPr>
        <w:t>Figure 10</w:t>
      </w:r>
      <w:r w:rsidR="007B2BA9" w:rsidRPr="004F313C">
        <w:rPr>
          <w:color w:val="000000" w:themeColor="text1"/>
        </w:rPr>
        <w:t>) mean constraints on rooftop capacity are reached more quickly so the rooftop share is slightly lower than under current climate ambition.</w:t>
      </w:r>
    </w:p>
    <w:p w14:paraId="784A15DC" w14:textId="77777777" w:rsidR="00606E33" w:rsidRPr="004F313C" w:rsidRDefault="00606E33" w:rsidP="00606E33">
      <w:pPr>
        <w:rPr>
          <w:color w:val="000000" w:themeColor="text1"/>
        </w:rPr>
      </w:pPr>
    </w:p>
    <w:p w14:paraId="2342FCB9" w14:textId="4FC9B34D" w:rsidR="00FD594A" w:rsidRPr="004F313C" w:rsidRDefault="00FD594A">
      <w:pPr>
        <w:spacing w:line="240" w:lineRule="auto"/>
        <w:rPr>
          <w:color w:val="000000" w:themeColor="text1"/>
        </w:rPr>
      </w:pPr>
      <w:r w:rsidRPr="004F313C">
        <w:rPr>
          <w:color w:val="000000" w:themeColor="text1"/>
        </w:rPr>
        <w:br w:type="page"/>
      </w:r>
    </w:p>
    <w:tbl>
      <w:tblPr>
        <w:tblStyle w:val="TableGridLight"/>
        <w:tblW w:w="0" w:type="auto"/>
        <w:tblLook w:val="04A0" w:firstRow="1" w:lastRow="0" w:firstColumn="1" w:lastColumn="0" w:noHBand="0" w:noVBand="1"/>
      </w:tblPr>
      <w:tblGrid>
        <w:gridCol w:w="474"/>
        <w:gridCol w:w="8542"/>
      </w:tblGrid>
      <w:tr w:rsidR="00E73139" w:rsidRPr="004F313C" w14:paraId="795058D9" w14:textId="77777777" w:rsidTr="00910B5D">
        <w:tc>
          <w:tcPr>
            <w:tcW w:w="0" w:type="auto"/>
            <w:textDirection w:val="tbRl"/>
          </w:tcPr>
          <w:p w14:paraId="62713615" w14:textId="0DC552E0" w:rsidR="00E73139" w:rsidRPr="004F313C" w:rsidRDefault="00E73139" w:rsidP="007831D3">
            <w:pPr>
              <w:spacing w:line="240" w:lineRule="auto"/>
              <w:ind w:left="113" w:right="113"/>
              <w:jc w:val="center"/>
              <w:rPr>
                <w:color w:val="000000" w:themeColor="text1"/>
              </w:rPr>
            </w:pPr>
          </w:p>
        </w:tc>
        <w:tc>
          <w:tcPr>
            <w:tcW w:w="0" w:type="auto"/>
          </w:tcPr>
          <w:p w14:paraId="2C349BF9" w14:textId="6F095D0F" w:rsidR="00E73139" w:rsidRPr="004F313C" w:rsidRDefault="007831D3" w:rsidP="007831D3">
            <w:pPr>
              <w:spacing w:line="240" w:lineRule="auto"/>
              <w:jc w:val="center"/>
              <w:rPr>
                <w:color w:val="000000" w:themeColor="text1"/>
              </w:rPr>
            </w:pPr>
            <w:r w:rsidRPr="004F313C">
              <w:rPr>
                <w:color w:val="000000" w:themeColor="text1"/>
              </w:rPr>
              <w:t>global fossil CO</w:t>
            </w:r>
            <w:r w:rsidRPr="004F313C">
              <w:rPr>
                <w:color w:val="000000" w:themeColor="text1"/>
                <w:vertAlign w:val="subscript"/>
              </w:rPr>
              <w:t>2</w:t>
            </w:r>
            <w:r w:rsidRPr="004F313C">
              <w:rPr>
                <w:color w:val="000000" w:themeColor="text1"/>
              </w:rPr>
              <w:t xml:space="preserve"> emissions</w:t>
            </w:r>
          </w:p>
        </w:tc>
      </w:tr>
      <w:tr w:rsidR="00E73139" w:rsidRPr="004F313C" w14:paraId="09163229" w14:textId="77777777" w:rsidTr="00910B5D">
        <w:tc>
          <w:tcPr>
            <w:tcW w:w="0" w:type="auto"/>
            <w:textDirection w:val="btLr"/>
          </w:tcPr>
          <w:p w14:paraId="1A6D8248" w14:textId="1A04329C" w:rsidR="00E73139" w:rsidRPr="004F313C" w:rsidRDefault="007831D3" w:rsidP="007831D3">
            <w:pPr>
              <w:spacing w:line="240" w:lineRule="auto"/>
              <w:ind w:left="113" w:right="113"/>
              <w:jc w:val="center"/>
              <w:rPr>
                <w:color w:val="000000" w:themeColor="text1"/>
              </w:rPr>
            </w:pPr>
            <w:proofErr w:type="spellStart"/>
            <w:r w:rsidRPr="004F313C">
              <w:rPr>
                <w:color w:val="000000" w:themeColor="text1"/>
              </w:rPr>
              <w:t>CurPol</w:t>
            </w:r>
            <w:proofErr w:type="spellEnd"/>
          </w:p>
        </w:tc>
        <w:tc>
          <w:tcPr>
            <w:tcW w:w="0" w:type="auto"/>
          </w:tcPr>
          <w:p w14:paraId="762BCAF6" w14:textId="182A2B0C" w:rsidR="00E73139" w:rsidRPr="004F313C" w:rsidRDefault="007831D3">
            <w:pPr>
              <w:spacing w:line="240" w:lineRule="auto"/>
              <w:rPr>
                <w:color w:val="000000" w:themeColor="text1"/>
              </w:rPr>
            </w:pPr>
            <w:r w:rsidRPr="004F313C">
              <w:rPr>
                <w:noProof/>
              </w:rPr>
              <w:drawing>
                <wp:inline distT="0" distB="0" distL="0" distR="0" wp14:anchorId="24C22C79" wp14:editId="6740C02B">
                  <wp:extent cx="5509548" cy="2754775"/>
                  <wp:effectExtent l="0" t="0" r="2540" b="1270"/>
                  <wp:docPr id="206544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49981" name=""/>
                          <pic:cNvPicPr/>
                        </pic:nvPicPr>
                        <pic:blipFill>
                          <a:blip r:embed="rId29"/>
                          <a:stretch>
                            <a:fillRect/>
                          </a:stretch>
                        </pic:blipFill>
                        <pic:spPr>
                          <a:xfrm>
                            <a:off x="0" y="0"/>
                            <a:ext cx="5566199" cy="2783100"/>
                          </a:xfrm>
                          <a:prstGeom prst="rect">
                            <a:avLst/>
                          </a:prstGeom>
                        </pic:spPr>
                      </pic:pic>
                    </a:graphicData>
                  </a:graphic>
                </wp:inline>
              </w:drawing>
            </w:r>
          </w:p>
        </w:tc>
      </w:tr>
      <w:tr w:rsidR="00E73139" w:rsidRPr="004F313C" w14:paraId="54407528" w14:textId="77777777" w:rsidTr="00910B5D">
        <w:tc>
          <w:tcPr>
            <w:tcW w:w="0" w:type="auto"/>
            <w:textDirection w:val="btLr"/>
          </w:tcPr>
          <w:p w14:paraId="338F0CDC" w14:textId="0AC6B6E7" w:rsidR="00E73139" w:rsidRPr="004F313C" w:rsidRDefault="007831D3" w:rsidP="007831D3">
            <w:pPr>
              <w:spacing w:line="240" w:lineRule="auto"/>
              <w:ind w:left="113" w:right="113"/>
              <w:jc w:val="center"/>
              <w:rPr>
                <w:color w:val="000000" w:themeColor="text1"/>
              </w:rPr>
            </w:pPr>
            <w:r w:rsidRPr="004F313C">
              <w:rPr>
                <w:color w:val="000000" w:themeColor="text1"/>
              </w:rPr>
              <w:t>2°C</w:t>
            </w:r>
          </w:p>
        </w:tc>
        <w:tc>
          <w:tcPr>
            <w:tcW w:w="0" w:type="auto"/>
          </w:tcPr>
          <w:p w14:paraId="11ED3615" w14:textId="6B76412F" w:rsidR="00E73139" w:rsidRPr="004F313C" w:rsidRDefault="007831D3">
            <w:pPr>
              <w:spacing w:line="240" w:lineRule="auto"/>
              <w:rPr>
                <w:color w:val="000000" w:themeColor="text1"/>
              </w:rPr>
            </w:pPr>
            <w:r w:rsidRPr="004F313C">
              <w:rPr>
                <w:noProof/>
              </w:rPr>
              <w:drawing>
                <wp:inline distT="0" distB="0" distL="0" distR="0" wp14:anchorId="32AFAA60" wp14:editId="3663D336">
                  <wp:extent cx="5479116" cy="2743200"/>
                  <wp:effectExtent l="0" t="0" r="0" b="0"/>
                  <wp:docPr id="175695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57850" name=""/>
                          <pic:cNvPicPr/>
                        </pic:nvPicPr>
                        <pic:blipFill>
                          <a:blip r:embed="rId30"/>
                          <a:stretch>
                            <a:fillRect/>
                          </a:stretch>
                        </pic:blipFill>
                        <pic:spPr>
                          <a:xfrm>
                            <a:off x="0" y="0"/>
                            <a:ext cx="5488751" cy="2748024"/>
                          </a:xfrm>
                          <a:prstGeom prst="rect">
                            <a:avLst/>
                          </a:prstGeom>
                        </pic:spPr>
                      </pic:pic>
                    </a:graphicData>
                  </a:graphic>
                </wp:inline>
              </w:drawing>
            </w:r>
          </w:p>
        </w:tc>
      </w:tr>
    </w:tbl>
    <w:p w14:paraId="4FB65512" w14:textId="77777777" w:rsidR="00E73139" w:rsidRPr="004F313C" w:rsidRDefault="00E73139">
      <w:pPr>
        <w:spacing w:line="240" w:lineRule="auto"/>
        <w:rPr>
          <w:color w:val="000000" w:themeColor="text1"/>
        </w:rPr>
      </w:pPr>
    </w:p>
    <w:p w14:paraId="52290092" w14:textId="6A47D80F" w:rsidR="00670A4E" w:rsidRPr="004F313C" w:rsidRDefault="005D352D" w:rsidP="005D352D">
      <w:pPr>
        <w:pStyle w:val="Caption"/>
        <w:rPr>
          <w:b w:val="0"/>
          <w:bCs w:val="0"/>
        </w:rPr>
      </w:pPr>
      <w:bookmarkStart w:id="15" w:name="_Ref221288598"/>
      <w:bookmarkStart w:id="16" w:name="_Toc222500795"/>
      <w:r w:rsidRPr="004F313C">
        <w:t>Figure</w:t>
      </w:r>
      <w:bookmarkEnd w:id="15"/>
      <w:r w:rsidR="00DA6FC2">
        <w:t xml:space="preserve"> 12.</w:t>
      </w:r>
      <w:r w:rsidRPr="004F313C">
        <w:t xml:space="preserve"> </w:t>
      </w:r>
      <w:r w:rsidR="00670A4E" w:rsidRPr="004F313C">
        <w:t xml:space="preserve">Digitalisation impacts on </w:t>
      </w:r>
      <w:r w:rsidR="006E02E2" w:rsidRPr="004F313C">
        <w:t xml:space="preserve">global </w:t>
      </w:r>
      <w:r w:rsidR="00670A4E" w:rsidRPr="004F313C">
        <w:t>CO</w:t>
      </w:r>
      <w:r w:rsidR="00670A4E" w:rsidRPr="004F313C">
        <w:rPr>
          <w:vertAlign w:val="subscript"/>
        </w:rPr>
        <w:t>2</w:t>
      </w:r>
      <w:r w:rsidR="00670A4E" w:rsidRPr="004F313C">
        <w:t xml:space="preserve"> emissions to 2050.</w:t>
      </w:r>
      <w:bookmarkEnd w:id="16"/>
    </w:p>
    <w:p w14:paraId="5304C903" w14:textId="5157C3F0" w:rsidR="009C2D64" w:rsidRDefault="009C2D64" w:rsidP="009C2D64">
      <w:pPr>
        <w:pStyle w:val="Heading4"/>
        <w:rPr>
          <w:color w:val="000000" w:themeColor="text1"/>
        </w:rPr>
      </w:pPr>
      <w:r w:rsidRPr="004F313C">
        <w:rPr>
          <w:color w:val="000000" w:themeColor="text1"/>
        </w:rPr>
        <w:t>Legend: CO</w:t>
      </w:r>
      <w:r w:rsidRPr="004F313C">
        <w:rPr>
          <w:color w:val="000000" w:themeColor="text1"/>
          <w:vertAlign w:val="subscript"/>
        </w:rPr>
        <w:t>2</w:t>
      </w:r>
      <w:r w:rsidRPr="004F313C">
        <w:rPr>
          <w:color w:val="000000" w:themeColor="text1"/>
        </w:rPr>
        <w:t xml:space="preserve"> emissions from fossil fuel combustion to 2050 globally in four digitalisation scenarios and a reference SSP2 scenario under current climate ambition </w:t>
      </w:r>
      <w:r w:rsidR="00BF7B4B" w:rsidRPr="004F313C">
        <w:rPr>
          <w:color w:val="000000" w:themeColor="text1"/>
        </w:rPr>
        <w:t>(</w:t>
      </w:r>
      <w:proofErr w:type="spellStart"/>
      <w:r w:rsidRPr="004F313C">
        <w:rPr>
          <w:color w:val="000000" w:themeColor="text1"/>
        </w:rPr>
        <w:t>CurPol</w:t>
      </w:r>
      <w:proofErr w:type="spellEnd"/>
      <w:r w:rsidRPr="004F313C">
        <w:rPr>
          <w:color w:val="000000" w:themeColor="text1"/>
        </w:rPr>
        <w:t>, upper panel</w:t>
      </w:r>
      <w:r w:rsidR="00BF7B4B" w:rsidRPr="004F313C">
        <w:rPr>
          <w:color w:val="000000" w:themeColor="text1"/>
        </w:rPr>
        <w:t>)</w:t>
      </w:r>
      <w:r w:rsidRPr="004F313C">
        <w:rPr>
          <w:color w:val="000000" w:themeColor="text1"/>
        </w:rPr>
        <w:t xml:space="preserve"> and strengthened climate ambition (</w:t>
      </w:r>
      <w:r w:rsidR="00BF7B4B" w:rsidRPr="004F313C">
        <w:rPr>
          <w:color w:val="000000" w:themeColor="text1"/>
        </w:rPr>
        <w:t xml:space="preserve">2°C, </w:t>
      </w:r>
      <w:r w:rsidRPr="004F313C">
        <w:rPr>
          <w:color w:val="000000" w:themeColor="text1"/>
        </w:rPr>
        <w:t xml:space="preserve">lower panel). SSP1-5 pathways are shown for comparison. % differences in 2050 are relative to the reference scenario; note these </w:t>
      </w:r>
      <w:r w:rsidR="008E3057" w:rsidRPr="004F313C">
        <w:rPr>
          <w:color w:val="000000" w:themeColor="text1"/>
        </w:rPr>
        <w:t xml:space="preserve">% differences </w:t>
      </w:r>
      <w:r w:rsidRPr="004F313C">
        <w:rPr>
          <w:color w:val="000000" w:themeColor="text1"/>
        </w:rPr>
        <w:t>are amplified for lower absolute levels or in some declining emission pathways.</w:t>
      </w:r>
    </w:p>
    <w:p w14:paraId="2F7C43F2" w14:textId="77777777" w:rsidR="00195A08" w:rsidRPr="00195A08" w:rsidRDefault="00195A08" w:rsidP="00195A08"/>
    <w:p w14:paraId="0AE36F14" w14:textId="3B734BBC" w:rsidR="00D22878" w:rsidRPr="004F313C" w:rsidRDefault="00D22878">
      <w:pPr>
        <w:spacing w:line="240" w:lineRule="auto"/>
        <w:rPr>
          <w:color w:val="000000" w:themeColor="text1"/>
        </w:rPr>
      </w:pPr>
      <w:r w:rsidRPr="004F313C">
        <w:rPr>
          <w:color w:val="000000" w:themeColor="text1"/>
        </w:rPr>
        <w:br w:type="page"/>
      </w:r>
    </w:p>
    <w:tbl>
      <w:tblPr>
        <w:tblStyle w:val="TableGridLight"/>
        <w:tblW w:w="0" w:type="auto"/>
        <w:tblLook w:val="04A0" w:firstRow="1" w:lastRow="0" w:firstColumn="1" w:lastColumn="0" w:noHBand="0" w:noVBand="1"/>
      </w:tblPr>
      <w:tblGrid>
        <w:gridCol w:w="481"/>
        <w:gridCol w:w="8535"/>
      </w:tblGrid>
      <w:tr w:rsidR="00CB220F" w:rsidRPr="004F313C" w14:paraId="31CA1D32" w14:textId="77777777" w:rsidTr="00910B5D">
        <w:tc>
          <w:tcPr>
            <w:tcW w:w="0" w:type="auto"/>
            <w:textDirection w:val="tbRl"/>
          </w:tcPr>
          <w:p w14:paraId="7BA99875" w14:textId="77777777" w:rsidR="00CB220F" w:rsidRPr="004F313C" w:rsidRDefault="00CB220F">
            <w:pPr>
              <w:spacing w:line="240" w:lineRule="auto"/>
              <w:ind w:left="113" w:right="113"/>
              <w:jc w:val="center"/>
              <w:rPr>
                <w:color w:val="000000" w:themeColor="text1"/>
              </w:rPr>
            </w:pPr>
          </w:p>
        </w:tc>
        <w:tc>
          <w:tcPr>
            <w:tcW w:w="0" w:type="auto"/>
          </w:tcPr>
          <w:p w14:paraId="344AB9E4" w14:textId="4C6F3E7C" w:rsidR="00CB220F" w:rsidRPr="004F313C" w:rsidRDefault="00CB220F">
            <w:pPr>
              <w:spacing w:line="240" w:lineRule="auto"/>
              <w:jc w:val="center"/>
              <w:rPr>
                <w:color w:val="000000" w:themeColor="text1"/>
              </w:rPr>
            </w:pPr>
            <w:r w:rsidRPr="004F313C">
              <w:rPr>
                <w:color w:val="000000" w:themeColor="text1"/>
              </w:rPr>
              <w:t>regional fossil CO</w:t>
            </w:r>
            <w:r w:rsidRPr="004F313C">
              <w:rPr>
                <w:color w:val="000000" w:themeColor="text1"/>
                <w:vertAlign w:val="subscript"/>
              </w:rPr>
              <w:t>2</w:t>
            </w:r>
            <w:r w:rsidRPr="004F313C">
              <w:rPr>
                <w:color w:val="000000" w:themeColor="text1"/>
              </w:rPr>
              <w:t xml:space="preserve"> emissions</w:t>
            </w:r>
            <w:r w:rsidR="000F5610" w:rsidRPr="004F313C">
              <w:rPr>
                <w:color w:val="000000" w:themeColor="text1"/>
              </w:rPr>
              <w:t xml:space="preserve"> (12 world regions)</w:t>
            </w:r>
          </w:p>
        </w:tc>
      </w:tr>
      <w:tr w:rsidR="00CB220F" w:rsidRPr="004F313C" w14:paraId="72D7E6E3" w14:textId="77777777" w:rsidTr="00910B5D">
        <w:tc>
          <w:tcPr>
            <w:tcW w:w="0" w:type="auto"/>
            <w:textDirection w:val="btLr"/>
          </w:tcPr>
          <w:p w14:paraId="31CED7F0" w14:textId="77777777" w:rsidR="00CB220F" w:rsidRPr="004F313C" w:rsidRDefault="00CB220F">
            <w:pPr>
              <w:spacing w:line="240" w:lineRule="auto"/>
              <w:ind w:left="113" w:right="113"/>
              <w:jc w:val="center"/>
              <w:rPr>
                <w:color w:val="000000" w:themeColor="text1"/>
              </w:rPr>
            </w:pPr>
            <w:proofErr w:type="spellStart"/>
            <w:r w:rsidRPr="004F313C">
              <w:rPr>
                <w:color w:val="000000" w:themeColor="text1"/>
              </w:rPr>
              <w:t>CurPol</w:t>
            </w:r>
            <w:proofErr w:type="spellEnd"/>
          </w:p>
        </w:tc>
        <w:tc>
          <w:tcPr>
            <w:tcW w:w="0" w:type="auto"/>
          </w:tcPr>
          <w:p w14:paraId="673EE4AE" w14:textId="7F25F1AB" w:rsidR="00CB220F" w:rsidRPr="004F313C" w:rsidRDefault="00BF6523">
            <w:pPr>
              <w:spacing w:line="240" w:lineRule="auto"/>
              <w:rPr>
                <w:color w:val="000000" w:themeColor="text1"/>
              </w:rPr>
            </w:pPr>
            <w:r w:rsidRPr="004F313C">
              <w:rPr>
                <w:noProof/>
                <w:color w:val="000000" w:themeColor="text1"/>
              </w:rPr>
              <w:drawing>
                <wp:inline distT="0" distB="0" distL="0" distR="0" wp14:anchorId="6DB526F4" wp14:editId="7F642060">
                  <wp:extent cx="5353695" cy="3312695"/>
                  <wp:effectExtent l="0" t="0" r="0" b="2540"/>
                  <wp:docPr id="124559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19739" name=""/>
                          <pic:cNvPicPr/>
                        </pic:nvPicPr>
                        <pic:blipFill>
                          <a:blip r:embed="rId31"/>
                          <a:stretch>
                            <a:fillRect/>
                          </a:stretch>
                        </pic:blipFill>
                        <pic:spPr>
                          <a:xfrm>
                            <a:off x="0" y="0"/>
                            <a:ext cx="5364751" cy="3319536"/>
                          </a:xfrm>
                          <a:prstGeom prst="rect">
                            <a:avLst/>
                          </a:prstGeom>
                        </pic:spPr>
                      </pic:pic>
                    </a:graphicData>
                  </a:graphic>
                </wp:inline>
              </w:drawing>
            </w:r>
          </w:p>
        </w:tc>
      </w:tr>
      <w:tr w:rsidR="00CB220F" w:rsidRPr="004F313C" w14:paraId="5E7A3F1F" w14:textId="77777777" w:rsidTr="00910B5D">
        <w:tc>
          <w:tcPr>
            <w:tcW w:w="0" w:type="auto"/>
            <w:textDirection w:val="btLr"/>
          </w:tcPr>
          <w:p w14:paraId="5FC18015" w14:textId="77777777" w:rsidR="00CB220F" w:rsidRPr="004F313C" w:rsidRDefault="00CB220F">
            <w:pPr>
              <w:spacing w:line="240" w:lineRule="auto"/>
              <w:ind w:left="113" w:right="113"/>
              <w:jc w:val="center"/>
              <w:rPr>
                <w:color w:val="000000" w:themeColor="text1"/>
              </w:rPr>
            </w:pPr>
            <w:r w:rsidRPr="004F313C">
              <w:rPr>
                <w:color w:val="000000" w:themeColor="text1"/>
              </w:rPr>
              <w:t>2°C</w:t>
            </w:r>
          </w:p>
        </w:tc>
        <w:tc>
          <w:tcPr>
            <w:tcW w:w="0" w:type="auto"/>
          </w:tcPr>
          <w:p w14:paraId="1D5B9BF1" w14:textId="7E51C0F6" w:rsidR="00CB220F" w:rsidRPr="004F313C" w:rsidRDefault="00BF6523">
            <w:pPr>
              <w:spacing w:line="240" w:lineRule="auto"/>
              <w:rPr>
                <w:color w:val="000000" w:themeColor="text1"/>
              </w:rPr>
            </w:pPr>
            <w:r w:rsidRPr="004F313C">
              <w:rPr>
                <w:noProof/>
                <w:color w:val="000000" w:themeColor="text1"/>
              </w:rPr>
              <w:drawing>
                <wp:inline distT="0" distB="0" distL="0" distR="0" wp14:anchorId="216486B8" wp14:editId="0B418129">
                  <wp:extent cx="5351157" cy="3272589"/>
                  <wp:effectExtent l="0" t="0" r="0" b="4445"/>
                  <wp:docPr id="163133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24171" name=""/>
                          <pic:cNvPicPr/>
                        </pic:nvPicPr>
                        <pic:blipFill>
                          <a:blip r:embed="rId32"/>
                          <a:stretch>
                            <a:fillRect/>
                          </a:stretch>
                        </pic:blipFill>
                        <pic:spPr>
                          <a:xfrm>
                            <a:off x="0" y="0"/>
                            <a:ext cx="5373854" cy="3286470"/>
                          </a:xfrm>
                          <a:prstGeom prst="rect">
                            <a:avLst/>
                          </a:prstGeom>
                        </pic:spPr>
                      </pic:pic>
                    </a:graphicData>
                  </a:graphic>
                </wp:inline>
              </w:drawing>
            </w:r>
          </w:p>
        </w:tc>
      </w:tr>
    </w:tbl>
    <w:p w14:paraId="5770B5A0" w14:textId="77777777" w:rsidR="00FD594A" w:rsidRPr="004F313C" w:rsidRDefault="00FD594A" w:rsidP="00FD594A">
      <w:pPr>
        <w:rPr>
          <w:color w:val="000000" w:themeColor="text1"/>
        </w:rPr>
      </w:pPr>
    </w:p>
    <w:p w14:paraId="19F4A992" w14:textId="4B3558B8" w:rsidR="00FD594A" w:rsidRPr="004F313C" w:rsidRDefault="00E11BCD" w:rsidP="00E11BCD">
      <w:pPr>
        <w:pStyle w:val="Caption"/>
      </w:pPr>
      <w:bookmarkStart w:id="17" w:name="_Ref220684900"/>
      <w:bookmarkStart w:id="18" w:name="_Toc222500796"/>
      <w:r w:rsidRPr="004F313C">
        <w:lastRenderedPageBreak/>
        <w:t xml:space="preserve">Figure </w:t>
      </w:r>
      <w:bookmarkEnd w:id="17"/>
      <w:r w:rsidR="001D0034">
        <w:t xml:space="preserve">13. </w:t>
      </w:r>
      <w:r w:rsidR="00FD594A" w:rsidRPr="004F313C">
        <w:t>Digitalisation impacts on regional CO</w:t>
      </w:r>
      <w:r w:rsidR="00FD594A" w:rsidRPr="004F313C">
        <w:rPr>
          <w:vertAlign w:val="subscript"/>
        </w:rPr>
        <w:t>2</w:t>
      </w:r>
      <w:r w:rsidR="00FD594A" w:rsidRPr="004F313C">
        <w:t xml:space="preserve"> emissions to 2050</w:t>
      </w:r>
      <w:r w:rsidR="00AC5A39" w:rsidRPr="004F313C">
        <w:rPr>
          <w:b w:val="0"/>
        </w:rPr>
        <w:t>.</w:t>
      </w:r>
      <w:bookmarkEnd w:id="18"/>
    </w:p>
    <w:p w14:paraId="1F30DFD5" w14:textId="320C024D" w:rsidR="00154DC4" w:rsidRPr="004F313C" w:rsidRDefault="00FD594A" w:rsidP="00FD594A">
      <w:pPr>
        <w:pStyle w:val="Heading4"/>
        <w:rPr>
          <w:color w:val="000000" w:themeColor="text1"/>
        </w:rPr>
      </w:pPr>
      <w:r w:rsidRPr="004F313C">
        <w:rPr>
          <w:color w:val="000000" w:themeColor="text1"/>
        </w:rPr>
        <w:t>Legend: CO</w:t>
      </w:r>
      <w:r w:rsidRPr="004F313C">
        <w:rPr>
          <w:color w:val="000000" w:themeColor="text1"/>
          <w:vertAlign w:val="subscript"/>
        </w:rPr>
        <w:t>2</w:t>
      </w:r>
      <w:r w:rsidRPr="004F313C">
        <w:rPr>
          <w:color w:val="000000" w:themeColor="text1"/>
        </w:rPr>
        <w:t xml:space="preserve"> emissions from fossil fuel combustion to 2050 in 12 world regions in four digitalisation scenarios and a reference SSP2 scenario under current climate ambition </w:t>
      </w:r>
      <w:r w:rsidR="008E3057" w:rsidRPr="004F313C">
        <w:rPr>
          <w:color w:val="000000" w:themeColor="text1"/>
        </w:rPr>
        <w:t>(</w:t>
      </w:r>
      <w:proofErr w:type="spellStart"/>
      <w:r w:rsidRPr="004F313C">
        <w:rPr>
          <w:color w:val="000000" w:themeColor="text1"/>
        </w:rPr>
        <w:t>CurPol</w:t>
      </w:r>
      <w:proofErr w:type="spellEnd"/>
      <w:r w:rsidR="00AC5A39" w:rsidRPr="004F313C">
        <w:rPr>
          <w:color w:val="000000" w:themeColor="text1"/>
        </w:rPr>
        <w:t>, upper panel</w:t>
      </w:r>
      <w:r w:rsidR="008E3057" w:rsidRPr="004F313C">
        <w:rPr>
          <w:color w:val="000000" w:themeColor="text1"/>
        </w:rPr>
        <w:t>)</w:t>
      </w:r>
      <w:r w:rsidR="00AC5A39" w:rsidRPr="004F313C">
        <w:rPr>
          <w:color w:val="000000" w:themeColor="text1"/>
        </w:rPr>
        <w:t xml:space="preserve"> and strengthened climate ambition (lower panel).</w:t>
      </w:r>
      <w:r w:rsidRPr="004F313C">
        <w:rPr>
          <w:color w:val="000000" w:themeColor="text1"/>
        </w:rPr>
        <w:t xml:space="preserve"> SSP1-5 pathways are shown for comparison. % differences in 2050 are relative to the reference scenario; note these %s are amplified for lower absolute levels or in some declining emission pathways.</w:t>
      </w:r>
    </w:p>
    <w:p w14:paraId="5A1A15D6" w14:textId="5C435C18" w:rsidR="00FD594A" w:rsidRPr="004F313C" w:rsidRDefault="00FD594A" w:rsidP="00FD594A">
      <w:pPr>
        <w:pStyle w:val="Heading4"/>
        <w:rPr>
          <w:color w:val="000000" w:themeColor="text1"/>
        </w:rPr>
      </w:pPr>
      <w:r w:rsidRPr="004F313C">
        <w:rPr>
          <w:color w:val="000000" w:themeColor="text1"/>
        </w:rPr>
        <w:t xml:space="preserve">Region labels: AFR = </w:t>
      </w:r>
      <w:proofErr w:type="spellStart"/>
      <w:r w:rsidRPr="004F313C">
        <w:rPr>
          <w:color w:val="000000" w:themeColor="text1"/>
        </w:rPr>
        <w:t>Sub-saharan</w:t>
      </w:r>
      <w:proofErr w:type="spellEnd"/>
      <w:r w:rsidRPr="004F313C">
        <w:rPr>
          <w:color w:val="000000" w:themeColor="text1"/>
        </w:rPr>
        <w:t xml:space="preserve"> Africa; CHN = China; EEU = Central &amp; eastern Europe; FSU = Former Soviet Union; LAM = Latin America &amp; the Caribbean; MEA = Middle East &amp; North Africa; NAM = north </w:t>
      </w:r>
      <w:proofErr w:type="spellStart"/>
      <w:r w:rsidRPr="004F313C">
        <w:rPr>
          <w:color w:val="000000" w:themeColor="text1"/>
        </w:rPr>
        <w:t>america</w:t>
      </w:r>
      <w:proofErr w:type="spellEnd"/>
      <w:r w:rsidRPr="004F313C">
        <w:rPr>
          <w:color w:val="000000" w:themeColor="text1"/>
        </w:rPr>
        <w:t>; PAO = Pacific OECD;  PAS = Other pacific Asia; RCPA = Rest of Centrally Planned Asia; SAS = South Asia; WEU = Western Europe.</w:t>
      </w:r>
    </w:p>
    <w:p w14:paraId="35C49DBE" w14:textId="77777777" w:rsidR="00FD594A" w:rsidRPr="004F313C" w:rsidRDefault="00FD594A" w:rsidP="00FD594A">
      <w:pPr>
        <w:pStyle w:val="Heading2"/>
        <w:rPr>
          <w:color w:val="000000" w:themeColor="text1"/>
        </w:rPr>
      </w:pPr>
    </w:p>
    <w:p w14:paraId="72B42372" w14:textId="77777777" w:rsidR="00AC69A9" w:rsidRDefault="00CB220F" w:rsidP="00FD594A">
      <w:pPr>
        <w:pStyle w:val="Heading2"/>
        <w:rPr>
          <w:b w:val="0"/>
          <w:bCs w:val="0"/>
        </w:rPr>
      </w:pPr>
      <w:r w:rsidRPr="004F313C">
        <w:rPr>
          <w:b w:val="0"/>
          <w:bCs w:val="0"/>
        </w:rPr>
        <w:t>The effect of digitalisation is overlaid on each region’s secular development trajectory which accounts for most of the inter-region variation. Compared with current climate ambition</w:t>
      </w:r>
      <w:r w:rsidR="003A52DF" w:rsidRPr="004F313C">
        <w:rPr>
          <w:b w:val="0"/>
          <w:bCs w:val="0"/>
        </w:rPr>
        <w:t xml:space="preserve"> (</w:t>
      </w:r>
      <w:proofErr w:type="spellStart"/>
      <w:r w:rsidR="003A52DF" w:rsidRPr="004F313C">
        <w:rPr>
          <w:b w:val="0"/>
          <w:bCs w:val="0"/>
        </w:rPr>
        <w:t>CurPol</w:t>
      </w:r>
      <w:proofErr w:type="spellEnd"/>
      <w:r w:rsidR="003A52DF" w:rsidRPr="004F313C">
        <w:rPr>
          <w:b w:val="0"/>
          <w:bCs w:val="0"/>
        </w:rPr>
        <w:t>, upper panel)</w:t>
      </w:r>
      <w:r w:rsidRPr="004F313C">
        <w:rPr>
          <w:b w:val="0"/>
          <w:bCs w:val="0"/>
        </w:rPr>
        <w:t>, projections under strengthened climate ambition are more consistent, trending downwards to zero, given the constraints of a very limited global carbon budget</w:t>
      </w:r>
      <w:r w:rsidR="003A52DF" w:rsidRPr="004F313C">
        <w:rPr>
          <w:b w:val="0"/>
          <w:bCs w:val="0"/>
        </w:rPr>
        <w:t xml:space="preserve"> (2°C, lower panel)</w:t>
      </w:r>
      <w:r w:rsidRPr="004F313C">
        <w:rPr>
          <w:b w:val="0"/>
          <w:bCs w:val="0"/>
        </w:rPr>
        <w:t>.</w:t>
      </w:r>
    </w:p>
    <w:p w14:paraId="13128234" w14:textId="77777777" w:rsidR="00AC69A9" w:rsidRDefault="00AC69A9" w:rsidP="00FD594A">
      <w:pPr>
        <w:pStyle w:val="Heading2"/>
        <w:rPr>
          <w:b w:val="0"/>
          <w:bCs w:val="0"/>
        </w:rPr>
      </w:pPr>
    </w:p>
    <w:p w14:paraId="7FDFC915" w14:textId="03C0B5FE" w:rsidR="00D8760D" w:rsidRPr="00D8760D" w:rsidRDefault="00D8760D" w:rsidP="00FD594A">
      <w:pPr>
        <w:pStyle w:val="Heading2"/>
        <w:rPr>
          <w:b w:val="0"/>
          <w:bCs w:val="0"/>
        </w:rPr>
      </w:pPr>
      <w:r>
        <w:rPr>
          <w:b w:val="0"/>
          <w:bCs w:val="0"/>
        </w:rPr>
        <w:t xml:space="preserve">However </w:t>
      </w:r>
      <w:r>
        <w:rPr>
          <w:rFonts w:eastAsia="Helvetica Neue" w:cs="Helvetica Neue"/>
          <w:b w:val="0"/>
          <w:bCs w:val="0"/>
          <w:color w:val="000000" w:themeColor="text1"/>
        </w:rPr>
        <w:t>i</w:t>
      </w:r>
      <w:r w:rsidRPr="00D8760D">
        <w:rPr>
          <w:rFonts w:eastAsia="Helvetica Neue" w:cs="Helvetica Neue"/>
          <w:b w:val="0"/>
          <w:bCs w:val="0"/>
          <w:color w:val="000000" w:themeColor="text1"/>
        </w:rPr>
        <w:t>n our Undermine scenario with current climate ambition, digitalisation drives emissions further up in the Middle East, Africa, and Latin America while trends in Europe and Pacific Asia remain strongly downwards.</w:t>
      </w:r>
    </w:p>
    <w:p w14:paraId="3BA62947" w14:textId="77777777" w:rsidR="00450E33" w:rsidRPr="004F313C" w:rsidRDefault="00450E33" w:rsidP="00FD594A">
      <w:pPr>
        <w:pStyle w:val="Heading2"/>
        <w:rPr>
          <w:b w:val="0"/>
          <w:bCs w:val="0"/>
          <w:color w:val="000000" w:themeColor="text1"/>
        </w:rPr>
      </w:pPr>
    </w:p>
    <w:p w14:paraId="52E4442F" w14:textId="77777777" w:rsidR="00FD594A" w:rsidRPr="004F313C" w:rsidRDefault="00FD594A" w:rsidP="00FD594A">
      <w:pPr>
        <w:spacing w:line="240" w:lineRule="auto"/>
        <w:rPr>
          <w:color w:val="000000" w:themeColor="text1"/>
        </w:rPr>
      </w:pPr>
      <w:r w:rsidRPr="004F313C">
        <w:rPr>
          <w:color w:val="000000" w:themeColor="text1"/>
        </w:rPr>
        <w:br w:type="page"/>
      </w:r>
    </w:p>
    <w:p w14:paraId="5D5BAED7" w14:textId="4838B30E" w:rsidR="00FD594A" w:rsidRPr="004F313C" w:rsidRDefault="006C16D8" w:rsidP="00FD594A">
      <w:pPr>
        <w:rPr>
          <w:color w:val="000000" w:themeColor="text1"/>
        </w:rPr>
      </w:pPr>
      <w:r w:rsidRPr="004F313C">
        <w:rPr>
          <w:noProof/>
        </w:rPr>
        <w:lastRenderedPageBreak/>
        <w:drawing>
          <wp:inline distT="0" distB="0" distL="0" distR="0" wp14:anchorId="4239F115" wp14:editId="73FCC6AC">
            <wp:extent cx="5731510" cy="2342515"/>
            <wp:effectExtent l="0" t="0" r="0" b="0"/>
            <wp:docPr id="75074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41137" name=""/>
                    <pic:cNvPicPr/>
                  </pic:nvPicPr>
                  <pic:blipFill>
                    <a:blip r:embed="rId33"/>
                    <a:stretch>
                      <a:fillRect/>
                    </a:stretch>
                  </pic:blipFill>
                  <pic:spPr>
                    <a:xfrm>
                      <a:off x="0" y="0"/>
                      <a:ext cx="5731510" cy="2342515"/>
                    </a:xfrm>
                    <a:prstGeom prst="rect">
                      <a:avLst/>
                    </a:prstGeom>
                  </pic:spPr>
                </pic:pic>
              </a:graphicData>
            </a:graphic>
          </wp:inline>
        </w:drawing>
      </w:r>
    </w:p>
    <w:p w14:paraId="214F6086" w14:textId="2B6563F8" w:rsidR="00FD594A" w:rsidRPr="004F313C" w:rsidRDefault="00B404E3" w:rsidP="00B404E3">
      <w:pPr>
        <w:pStyle w:val="Caption"/>
      </w:pPr>
      <w:bookmarkStart w:id="19" w:name="_Ref220684861"/>
      <w:bookmarkStart w:id="20" w:name="_Toc222500797"/>
      <w:r w:rsidRPr="004F313C">
        <w:t xml:space="preserve">Figure </w:t>
      </w:r>
      <w:bookmarkEnd w:id="19"/>
      <w:r w:rsidR="001D0034">
        <w:t xml:space="preserve">14. </w:t>
      </w:r>
      <w:r w:rsidR="00FD594A" w:rsidRPr="004F313C">
        <w:t>Sectoral contributions to CO</w:t>
      </w:r>
      <w:r w:rsidR="00FD594A" w:rsidRPr="004F313C">
        <w:rPr>
          <w:vertAlign w:val="subscript"/>
        </w:rPr>
        <w:t>2</w:t>
      </w:r>
      <w:r w:rsidR="00FD594A" w:rsidRPr="004F313C">
        <w:t xml:space="preserve"> emission reductions </w:t>
      </w:r>
      <w:r w:rsidR="00E76F50" w:rsidRPr="004F313C">
        <w:t xml:space="preserve">from </w:t>
      </w:r>
      <w:r w:rsidR="00FD594A" w:rsidRPr="004F313C">
        <w:t>climate-</w:t>
      </w:r>
      <w:r w:rsidR="00E76F50" w:rsidRPr="004F313C">
        <w:t>mis</w:t>
      </w:r>
      <w:r w:rsidR="00FD594A" w:rsidRPr="004F313C">
        <w:t xml:space="preserve">aligned </w:t>
      </w:r>
      <w:r w:rsidR="00E76F50" w:rsidRPr="004F313C">
        <w:t xml:space="preserve">to climate-aligned </w:t>
      </w:r>
      <w:r w:rsidR="00FD594A" w:rsidRPr="004F313C">
        <w:t>digitalisation.</w:t>
      </w:r>
      <w:bookmarkEnd w:id="20"/>
    </w:p>
    <w:p w14:paraId="7D36B62A" w14:textId="3F596DC7" w:rsidR="00FD594A" w:rsidRPr="004F313C" w:rsidRDefault="00FD594A" w:rsidP="00FD594A">
      <w:pPr>
        <w:pStyle w:val="Heading4"/>
        <w:rPr>
          <w:color w:val="000000" w:themeColor="text1"/>
        </w:rPr>
      </w:pPr>
      <w:r w:rsidRPr="004F313C">
        <w:rPr>
          <w:color w:val="000000" w:themeColor="text1"/>
        </w:rPr>
        <w:t xml:space="preserve">Legend: Emission-reduction wedges from </w:t>
      </w:r>
      <w:r w:rsidR="006C7935" w:rsidRPr="004F313C">
        <w:rPr>
          <w:color w:val="000000" w:themeColor="text1"/>
        </w:rPr>
        <w:t>Undermine</w:t>
      </w:r>
      <w:r w:rsidRPr="004F313C">
        <w:rPr>
          <w:color w:val="000000" w:themeColor="text1"/>
        </w:rPr>
        <w:t xml:space="preserve">-Extreme to </w:t>
      </w:r>
      <w:r w:rsidR="00D24498" w:rsidRPr="004F313C">
        <w:rPr>
          <w:color w:val="000000" w:themeColor="text1"/>
        </w:rPr>
        <w:t>Enable</w:t>
      </w:r>
      <w:r w:rsidRPr="004F313C">
        <w:rPr>
          <w:color w:val="000000" w:themeColor="text1"/>
        </w:rPr>
        <w:t>-Extreme scenarios under strengthened climate ambition (2°C). ‘Supply’ denotes emissions from energy supply sectors (electricity &amp; heat) assigned to final use or ‘Demand’ sectors. This is equivalent to conventional sectoral reporting combining Scope 1 (direct) + Scope (2) indirect emissions.</w:t>
      </w:r>
    </w:p>
    <w:p w14:paraId="36F76005" w14:textId="77777777" w:rsidR="00FD594A" w:rsidRPr="004F313C" w:rsidRDefault="00FD594A" w:rsidP="00FD594A">
      <w:pPr>
        <w:outlineLvl w:val="3"/>
        <w:rPr>
          <w:color w:val="000000" w:themeColor="text1"/>
        </w:rPr>
      </w:pPr>
    </w:p>
    <w:p w14:paraId="0C63DA58" w14:textId="3F9D772C" w:rsidR="00B45092" w:rsidRPr="004F313C" w:rsidRDefault="00E02C00" w:rsidP="00E02C00">
      <w:pPr>
        <w:outlineLvl w:val="2"/>
      </w:pPr>
      <w:r w:rsidRPr="004F313C">
        <w:t>In the wedge plot, u</w:t>
      </w:r>
      <w:r w:rsidR="00B45092" w:rsidRPr="004F313C">
        <w:t xml:space="preserve">pstream electricity sector emissions are assigned to the corresponding end-use sector. </w:t>
      </w:r>
      <w:r w:rsidRPr="004F313C">
        <w:t>Supp</w:t>
      </w:r>
      <w:r w:rsidR="00F85B4C" w:rsidRPr="004F313C">
        <w:t>l</w:t>
      </w:r>
      <w:r w:rsidRPr="004F313C">
        <w:t xml:space="preserve">y-side emission reductions are attributable </w:t>
      </w:r>
      <w:r w:rsidR="00B45092" w:rsidRPr="004F313C">
        <w:t>both to the electrification of end-use (switching from direct use of fossil fuels) and to the decarbonisation of electricity generation.</w:t>
      </w:r>
      <w:r w:rsidR="0083632B">
        <w:t xml:space="preserve"> </w:t>
      </w:r>
      <w:bookmarkStart w:id="21" w:name="Row_175_Emissionreduction_wedges_from"/>
      <w:r w:rsidR="0083632B" w:rsidRPr="004F313C">
        <w:t>Emission-reduction wedges from supply-side electricity decarbonisation are of similar magnitude across all the end-use sectors (transport, industry, buildings).</w:t>
      </w:r>
      <w:bookmarkEnd w:id="21"/>
    </w:p>
    <w:p w14:paraId="30576EA5" w14:textId="77777777" w:rsidR="00FD594A" w:rsidRPr="004F313C" w:rsidRDefault="00FD594A" w:rsidP="00FD594A">
      <w:pPr>
        <w:outlineLvl w:val="3"/>
        <w:rPr>
          <w:color w:val="000000" w:themeColor="text1"/>
        </w:rPr>
      </w:pPr>
    </w:p>
    <w:p w14:paraId="07F0717C" w14:textId="268AF54A" w:rsidR="00FD594A" w:rsidRPr="004F313C" w:rsidRDefault="00FD594A" w:rsidP="00A10C51">
      <w:pPr>
        <w:rPr>
          <w:color w:val="000000" w:themeColor="text1"/>
        </w:rPr>
      </w:pPr>
      <w:r w:rsidRPr="004F313C">
        <w:rPr>
          <w:color w:val="000000" w:themeColor="text1"/>
        </w:rPr>
        <w:t xml:space="preserve">The largest wedge of emission reductions from </w:t>
      </w:r>
      <w:r w:rsidR="006C7935" w:rsidRPr="004F313C">
        <w:rPr>
          <w:color w:val="000000" w:themeColor="text1"/>
        </w:rPr>
        <w:t>Undermine</w:t>
      </w:r>
      <w:r w:rsidRPr="004F313C">
        <w:rPr>
          <w:color w:val="000000" w:themeColor="text1"/>
        </w:rPr>
        <w:t xml:space="preserve"> to </w:t>
      </w:r>
      <w:r w:rsidR="00D24498" w:rsidRPr="004F313C">
        <w:rPr>
          <w:color w:val="000000" w:themeColor="text1"/>
        </w:rPr>
        <w:t>Enable</w:t>
      </w:r>
      <w:r w:rsidRPr="004F313C">
        <w:rPr>
          <w:color w:val="000000" w:themeColor="text1"/>
        </w:rPr>
        <w:t xml:space="preserve"> scenarios is from transportation, particularly fossil-fuelled passenger vehicles on land. The </w:t>
      </w:r>
      <w:r w:rsidR="006C7935" w:rsidRPr="004F313C">
        <w:rPr>
          <w:color w:val="000000" w:themeColor="text1"/>
        </w:rPr>
        <w:t>Undermine</w:t>
      </w:r>
      <w:r w:rsidRPr="004F313C">
        <w:rPr>
          <w:color w:val="000000" w:themeColor="text1"/>
        </w:rPr>
        <w:t xml:space="preserve">-Extreme scenario describes the compound risk of readily-available ride-hailing and mobility-as-a-service platforms making private vehicle travel cheaper and easier. This leads to defection from public and active transport especially in cities. In the absence of sufficiency norms &amp; structural constraints on activity growth </w:t>
      </w:r>
      <w:r w:rsidR="005D1A85" w:rsidRPr="004F313C">
        <w:t>(</w:t>
      </w:r>
      <w:r w:rsidR="005D1A85" w:rsidRPr="004F313C">
        <w:fldChar w:fldCharType="begin"/>
      </w:r>
      <w:r w:rsidR="005D1A85" w:rsidRPr="004F313C">
        <w:instrText xml:space="preserve"> REF _Ref220607411 \h </w:instrText>
      </w:r>
      <w:r w:rsidR="003B0F3C" w:rsidRPr="004F313C">
        <w:instrText xml:space="preserve"> \* MERGEFORMAT </w:instrText>
      </w:r>
      <w:r w:rsidR="005D1A85" w:rsidRPr="004F313C">
        <w:fldChar w:fldCharType="separate"/>
      </w:r>
      <w:r w:rsidR="001357C7" w:rsidRPr="004F313C">
        <w:t xml:space="preserve">Figure </w:t>
      </w:r>
      <w:r w:rsidR="001357C7">
        <w:rPr>
          <w:noProof/>
        </w:rPr>
        <w:t>1</w:t>
      </w:r>
      <w:r w:rsidR="005D1A85" w:rsidRPr="004F313C">
        <w:fldChar w:fldCharType="end"/>
      </w:r>
      <w:r w:rsidR="005D1A85" w:rsidRPr="004F313C">
        <w:t>)</w:t>
      </w:r>
      <w:r w:rsidRPr="004F313C">
        <w:rPr>
          <w:color w:val="000000" w:themeColor="text1"/>
        </w:rPr>
        <w:t xml:space="preserve">, digitalisation drives up auto-dependent mobility. In contrast, the </w:t>
      </w:r>
      <w:r w:rsidR="00D24498" w:rsidRPr="004F313C">
        <w:rPr>
          <w:color w:val="000000" w:themeColor="text1"/>
        </w:rPr>
        <w:t>Enable</w:t>
      </w:r>
      <w:r w:rsidRPr="004F313C">
        <w:rPr>
          <w:color w:val="000000" w:themeColor="text1"/>
        </w:rPr>
        <w:t>-Extreme scenario sees a more rapid transition to shared and electric mobility systems optimised from an urban or system planning perspective.</w:t>
      </w:r>
    </w:p>
    <w:p w14:paraId="280B182C" w14:textId="77777777" w:rsidR="007F3232" w:rsidRPr="004F313C" w:rsidRDefault="007F3232" w:rsidP="007F3232">
      <w:pPr>
        <w:rPr>
          <w:b/>
          <w:bCs/>
          <w:color w:val="000000" w:themeColor="text1"/>
        </w:rPr>
      </w:pPr>
    </w:p>
    <w:p w14:paraId="4A7B1730" w14:textId="74303EFA" w:rsidR="00673C74" w:rsidRPr="004F313C" w:rsidRDefault="00673C74">
      <w:pPr>
        <w:spacing w:line="240" w:lineRule="auto"/>
        <w:rPr>
          <w:b/>
          <w:bCs/>
          <w:color w:val="000000" w:themeColor="text1"/>
        </w:rPr>
      </w:pPr>
      <w:r w:rsidRPr="004F313C">
        <w:rPr>
          <w:b/>
          <w:bCs/>
          <w:color w:val="000000" w:themeColor="text1"/>
        </w:rPr>
        <w:br w:type="page"/>
      </w:r>
    </w:p>
    <w:p w14:paraId="1E84D30E" w14:textId="1CED048D" w:rsidR="00FF1783" w:rsidRPr="004F313C" w:rsidRDefault="006339F5" w:rsidP="00764097">
      <w:pPr>
        <w:rPr>
          <w:color w:val="000000" w:themeColor="text1"/>
        </w:rPr>
      </w:pPr>
      <w:r w:rsidRPr="004F313C">
        <w:rPr>
          <w:noProof/>
          <w:color w:val="000000" w:themeColor="text1"/>
        </w:rPr>
        <w:lastRenderedPageBreak/>
        <w:drawing>
          <wp:inline distT="0" distB="0" distL="0" distR="0" wp14:anchorId="60F07A04" wp14:editId="4658A6DC">
            <wp:extent cx="5727700" cy="3580130"/>
            <wp:effectExtent l="0" t="0" r="6350" b="1270"/>
            <wp:docPr id="173016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a:noFill/>
                    </a:ln>
                  </pic:spPr>
                </pic:pic>
              </a:graphicData>
            </a:graphic>
          </wp:inline>
        </w:drawing>
      </w:r>
    </w:p>
    <w:p w14:paraId="190AD21C" w14:textId="6E27E821" w:rsidR="00764097" w:rsidRPr="004F313C" w:rsidRDefault="00B404E3" w:rsidP="00B404E3">
      <w:pPr>
        <w:pStyle w:val="Caption"/>
        <w:rPr>
          <w:b w:val="0"/>
          <w:bCs w:val="0"/>
        </w:rPr>
      </w:pPr>
      <w:bookmarkStart w:id="22" w:name="_Ref221550796"/>
      <w:bookmarkStart w:id="23" w:name="_Toc222500798"/>
      <w:r w:rsidRPr="004F313C">
        <w:t>Figure</w:t>
      </w:r>
      <w:bookmarkEnd w:id="22"/>
      <w:r w:rsidR="001D0034">
        <w:t xml:space="preserve"> 15. </w:t>
      </w:r>
      <w:r w:rsidR="00764097" w:rsidRPr="004F313C">
        <w:t>Digitalisation impacts on carbon dioxide removal (CDR) needs to 2050 under strengthened climate ambition (2°C).</w:t>
      </w:r>
      <w:bookmarkEnd w:id="23"/>
    </w:p>
    <w:p w14:paraId="4F2B3617" w14:textId="73FBF52D" w:rsidR="00764097" w:rsidRPr="004F313C" w:rsidRDefault="00764097" w:rsidP="00764097">
      <w:pPr>
        <w:pStyle w:val="Heading4"/>
        <w:rPr>
          <w:color w:val="000000" w:themeColor="text1"/>
        </w:rPr>
      </w:pPr>
      <w:r w:rsidRPr="004F313C">
        <w:rPr>
          <w:color w:val="000000" w:themeColor="text1"/>
        </w:rPr>
        <w:t>Legend: Cumulative GtCO</w:t>
      </w:r>
      <w:r w:rsidRPr="004F313C">
        <w:rPr>
          <w:color w:val="000000" w:themeColor="text1"/>
          <w:vertAlign w:val="subscript"/>
        </w:rPr>
        <w:t>2</w:t>
      </w:r>
      <w:r w:rsidRPr="004F313C">
        <w:rPr>
          <w:color w:val="000000" w:themeColor="text1"/>
        </w:rPr>
        <w:t xml:space="preserve"> removals (CDR) for given levels of cumulative GtCO</w:t>
      </w:r>
      <w:r w:rsidRPr="004F313C">
        <w:rPr>
          <w:color w:val="000000" w:themeColor="text1"/>
          <w:vertAlign w:val="subscript"/>
        </w:rPr>
        <w:t>2</w:t>
      </w:r>
      <w:r w:rsidRPr="004F313C">
        <w:rPr>
          <w:color w:val="000000" w:themeColor="text1"/>
        </w:rPr>
        <w:t xml:space="preserve"> emissions over the period to 2050. The range of cumulative emissions within each digitalisation and reference scenario are generated by varying climate policy stringency (carbon price) to 2050 at multiples of </w:t>
      </w:r>
      <w:r w:rsidR="0048635A" w:rsidRPr="004F313C">
        <w:rPr>
          <w:color w:val="000000" w:themeColor="text1"/>
        </w:rPr>
        <w:t xml:space="preserve">roughly </w:t>
      </w:r>
      <w:r w:rsidR="003E0B47" w:rsidRPr="004F313C">
        <w:rPr>
          <w:color w:val="000000" w:themeColor="text1"/>
        </w:rPr>
        <w:t>2, 4, 8, and 16</w:t>
      </w:r>
      <w:r w:rsidRPr="004F313C">
        <w:rPr>
          <w:color w:val="000000" w:themeColor="text1"/>
        </w:rPr>
        <w:t xml:space="preserve"> over the main scenario variant.</w:t>
      </w:r>
    </w:p>
    <w:p w14:paraId="0788281B" w14:textId="77777777" w:rsidR="00764097" w:rsidRPr="004F313C" w:rsidRDefault="00764097" w:rsidP="007F3232">
      <w:pPr>
        <w:rPr>
          <w:b/>
          <w:bCs/>
          <w:color w:val="000000" w:themeColor="text1"/>
        </w:rPr>
      </w:pPr>
    </w:p>
    <w:p w14:paraId="58E8252A" w14:textId="36AD7F01" w:rsidR="00764097" w:rsidRPr="004F313C" w:rsidRDefault="00764097" w:rsidP="00A9581D">
      <w:r w:rsidRPr="004F313C">
        <w:t>An important feasibility dimension to Paris targets is the long-term dependence on carbon dioxide removal (CDR) imposed by slower near-term emission reductions. Cost-optimal emission pathways postpone large volumes of expensive and immature technological CDR to the second half of the century. This is beyond the timeframe of our digitalisation scenarios. However, even to 2050</w:t>
      </w:r>
      <w:r w:rsidR="00EA5D38" w:rsidRPr="004F313C">
        <w:t>,</w:t>
      </w:r>
      <w:r w:rsidRPr="004F313C">
        <w:t xml:space="preserve"> </w:t>
      </w:r>
      <w:r w:rsidR="008E71B5" w:rsidRPr="004F313C">
        <w:t>the</w:t>
      </w:r>
      <w:r w:rsidRPr="004F313C">
        <w:t xml:space="preserve"> benefits of climate-aligned digitalisation for Paris target feasibility can be seen in the reduced risk of CDR reliance. </w:t>
      </w:r>
      <w:r w:rsidR="001D0034">
        <w:t xml:space="preserve">Figure 15 </w:t>
      </w:r>
      <w:r w:rsidRPr="004F313C">
        <w:t>shows the interdependence of medium-term (to 2050) cumulative emissions and removals for a given full century carbon budget.</w:t>
      </w:r>
    </w:p>
    <w:p w14:paraId="5CE698A5" w14:textId="77777777" w:rsidR="00764097" w:rsidRPr="004F313C" w:rsidRDefault="00764097" w:rsidP="00A9581D"/>
    <w:p w14:paraId="157ACA5C" w14:textId="60DAAC54" w:rsidR="00764097" w:rsidRDefault="00764097" w:rsidP="00A9581D">
      <w:r w:rsidRPr="004F313C">
        <w:t xml:space="preserve">For relatively higher cumulative emissions to 2050 </w:t>
      </w:r>
      <w:r w:rsidR="00B81C7A" w:rsidRPr="004F313C">
        <w:t xml:space="preserve">upwards </w:t>
      </w:r>
      <w:r w:rsidR="00F9123E" w:rsidRPr="004F313C">
        <w:t xml:space="preserve">of </w:t>
      </w:r>
      <w:r w:rsidRPr="004F313C">
        <w:t>550 GtCO</w:t>
      </w:r>
      <w:r w:rsidRPr="004F313C">
        <w:rPr>
          <w:vertAlign w:val="subscript"/>
        </w:rPr>
        <w:t>2</w:t>
      </w:r>
      <w:r w:rsidRPr="004F313C">
        <w:t xml:space="preserve">, climate-aligned digitalisation </w:t>
      </w:r>
      <w:r w:rsidR="00254E64" w:rsidRPr="004F313C">
        <w:t xml:space="preserve">in Enable scenarios </w:t>
      </w:r>
      <w:r w:rsidRPr="004F313C">
        <w:t xml:space="preserve">reduces the need for cumulative removals but only marginally by </w:t>
      </w:r>
      <w:r w:rsidR="00687EEB" w:rsidRPr="004F313C">
        <w:t>around 1</w:t>
      </w:r>
      <w:r w:rsidRPr="004F313C">
        <w:t>0%</w:t>
      </w:r>
      <w:r w:rsidR="00687EEB" w:rsidRPr="004F313C">
        <w:t xml:space="preserve"> relative</w:t>
      </w:r>
      <w:r w:rsidR="005216CF" w:rsidRPr="004F313C">
        <w:t xml:space="preserve"> to </w:t>
      </w:r>
      <w:r w:rsidR="00FC0FA9" w:rsidRPr="004F313C">
        <w:t xml:space="preserve">the </w:t>
      </w:r>
      <w:r w:rsidR="00687EEB" w:rsidRPr="004F313C">
        <w:t>reference scenario</w:t>
      </w:r>
      <w:r w:rsidRPr="004F313C">
        <w:t>. At lower cumulative emissions &lt;500 GtCO</w:t>
      </w:r>
      <w:r w:rsidRPr="004F313C">
        <w:rPr>
          <w:vertAlign w:val="subscript"/>
        </w:rPr>
        <w:t>2</w:t>
      </w:r>
      <w:r w:rsidRPr="004F313C">
        <w:t xml:space="preserve"> to 2050, the effect of digitalisation on CDR volumes is negligible. These scenario variants with more constrained carbon budgets (and so lower probabilities of overshoot) already exploit available </w:t>
      </w:r>
      <w:r w:rsidR="00A91536" w:rsidRPr="004F313C">
        <w:t xml:space="preserve">upscaling of </w:t>
      </w:r>
      <w:r w:rsidRPr="004F313C">
        <w:t>CDR volumes to 2050 (120 GtCO</w:t>
      </w:r>
      <w:r w:rsidRPr="004F313C">
        <w:rPr>
          <w:vertAlign w:val="subscript"/>
        </w:rPr>
        <w:t>2</w:t>
      </w:r>
      <w:r w:rsidRPr="004F313C">
        <w:t>) so there is no additional flexibility for digitalisation to act on.</w:t>
      </w:r>
    </w:p>
    <w:p w14:paraId="31FE5AA8" w14:textId="05E89F53" w:rsidR="00783F71" w:rsidRDefault="00783F71">
      <w:pPr>
        <w:spacing w:line="240" w:lineRule="auto"/>
      </w:pPr>
      <w:r>
        <w:br w:type="page"/>
      </w:r>
    </w:p>
    <w:p w14:paraId="4834E0C9" w14:textId="7CD8676B" w:rsidR="00783F71" w:rsidRDefault="00E54243" w:rsidP="00A9581D">
      <w:r>
        <w:rPr>
          <w:noProof/>
        </w:rPr>
        <w:lastRenderedPageBreak/>
        <w:drawing>
          <wp:inline distT="0" distB="0" distL="0" distR="0" wp14:anchorId="15047DBE" wp14:editId="6EA150F1">
            <wp:extent cx="5731510" cy="3108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108325"/>
                    </a:xfrm>
                    <a:prstGeom prst="rect">
                      <a:avLst/>
                    </a:prstGeom>
                    <a:noFill/>
                    <a:ln>
                      <a:noFill/>
                    </a:ln>
                  </pic:spPr>
                </pic:pic>
              </a:graphicData>
            </a:graphic>
          </wp:inline>
        </w:drawing>
      </w:r>
    </w:p>
    <w:p w14:paraId="751F1A3A" w14:textId="154CDE42" w:rsidR="00B2420E" w:rsidRDefault="00FD73FB" w:rsidP="00FD73FB">
      <w:pPr>
        <w:pStyle w:val="Caption"/>
        <w:rPr>
          <w:rFonts w:cs="Times New Roman"/>
        </w:rPr>
      </w:pPr>
      <w:bookmarkStart w:id="24" w:name="_Ref222500858"/>
      <w:bookmarkStart w:id="25" w:name="_Toc222500799"/>
      <w:r>
        <w:t>Figure</w:t>
      </w:r>
      <w:bookmarkEnd w:id="24"/>
      <w:r w:rsidR="00B96068">
        <w:t xml:space="preserve"> 16. </w:t>
      </w:r>
      <w:r w:rsidRPr="00E7142F">
        <w:rPr>
          <w:rFonts w:cs="Times New Roman"/>
        </w:rPr>
        <w:t>Projected global electricity demand of data centres extended through 2050 consistent with the Shared Socioeconomic Pathways (SSPs).</w:t>
      </w:r>
      <w:bookmarkEnd w:id="25"/>
    </w:p>
    <w:p w14:paraId="09B800D9" w14:textId="703744FE" w:rsidR="00FD73FB" w:rsidRPr="00F102F6" w:rsidRDefault="00FD73FB" w:rsidP="00F102F6">
      <w:pPr>
        <w:pStyle w:val="Caption"/>
        <w:rPr>
          <w:rFonts w:cs="Times New Roman"/>
          <w:b w:val="0"/>
          <w:bCs w:val="0"/>
        </w:rPr>
      </w:pPr>
      <w:r w:rsidRPr="00FD73FB">
        <w:rPr>
          <w:rFonts w:cs="Times New Roman"/>
          <w:b w:val="0"/>
          <w:bCs w:val="0"/>
        </w:rPr>
        <w:t>Shaded funnels = lower to upper bound ranges per SSP.</w:t>
      </w:r>
      <w:r>
        <w:rPr>
          <w:rFonts w:cs="Times New Roman"/>
          <w:b w:val="0"/>
          <w:bCs w:val="0"/>
        </w:rPr>
        <w:t xml:space="preserve"> Source: </w:t>
      </w:r>
      <w:r w:rsidR="00B93912">
        <w:rPr>
          <w:rFonts w:cs="Times New Roman"/>
          <w:b w:val="0"/>
          <w:bCs w:val="0"/>
        </w:rPr>
        <w:fldChar w:fldCharType="begin"/>
      </w:r>
      <w:r w:rsidR="00964797">
        <w:rPr>
          <w:rFonts w:cs="Times New Roman"/>
          <w:b w:val="0"/>
          <w:bCs w:val="0"/>
        </w:rPr>
        <w:instrText xml:space="preserve"> ADDIN ZOTERO_ITEM CSL_CITATION {"citationID":"Kq7sbwOv","properties":{"formattedCitation":"\\super 19\\nosupersub{}","plainCitation":"19","noteIndex":0},"citationItems":[{"id":12339,"uris":["http://zotero.org/users/16679130/items/EMJ3DBYJ"],"itemData":{"id":12339,"type":"article-journal","abstract":"Digital transformation refers to the widespread use of digital technologies in ways that reshape societal and economic activity, with significant impacts on sustainable development and climate challenges—both for better and for worse. Using statistical models calibrated to historical evidence in 62 countries across 12 world regions, we project future digital transformation within the Shared Socioeconomic Pathways (SSPs), adding contextual richness to this scenario framework used extensively in global climate research. In some scenarios, we find a pervasive and prolonged digital divide with up to 45% of the assessed population by mid-century still residing in countries with relatively low levels of digital transformation despite ever-deepening digitalisation in wealthier countries. We set out six use cases for how our explicit representation of digital transformation within the SSPs enables quantitative assessment of digitalisation’s impact on energy, emissions, climate policy, and Sustainable Development Goals. We also discuss challenges with using empirically calibrated models to project digital transformation given its rapid evolution and socioeconomic implications.","container-title":"Energy &amp; Climate Change","title":"Data Centre Energy Demand Projections within Shared Socioeconomic Pathways","author":[{"family":"Fan","given":"Yee Van"},{"family":"Wilson","given":"Charlie"},{"family":"Kamiya","given":"George"}],"issued":{"literal":"under review"}}}],"schema":"https://github.com/citation-style-language/schema/raw/master/csl-citation.json"} </w:instrText>
      </w:r>
      <w:r w:rsidR="00B93912">
        <w:rPr>
          <w:rFonts w:cs="Times New Roman"/>
          <w:b w:val="0"/>
          <w:bCs w:val="0"/>
        </w:rPr>
        <w:fldChar w:fldCharType="separate"/>
      </w:r>
      <w:r w:rsidR="00964797" w:rsidRPr="00964797">
        <w:rPr>
          <w:color w:val="000000"/>
          <w:vertAlign w:val="superscript"/>
        </w:rPr>
        <w:t>19</w:t>
      </w:r>
      <w:r w:rsidR="00B93912">
        <w:rPr>
          <w:rFonts w:cs="Times New Roman"/>
          <w:b w:val="0"/>
          <w:bCs w:val="0"/>
        </w:rPr>
        <w:fldChar w:fldCharType="end"/>
      </w:r>
      <w:r w:rsidR="00B93912">
        <w:rPr>
          <w:rFonts w:cs="Times New Roman"/>
          <w:b w:val="0"/>
          <w:bCs w:val="0"/>
        </w:rPr>
        <w:t>.</w:t>
      </w:r>
    </w:p>
    <w:p w14:paraId="6DFBF018" w14:textId="77777777" w:rsidR="00194743" w:rsidRDefault="00194743" w:rsidP="00A9581D"/>
    <w:p w14:paraId="6F2B2CBE" w14:textId="66606484" w:rsidR="00D07086" w:rsidRDefault="00D07086">
      <w:pPr>
        <w:spacing w:line="240" w:lineRule="auto"/>
      </w:pPr>
      <w:r>
        <w:br w:type="page"/>
      </w:r>
    </w:p>
    <w:p w14:paraId="73A29E9F" w14:textId="77777777" w:rsidR="00964797" w:rsidRPr="00964797" w:rsidRDefault="00964797" w:rsidP="00964797">
      <w:pPr>
        <w:pStyle w:val="Bibliography"/>
        <w:spacing w:line="240" w:lineRule="auto"/>
        <w:ind w:left="0" w:hanging="505"/>
        <w:rPr>
          <w:color w:val="000000" w:themeColor="text1"/>
        </w:rPr>
      </w:pPr>
      <w:r w:rsidRPr="00964797">
        <w:rPr>
          <w:color w:val="000000" w:themeColor="text1"/>
        </w:rPr>
        <w:lastRenderedPageBreak/>
        <w:fldChar w:fldCharType="begin"/>
      </w:r>
      <w:r w:rsidRPr="00964797">
        <w:rPr>
          <w:color w:val="000000" w:themeColor="text1"/>
        </w:rPr>
        <w:instrText xml:space="preserve"> ADDIN ZOTERO_BIBL {"uncited":[],"omitted":[],"custom":[]} CSL_BIBLIOGRAPHY </w:instrText>
      </w:r>
      <w:r w:rsidRPr="00964797">
        <w:rPr>
          <w:color w:val="000000" w:themeColor="text1"/>
        </w:rPr>
        <w:fldChar w:fldCharType="separate"/>
      </w:r>
      <w:r w:rsidRPr="00964797">
        <w:rPr>
          <w:color w:val="000000" w:themeColor="text1"/>
        </w:rPr>
        <w:t>1.</w:t>
      </w:r>
      <w:r w:rsidRPr="00964797">
        <w:rPr>
          <w:color w:val="000000" w:themeColor="text1"/>
        </w:rPr>
        <w:tab/>
        <w:t xml:space="preserve">Spreng, D. Possibilities for substitution between energy, time and information. </w:t>
      </w:r>
      <w:r w:rsidRPr="00964797">
        <w:rPr>
          <w:i/>
          <w:iCs/>
          <w:color w:val="000000" w:themeColor="text1"/>
        </w:rPr>
        <w:t>Energy Policy</w:t>
      </w:r>
      <w:r w:rsidRPr="00964797">
        <w:rPr>
          <w:color w:val="000000" w:themeColor="text1"/>
        </w:rPr>
        <w:t xml:space="preserve"> </w:t>
      </w:r>
      <w:r w:rsidRPr="00964797">
        <w:rPr>
          <w:b/>
          <w:bCs/>
          <w:color w:val="000000" w:themeColor="text1"/>
        </w:rPr>
        <w:t>21</w:t>
      </w:r>
      <w:r w:rsidRPr="00964797">
        <w:rPr>
          <w:color w:val="000000" w:themeColor="text1"/>
        </w:rPr>
        <w:t>, 13–23 (1993).</w:t>
      </w:r>
    </w:p>
    <w:p w14:paraId="40AC2F1A" w14:textId="77777777" w:rsidR="00964797" w:rsidRPr="00964797" w:rsidRDefault="00964797" w:rsidP="00964797">
      <w:pPr>
        <w:pStyle w:val="Bibliography"/>
        <w:spacing w:line="240" w:lineRule="auto"/>
        <w:ind w:left="0"/>
        <w:rPr>
          <w:color w:val="000000" w:themeColor="text1"/>
        </w:rPr>
      </w:pPr>
      <w:r w:rsidRPr="00964797">
        <w:rPr>
          <w:color w:val="000000" w:themeColor="text1"/>
        </w:rPr>
        <w:t>2.</w:t>
      </w:r>
      <w:r w:rsidRPr="00964797">
        <w:rPr>
          <w:color w:val="000000" w:themeColor="text1"/>
        </w:rPr>
        <w:tab/>
        <w:t xml:space="preserve">Bocken, N. M., Niessen, L. &amp; Short, S. W. The sufficiency-based circular economy—an analysis of 150 companies. </w:t>
      </w:r>
      <w:r w:rsidRPr="00964797">
        <w:rPr>
          <w:i/>
          <w:iCs/>
          <w:color w:val="000000" w:themeColor="text1"/>
        </w:rPr>
        <w:t>Frontiers in sustainability</w:t>
      </w:r>
      <w:r w:rsidRPr="00964797">
        <w:rPr>
          <w:color w:val="000000" w:themeColor="text1"/>
        </w:rPr>
        <w:t xml:space="preserve"> </w:t>
      </w:r>
      <w:r w:rsidRPr="00964797">
        <w:rPr>
          <w:b/>
          <w:bCs/>
          <w:color w:val="000000" w:themeColor="text1"/>
        </w:rPr>
        <w:t>3</w:t>
      </w:r>
      <w:r w:rsidRPr="00964797">
        <w:rPr>
          <w:color w:val="000000" w:themeColor="text1"/>
        </w:rPr>
        <w:t>, 899289 (2022).</w:t>
      </w:r>
    </w:p>
    <w:p w14:paraId="2897BD28" w14:textId="77777777" w:rsidR="00964797" w:rsidRPr="00964797" w:rsidRDefault="00964797" w:rsidP="00964797">
      <w:pPr>
        <w:pStyle w:val="Bibliography"/>
        <w:spacing w:line="240" w:lineRule="auto"/>
        <w:ind w:left="0"/>
        <w:rPr>
          <w:color w:val="000000" w:themeColor="text1"/>
        </w:rPr>
      </w:pPr>
      <w:r w:rsidRPr="00964797">
        <w:rPr>
          <w:color w:val="000000" w:themeColor="text1"/>
        </w:rPr>
        <w:t>3.</w:t>
      </w:r>
      <w:r w:rsidRPr="00964797">
        <w:rPr>
          <w:color w:val="000000" w:themeColor="text1"/>
        </w:rPr>
        <w:tab/>
        <w:t xml:space="preserve">Lovoskaya, A., Habib, N., Villanova del Moral, A. &amp; Fourrier, C. CO₂ Emissions and Models Performance: Insights from the Open LLM Leaderboard. </w:t>
      </w:r>
      <w:r w:rsidRPr="00964797">
        <w:rPr>
          <w:i/>
          <w:iCs/>
          <w:color w:val="000000" w:themeColor="text1"/>
        </w:rPr>
        <w:t>Hugging Face</w:t>
      </w:r>
      <w:r w:rsidRPr="00964797">
        <w:rPr>
          <w:color w:val="000000" w:themeColor="text1"/>
        </w:rPr>
        <w:t xml:space="preserve"> https://huggingface.co/blog/leaderboard-emissions-analysis.</w:t>
      </w:r>
    </w:p>
    <w:p w14:paraId="604070A9" w14:textId="77777777" w:rsidR="00964797" w:rsidRPr="00964797" w:rsidRDefault="00964797" w:rsidP="00964797">
      <w:pPr>
        <w:pStyle w:val="Bibliography"/>
        <w:spacing w:line="240" w:lineRule="auto"/>
        <w:ind w:left="0"/>
        <w:rPr>
          <w:color w:val="000000" w:themeColor="text1"/>
        </w:rPr>
      </w:pPr>
      <w:r w:rsidRPr="00964797">
        <w:rPr>
          <w:color w:val="000000" w:themeColor="text1"/>
        </w:rPr>
        <w:t>4.</w:t>
      </w:r>
      <w:r w:rsidRPr="00964797">
        <w:rPr>
          <w:color w:val="000000" w:themeColor="text1"/>
        </w:rPr>
        <w:tab/>
        <w:t xml:space="preserve">Ramachandran Anu, Sarabu Chethan, Gupta Udit, Ghose Shomit, &amp; Lee Vivian S. Sustainably Advancing Health AI: A Decision Framework to Mitigate the Energy, Emissions, and Cost of AI Implementation. </w:t>
      </w:r>
      <w:r w:rsidRPr="00964797">
        <w:rPr>
          <w:i/>
          <w:iCs/>
          <w:color w:val="000000" w:themeColor="text1"/>
        </w:rPr>
        <w:t>NEJM Catalyst</w:t>
      </w:r>
      <w:r w:rsidRPr="00964797">
        <w:rPr>
          <w:color w:val="000000" w:themeColor="text1"/>
        </w:rPr>
        <w:t xml:space="preserve"> </w:t>
      </w:r>
      <w:r w:rsidRPr="00964797">
        <w:rPr>
          <w:b/>
          <w:bCs/>
          <w:color w:val="000000" w:themeColor="text1"/>
        </w:rPr>
        <w:t>6</w:t>
      </w:r>
      <w:r w:rsidRPr="00964797">
        <w:rPr>
          <w:color w:val="000000" w:themeColor="text1"/>
        </w:rPr>
        <w:t>, CAT.25.0125 (2025).</w:t>
      </w:r>
    </w:p>
    <w:p w14:paraId="232EE806" w14:textId="77777777" w:rsidR="00964797" w:rsidRPr="00964797" w:rsidRDefault="00964797" w:rsidP="00964797">
      <w:pPr>
        <w:pStyle w:val="Bibliography"/>
        <w:spacing w:line="240" w:lineRule="auto"/>
        <w:ind w:left="0"/>
        <w:rPr>
          <w:color w:val="000000" w:themeColor="text1"/>
        </w:rPr>
      </w:pPr>
      <w:r w:rsidRPr="00964797">
        <w:rPr>
          <w:color w:val="000000" w:themeColor="text1"/>
        </w:rPr>
        <w:t>5.</w:t>
      </w:r>
      <w:r w:rsidRPr="00964797">
        <w:rPr>
          <w:color w:val="000000" w:themeColor="text1"/>
        </w:rPr>
        <w:tab/>
        <w:t xml:space="preserve">Bieser, J. C. T., Hintemann, R., Hilty, L. M. &amp; Beucker, S. A review of assessments of the greenhouse gas footprint and abatement potential of information and communication technology. </w:t>
      </w:r>
      <w:r w:rsidRPr="00964797">
        <w:rPr>
          <w:i/>
          <w:iCs/>
          <w:color w:val="000000" w:themeColor="text1"/>
        </w:rPr>
        <w:t>Environmental Impact Assessment Review</w:t>
      </w:r>
      <w:r w:rsidRPr="00964797">
        <w:rPr>
          <w:color w:val="000000" w:themeColor="text1"/>
        </w:rPr>
        <w:t xml:space="preserve"> </w:t>
      </w:r>
      <w:r w:rsidRPr="00964797">
        <w:rPr>
          <w:b/>
          <w:bCs/>
          <w:color w:val="000000" w:themeColor="text1"/>
        </w:rPr>
        <w:t>99</w:t>
      </w:r>
      <w:r w:rsidRPr="00964797">
        <w:rPr>
          <w:color w:val="000000" w:themeColor="text1"/>
        </w:rPr>
        <w:t>, 107033 (2023).</w:t>
      </w:r>
    </w:p>
    <w:p w14:paraId="598805D8" w14:textId="77777777" w:rsidR="00964797" w:rsidRPr="00964797" w:rsidRDefault="00964797" w:rsidP="00964797">
      <w:pPr>
        <w:pStyle w:val="Bibliography"/>
        <w:spacing w:line="240" w:lineRule="auto"/>
        <w:ind w:left="0"/>
        <w:rPr>
          <w:color w:val="000000" w:themeColor="text1"/>
        </w:rPr>
      </w:pPr>
      <w:r w:rsidRPr="00964797">
        <w:rPr>
          <w:color w:val="000000" w:themeColor="text1"/>
        </w:rPr>
        <w:t>6.</w:t>
      </w:r>
      <w:r w:rsidRPr="00964797">
        <w:rPr>
          <w:color w:val="000000" w:themeColor="text1"/>
        </w:rPr>
        <w:tab/>
        <w:t xml:space="preserve">ITU. </w:t>
      </w:r>
      <w:r w:rsidRPr="00964797">
        <w:rPr>
          <w:i/>
          <w:iCs/>
          <w:color w:val="000000" w:themeColor="text1"/>
        </w:rPr>
        <w:t>Enabling the Net Zero Transition: Assessing How the Use of Information and Communication Technology Solutions Impact Greenhouse Gas Emissions of Other Sectors. Recommendation ITU-T L.1480 (12/2022).</w:t>
      </w:r>
      <w:r w:rsidRPr="00964797">
        <w:rPr>
          <w:color w:val="000000" w:themeColor="text1"/>
        </w:rPr>
        <w:t xml:space="preserve"> (2022).</w:t>
      </w:r>
    </w:p>
    <w:p w14:paraId="52551D3D" w14:textId="77777777" w:rsidR="00964797" w:rsidRPr="00964797" w:rsidRDefault="00964797" w:rsidP="00964797">
      <w:pPr>
        <w:pStyle w:val="Bibliography"/>
        <w:spacing w:line="240" w:lineRule="auto"/>
        <w:ind w:left="0"/>
        <w:rPr>
          <w:color w:val="000000" w:themeColor="text1"/>
        </w:rPr>
      </w:pPr>
      <w:r w:rsidRPr="00964797">
        <w:rPr>
          <w:color w:val="000000" w:themeColor="text1"/>
        </w:rPr>
        <w:t>7.</w:t>
      </w:r>
      <w:r w:rsidRPr="00964797">
        <w:rPr>
          <w:color w:val="000000" w:themeColor="text1"/>
        </w:rPr>
        <w:tab/>
        <w:t xml:space="preserve">Furberg, A. </w:t>
      </w:r>
      <w:r w:rsidRPr="00964797">
        <w:rPr>
          <w:i/>
          <w:iCs/>
          <w:color w:val="000000" w:themeColor="text1"/>
        </w:rPr>
        <w:t>et al.</w:t>
      </w:r>
      <w:r w:rsidRPr="00964797">
        <w:rPr>
          <w:color w:val="000000" w:themeColor="text1"/>
        </w:rPr>
        <w:t xml:space="preserve"> Guidelines for assessments of the global information and communication technology sector’s direct energy use and climate impact: Key aspects and future scenarios. </w:t>
      </w:r>
      <w:r w:rsidRPr="00964797">
        <w:rPr>
          <w:i/>
          <w:iCs/>
          <w:color w:val="000000" w:themeColor="text1"/>
        </w:rPr>
        <w:t>Renewable and Sustainable Energy Reviews</w:t>
      </w:r>
      <w:r w:rsidRPr="00964797">
        <w:rPr>
          <w:color w:val="000000" w:themeColor="text1"/>
        </w:rPr>
        <w:t xml:space="preserve"> </w:t>
      </w:r>
      <w:r w:rsidRPr="00964797">
        <w:rPr>
          <w:b/>
          <w:bCs/>
          <w:color w:val="000000" w:themeColor="text1"/>
        </w:rPr>
        <w:t>226</w:t>
      </w:r>
      <w:r w:rsidRPr="00964797">
        <w:rPr>
          <w:color w:val="000000" w:themeColor="text1"/>
        </w:rPr>
        <w:t>, 116176 (2026).</w:t>
      </w:r>
    </w:p>
    <w:p w14:paraId="264F8AF9" w14:textId="77777777" w:rsidR="00964797" w:rsidRPr="00964797" w:rsidRDefault="00964797" w:rsidP="00964797">
      <w:pPr>
        <w:pStyle w:val="Bibliography"/>
        <w:spacing w:line="240" w:lineRule="auto"/>
        <w:ind w:left="0"/>
        <w:rPr>
          <w:color w:val="000000" w:themeColor="text1"/>
        </w:rPr>
      </w:pPr>
      <w:r w:rsidRPr="00964797">
        <w:rPr>
          <w:color w:val="000000" w:themeColor="text1"/>
        </w:rPr>
        <w:t>8.</w:t>
      </w:r>
      <w:r w:rsidRPr="00964797">
        <w:rPr>
          <w:color w:val="000000" w:themeColor="text1"/>
        </w:rPr>
        <w:tab/>
        <w:t>Luccioni, A. S., Strubell, E. &amp; Crawford, K. From Efficiency Gains to Rebound Effects: The Problem of Jevons’ Paradox in AI’s Polarized Environmental Debate. Preprint at https://doi.org/10.48550/arXiv.2501.16548 (2025).</w:t>
      </w:r>
    </w:p>
    <w:p w14:paraId="549335D1" w14:textId="77777777" w:rsidR="00964797" w:rsidRPr="00964797" w:rsidRDefault="00964797" w:rsidP="00964797">
      <w:pPr>
        <w:pStyle w:val="Bibliography"/>
        <w:spacing w:line="240" w:lineRule="auto"/>
        <w:ind w:left="0"/>
        <w:rPr>
          <w:color w:val="000000" w:themeColor="text1"/>
        </w:rPr>
      </w:pPr>
      <w:r w:rsidRPr="00964797">
        <w:rPr>
          <w:color w:val="000000" w:themeColor="text1"/>
        </w:rPr>
        <w:t>9.</w:t>
      </w:r>
      <w:r w:rsidRPr="00964797">
        <w:rPr>
          <w:color w:val="000000" w:themeColor="text1"/>
        </w:rPr>
        <w:tab/>
        <w:t>IEA. Energy and AI Observatory. (2025).</w:t>
      </w:r>
    </w:p>
    <w:p w14:paraId="2E847815"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10.</w:t>
      </w:r>
      <w:r w:rsidRPr="00964797">
        <w:rPr>
          <w:color w:val="000000" w:themeColor="text1"/>
        </w:rPr>
        <w:tab/>
        <w:t xml:space="preserve">ADViCE. </w:t>
      </w:r>
      <w:r w:rsidRPr="00964797">
        <w:rPr>
          <w:i/>
          <w:iCs/>
          <w:color w:val="000000" w:themeColor="text1"/>
        </w:rPr>
        <w:t>State of AI for Decarbonisation 2025</w:t>
      </w:r>
      <w:r w:rsidRPr="00964797">
        <w:rPr>
          <w:color w:val="000000" w:themeColor="text1"/>
        </w:rPr>
        <w:t>. https://www.turing.ac.uk/research/research-projects/advice.</w:t>
      </w:r>
    </w:p>
    <w:p w14:paraId="2AFF7959"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11.</w:t>
      </w:r>
      <w:r w:rsidRPr="00964797">
        <w:rPr>
          <w:color w:val="000000" w:themeColor="text1"/>
        </w:rPr>
        <w:tab/>
        <w:t xml:space="preserve">ADEME. </w:t>
      </w:r>
      <w:r w:rsidRPr="00964797">
        <w:rPr>
          <w:i/>
          <w:iCs/>
          <w:color w:val="000000" w:themeColor="text1"/>
        </w:rPr>
        <w:t>Environmental Assessment of the Direct and Indirect Effects of Digital Technology on Use Cases (IT4Green)</w:t>
      </w:r>
      <w:r w:rsidRPr="00964797">
        <w:rPr>
          <w:color w:val="000000" w:themeColor="text1"/>
        </w:rPr>
        <w:t>. (2025).</w:t>
      </w:r>
    </w:p>
    <w:p w14:paraId="25DF1C42"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12.</w:t>
      </w:r>
      <w:r w:rsidRPr="00964797">
        <w:rPr>
          <w:color w:val="000000" w:themeColor="text1"/>
        </w:rPr>
        <w:tab/>
        <w:t xml:space="preserve">Carlsen, H., Nykvist, B., Joshi, S. &amp; Heintz, F. Chasing artificial intelligence in shared socioeconomic pathways. </w:t>
      </w:r>
      <w:r w:rsidRPr="00964797">
        <w:rPr>
          <w:i/>
          <w:iCs/>
          <w:color w:val="000000" w:themeColor="text1"/>
        </w:rPr>
        <w:t>One Earth</w:t>
      </w:r>
      <w:r w:rsidRPr="00964797">
        <w:rPr>
          <w:color w:val="000000" w:themeColor="text1"/>
        </w:rPr>
        <w:t xml:space="preserve"> </w:t>
      </w:r>
      <w:r w:rsidRPr="00964797">
        <w:rPr>
          <w:b/>
          <w:bCs/>
          <w:color w:val="000000" w:themeColor="text1"/>
        </w:rPr>
        <w:t>7</w:t>
      </w:r>
      <w:r w:rsidRPr="00964797">
        <w:rPr>
          <w:color w:val="000000" w:themeColor="text1"/>
        </w:rPr>
        <w:t>, 18–22 (2024).</w:t>
      </w:r>
    </w:p>
    <w:p w14:paraId="7B4BCA0B"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13.</w:t>
      </w:r>
      <w:r w:rsidRPr="00964797">
        <w:rPr>
          <w:color w:val="000000" w:themeColor="text1"/>
        </w:rPr>
        <w:tab/>
        <w:t xml:space="preserve">Luers, A. </w:t>
      </w:r>
      <w:r w:rsidRPr="00964797">
        <w:rPr>
          <w:i/>
          <w:iCs/>
          <w:color w:val="000000" w:themeColor="text1"/>
        </w:rPr>
        <w:t>et al.</w:t>
      </w:r>
      <w:r w:rsidRPr="00964797">
        <w:rPr>
          <w:color w:val="000000" w:themeColor="text1"/>
        </w:rPr>
        <w:t xml:space="preserve"> Will AI accelerate or delay the race to net-zero emissions? </w:t>
      </w:r>
      <w:r w:rsidRPr="00964797">
        <w:rPr>
          <w:i/>
          <w:iCs/>
          <w:color w:val="000000" w:themeColor="text1"/>
        </w:rPr>
        <w:t>Nature</w:t>
      </w:r>
      <w:r w:rsidRPr="00964797">
        <w:rPr>
          <w:color w:val="000000" w:themeColor="text1"/>
        </w:rPr>
        <w:t xml:space="preserve"> </w:t>
      </w:r>
      <w:r w:rsidRPr="00964797">
        <w:rPr>
          <w:b/>
          <w:bCs/>
          <w:color w:val="000000" w:themeColor="text1"/>
        </w:rPr>
        <w:t>628</w:t>
      </w:r>
      <w:r w:rsidRPr="00964797">
        <w:rPr>
          <w:color w:val="000000" w:themeColor="text1"/>
        </w:rPr>
        <w:t>, 718–720 (2024).</w:t>
      </w:r>
    </w:p>
    <w:p w14:paraId="2592FF6F"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14.</w:t>
      </w:r>
      <w:r w:rsidRPr="00964797">
        <w:rPr>
          <w:color w:val="000000" w:themeColor="text1"/>
        </w:rPr>
        <w:tab/>
        <w:t xml:space="preserve">Cerutti, M. E. M. </w:t>
      </w:r>
      <w:r w:rsidRPr="00964797">
        <w:rPr>
          <w:i/>
          <w:iCs/>
          <w:color w:val="000000" w:themeColor="text1"/>
        </w:rPr>
        <w:t>et al.</w:t>
      </w:r>
      <w:r w:rsidRPr="00964797">
        <w:rPr>
          <w:color w:val="000000" w:themeColor="text1"/>
        </w:rPr>
        <w:t xml:space="preserve"> </w:t>
      </w:r>
      <w:r w:rsidRPr="00964797">
        <w:rPr>
          <w:i/>
          <w:iCs/>
          <w:color w:val="000000" w:themeColor="text1"/>
        </w:rPr>
        <w:t>Global Impact of AI: Mind the Gap</w:t>
      </w:r>
      <w:r w:rsidRPr="00964797">
        <w:rPr>
          <w:color w:val="000000" w:themeColor="text1"/>
        </w:rPr>
        <w:t>. (2025).</w:t>
      </w:r>
    </w:p>
    <w:p w14:paraId="135E0D55"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15.</w:t>
      </w:r>
      <w:r w:rsidRPr="00964797">
        <w:rPr>
          <w:color w:val="000000" w:themeColor="text1"/>
        </w:rPr>
        <w:tab/>
        <w:t xml:space="preserve">OECD. </w:t>
      </w:r>
      <w:r w:rsidRPr="00964797">
        <w:rPr>
          <w:i/>
          <w:iCs/>
          <w:color w:val="000000" w:themeColor="text1"/>
        </w:rPr>
        <w:t>Miracle or Myth? Assessing the Macroeconomic Productivity Gains from Artificial Intelligence</w:t>
      </w:r>
      <w:r w:rsidRPr="00964797">
        <w:rPr>
          <w:color w:val="000000" w:themeColor="text1"/>
        </w:rPr>
        <w:t>. (2025).</w:t>
      </w:r>
    </w:p>
    <w:p w14:paraId="1A323EB6"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16.</w:t>
      </w:r>
      <w:r w:rsidRPr="00964797">
        <w:rPr>
          <w:color w:val="000000" w:themeColor="text1"/>
        </w:rPr>
        <w:tab/>
        <w:t xml:space="preserve">Hirth, L., Ueckerdt, F. &amp; Edenhofer, O. Integration costs revisited – An economic framework for wind and solar variability. </w:t>
      </w:r>
      <w:r w:rsidRPr="00964797">
        <w:rPr>
          <w:i/>
          <w:iCs/>
          <w:color w:val="000000" w:themeColor="text1"/>
        </w:rPr>
        <w:t>Renewable Energy</w:t>
      </w:r>
      <w:r w:rsidRPr="00964797">
        <w:rPr>
          <w:color w:val="000000" w:themeColor="text1"/>
        </w:rPr>
        <w:t xml:space="preserve"> </w:t>
      </w:r>
      <w:r w:rsidRPr="00964797">
        <w:rPr>
          <w:b/>
          <w:bCs/>
          <w:color w:val="000000" w:themeColor="text1"/>
        </w:rPr>
        <w:t>74</w:t>
      </w:r>
      <w:r w:rsidRPr="00964797">
        <w:rPr>
          <w:color w:val="000000" w:themeColor="text1"/>
        </w:rPr>
        <w:t>, 925–939 (2015).</w:t>
      </w:r>
    </w:p>
    <w:p w14:paraId="149C94E0"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17.</w:t>
      </w:r>
      <w:r w:rsidRPr="00964797">
        <w:rPr>
          <w:color w:val="000000" w:themeColor="text1"/>
        </w:rPr>
        <w:tab/>
        <w:t xml:space="preserve">Johnson, N. </w:t>
      </w:r>
      <w:r w:rsidRPr="00964797">
        <w:rPr>
          <w:i/>
          <w:iCs/>
          <w:color w:val="000000" w:themeColor="text1"/>
        </w:rPr>
        <w:t>et al.</w:t>
      </w:r>
      <w:r w:rsidRPr="00964797">
        <w:rPr>
          <w:color w:val="000000" w:themeColor="text1"/>
        </w:rPr>
        <w:t xml:space="preserve"> A reduced-form approach for representing the impacts of wind and solar PV deployment on the structure and operation of the electricity system. </w:t>
      </w:r>
      <w:r w:rsidRPr="00964797">
        <w:rPr>
          <w:i/>
          <w:iCs/>
          <w:color w:val="000000" w:themeColor="text1"/>
        </w:rPr>
        <w:t>Energy Economics</w:t>
      </w:r>
      <w:r w:rsidRPr="00964797">
        <w:rPr>
          <w:color w:val="000000" w:themeColor="text1"/>
        </w:rPr>
        <w:t xml:space="preserve"> </w:t>
      </w:r>
      <w:r w:rsidRPr="00964797">
        <w:rPr>
          <w:b/>
          <w:bCs/>
          <w:color w:val="000000" w:themeColor="text1"/>
        </w:rPr>
        <w:t>64</w:t>
      </w:r>
      <w:r w:rsidRPr="00964797">
        <w:rPr>
          <w:color w:val="000000" w:themeColor="text1"/>
        </w:rPr>
        <w:t>, 651–664 (2017).</w:t>
      </w:r>
    </w:p>
    <w:p w14:paraId="56081729"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18.</w:t>
      </w:r>
      <w:r w:rsidRPr="00964797">
        <w:rPr>
          <w:color w:val="000000" w:themeColor="text1"/>
        </w:rPr>
        <w:tab/>
        <w:t xml:space="preserve">Sullivan, P., Krey, V. &amp; Riahi, K. Impacts of considering electric sector variability and reliability in the MESSAGE model. </w:t>
      </w:r>
      <w:r w:rsidRPr="00964797">
        <w:rPr>
          <w:i/>
          <w:iCs/>
          <w:color w:val="000000" w:themeColor="text1"/>
        </w:rPr>
        <w:t>Energy Strategy Reviews</w:t>
      </w:r>
      <w:r w:rsidRPr="00964797">
        <w:rPr>
          <w:color w:val="000000" w:themeColor="text1"/>
        </w:rPr>
        <w:t xml:space="preserve"> </w:t>
      </w:r>
      <w:r w:rsidRPr="00964797">
        <w:rPr>
          <w:b/>
          <w:bCs/>
          <w:color w:val="000000" w:themeColor="text1"/>
        </w:rPr>
        <w:t>1</w:t>
      </w:r>
      <w:r w:rsidRPr="00964797">
        <w:rPr>
          <w:color w:val="000000" w:themeColor="text1"/>
        </w:rPr>
        <w:t>, 157–163 (2013).</w:t>
      </w:r>
    </w:p>
    <w:p w14:paraId="0F6D6C2B" w14:textId="77777777" w:rsidR="00964797" w:rsidRPr="00964797" w:rsidRDefault="00964797" w:rsidP="00964797">
      <w:pPr>
        <w:pStyle w:val="Bibliography"/>
        <w:spacing w:line="240" w:lineRule="auto"/>
        <w:ind w:left="0"/>
        <w:rPr>
          <w:color w:val="000000" w:themeColor="text1"/>
        </w:rPr>
      </w:pPr>
      <w:r w:rsidRPr="00964797">
        <w:rPr>
          <w:color w:val="000000" w:themeColor="text1"/>
        </w:rPr>
        <w:t>19.</w:t>
      </w:r>
      <w:r w:rsidRPr="00964797">
        <w:rPr>
          <w:color w:val="000000" w:themeColor="text1"/>
        </w:rPr>
        <w:tab/>
        <w:t xml:space="preserve">Fan, Y. V., Wilson, C. &amp; Kamiya, G. Data Centre Energy Demand Projections within Shared Socioeconomic Pathways. </w:t>
      </w:r>
      <w:r w:rsidRPr="00964797">
        <w:rPr>
          <w:i/>
          <w:iCs/>
          <w:color w:val="000000" w:themeColor="text1"/>
        </w:rPr>
        <w:t>Energy &amp; Climate Change</w:t>
      </w:r>
      <w:r w:rsidRPr="00964797">
        <w:rPr>
          <w:color w:val="000000" w:themeColor="text1"/>
        </w:rPr>
        <w:t xml:space="preserve"> (under review).</w:t>
      </w:r>
    </w:p>
    <w:p w14:paraId="1AFD0096" w14:textId="73DB7327" w:rsidR="00D07086" w:rsidRPr="004F313C" w:rsidRDefault="00964797" w:rsidP="00964797">
      <w:pPr>
        <w:spacing w:line="240" w:lineRule="auto"/>
      </w:pPr>
      <w:r w:rsidRPr="00964797">
        <w:rPr>
          <w:color w:val="000000" w:themeColor="text1"/>
        </w:rPr>
        <w:fldChar w:fldCharType="end"/>
      </w:r>
    </w:p>
    <w:p w14:paraId="6FDAB52E" w14:textId="34450D7E" w:rsidR="00764097" w:rsidRPr="0017390A" w:rsidRDefault="00FF468D" w:rsidP="0017390A">
      <w:pPr>
        <w:spacing w:line="240" w:lineRule="auto"/>
      </w:pPr>
      <w:r w:rsidRPr="004F313C">
        <w:br w:type="page"/>
      </w:r>
    </w:p>
    <w:sectPr w:rsidR="00764097" w:rsidRPr="001739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24131" w14:textId="77777777" w:rsidR="00C2220D" w:rsidRDefault="00C2220D" w:rsidP="00F43091">
      <w:pPr>
        <w:spacing w:line="240" w:lineRule="auto"/>
      </w:pPr>
      <w:r>
        <w:separator/>
      </w:r>
    </w:p>
  </w:endnote>
  <w:endnote w:type="continuationSeparator" w:id="0">
    <w:p w14:paraId="2A3113D3" w14:textId="77777777" w:rsidR="00C2220D" w:rsidRDefault="00C2220D" w:rsidP="00F430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6976845"/>
      <w:docPartObj>
        <w:docPartGallery w:val="Page Numbers (Bottom of Page)"/>
        <w:docPartUnique/>
      </w:docPartObj>
    </w:sdtPr>
    <w:sdtEndPr>
      <w:rPr>
        <w:rStyle w:val="PageNumber"/>
      </w:rPr>
    </w:sdtEndPr>
    <w:sdtContent>
      <w:p w14:paraId="108B0190" w14:textId="4258940C" w:rsidR="00F43091" w:rsidRDefault="00F43091" w:rsidP="00535E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7ACC">
          <w:rPr>
            <w:rStyle w:val="PageNumber"/>
            <w:noProof/>
          </w:rPr>
          <w:t>20</w:t>
        </w:r>
        <w:r>
          <w:rPr>
            <w:rStyle w:val="PageNumber"/>
          </w:rPr>
          <w:fldChar w:fldCharType="end"/>
        </w:r>
      </w:p>
    </w:sdtContent>
  </w:sdt>
  <w:p w14:paraId="11E16FCF" w14:textId="77777777" w:rsidR="00F43091" w:rsidRDefault="00F43091" w:rsidP="00535E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7F7F7F" w:themeColor="text1" w:themeTint="80"/>
        <w:sz w:val="20"/>
      </w:rPr>
      <w:id w:val="516436049"/>
      <w:docPartObj>
        <w:docPartGallery w:val="Page Numbers (Bottom of Page)"/>
        <w:docPartUnique/>
      </w:docPartObj>
    </w:sdtPr>
    <w:sdtEndPr>
      <w:rPr>
        <w:rStyle w:val="PageNumber"/>
        <w:color w:val="000000" w:themeColor="text1"/>
      </w:rPr>
    </w:sdtEndPr>
    <w:sdtContent>
      <w:p w14:paraId="142E54FB" w14:textId="1CB1BF6A" w:rsidR="00F43091" w:rsidRPr="00535E03" w:rsidRDefault="00F43091" w:rsidP="00535E03">
        <w:pPr>
          <w:pStyle w:val="Footer"/>
          <w:framePr w:wrap="none" w:vAnchor="text" w:hAnchor="margin" w:xAlign="right" w:y="1"/>
          <w:rPr>
            <w:rStyle w:val="PageNumber"/>
            <w:color w:val="7F7F7F" w:themeColor="text1" w:themeTint="80"/>
            <w:sz w:val="20"/>
          </w:rPr>
        </w:pPr>
        <w:r w:rsidRPr="00535E03">
          <w:rPr>
            <w:rStyle w:val="PageNumber"/>
            <w:color w:val="7F7F7F" w:themeColor="text1" w:themeTint="80"/>
            <w:sz w:val="20"/>
          </w:rPr>
          <w:fldChar w:fldCharType="begin"/>
        </w:r>
        <w:r w:rsidRPr="00535E03">
          <w:rPr>
            <w:rStyle w:val="PageNumber"/>
            <w:color w:val="7F7F7F" w:themeColor="text1" w:themeTint="80"/>
            <w:sz w:val="20"/>
          </w:rPr>
          <w:instrText xml:space="preserve"> PAGE </w:instrText>
        </w:r>
        <w:r w:rsidRPr="00535E03">
          <w:rPr>
            <w:rStyle w:val="PageNumber"/>
            <w:color w:val="7F7F7F" w:themeColor="text1" w:themeTint="80"/>
            <w:sz w:val="20"/>
          </w:rPr>
          <w:fldChar w:fldCharType="separate"/>
        </w:r>
        <w:r w:rsidRPr="00535E03">
          <w:rPr>
            <w:rStyle w:val="PageNumber"/>
            <w:noProof/>
            <w:color w:val="7F7F7F" w:themeColor="text1" w:themeTint="80"/>
            <w:sz w:val="20"/>
          </w:rPr>
          <w:t>21</w:t>
        </w:r>
        <w:r w:rsidRPr="00535E03">
          <w:rPr>
            <w:rStyle w:val="PageNumber"/>
            <w:color w:val="7F7F7F" w:themeColor="text1" w:themeTint="80"/>
            <w:sz w:val="20"/>
          </w:rPr>
          <w:fldChar w:fldCharType="end"/>
        </w:r>
      </w:p>
    </w:sdtContent>
  </w:sdt>
  <w:p w14:paraId="47D3674A" w14:textId="17D189E1" w:rsidR="00F43091" w:rsidRPr="00535E03" w:rsidRDefault="00EC6AC4" w:rsidP="00535E03">
    <w:pPr>
      <w:pStyle w:val="Footer"/>
      <w:ind w:right="360"/>
      <w:rPr>
        <w:color w:val="7F7F7F" w:themeColor="text1" w:themeTint="80"/>
        <w:sz w:val="20"/>
      </w:rPr>
    </w:pPr>
    <w:r>
      <w:rPr>
        <w:color w:val="7F7F7F" w:themeColor="text1" w:themeTint="80"/>
        <w:sz w:val="20"/>
      </w:rPr>
      <w:t>Submitted manuscript: D</w:t>
    </w:r>
    <w:r w:rsidR="00304181" w:rsidRPr="00535E03">
      <w:rPr>
        <w:color w:val="7F7F7F" w:themeColor="text1" w:themeTint="80"/>
        <w:sz w:val="20"/>
      </w:rPr>
      <w:t>igital</w:t>
    </w:r>
    <w:r>
      <w:rPr>
        <w:color w:val="7F7F7F" w:themeColor="text1" w:themeTint="80"/>
        <w:sz w:val="20"/>
      </w:rPr>
      <w:t xml:space="preserve">isation and AI impacts on long-term </w:t>
    </w:r>
    <w:r w:rsidR="00304181" w:rsidRPr="00535E03">
      <w:rPr>
        <w:color w:val="7F7F7F" w:themeColor="text1" w:themeTint="80"/>
        <w:sz w:val="20"/>
      </w:rPr>
      <w:t>climate</w:t>
    </w:r>
    <w:r w:rsidR="00B82813">
      <w:rPr>
        <w:color w:val="7F7F7F" w:themeColor="text1" w:themeTint="80"/>
        <w:sz w:val="20"/>
      </w:rPr>
      <w:t xml:space="preserve"> </w:t>
    </w:r>
    <w:r>
      <w:rPr>
        <w:color w:val="7F7F7F" w:themeColor="text1" w:themeTint="80"/>
        <w:sz w:val="20"/>
      </w:rPr>
      <w:t>targets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24D3B" w14:textId="77777777" w:rsidR="00C2220D" w:rsidRDefault="00C2220D" w:rsidP="00F43091">
      <w:pPr>
        <w:spacing w:line="240" w:lineRule="auto"/>
      </w:pPr>
      <w:r>
        <w:separator/>
      </w:r>
    </w:p>
  </w:footnote>
  <w:footnote w:type="continuationSeparator" w:id="0">
    <w:p w14:paraId="72DF01A8" w14:textId="77777777" w:rsidR="00C2220D" w:rsidRDefault="00C2220D" w:rsidP="00F4309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C051A"/>
    <w:multiLevelType w:val="multilevel"/>
    <w:tmpl w:val="A3C8A88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1069B"/>
    <w:multiLevelType w:val="hybridMultilevel"/>
    <w:tmpl w:val="37AAE396"/>
    <w:lvl w:ilvl="0" w:tplc="8F3C8CE0">
      <w:start w:val="1"/>
      <w:numFmt w:val="decimal"/>
      <w:lvlText w:val="%1)"/>
      <w:lvlJc w:val="left"/>
      <w:pPr>
        <w:ind w:left="1020" w:hanging="360"/>
      </w:pPr>
    </w:lvl>
    <w:lvl w:ilvl="1" w:tplc="0E263AFE">
      <w:start w:val="1"/>
      <w:numFmt w:val="decimal"/>
      <w:lvlText w:val="%2)"/>
      <w:lvlJc w:val="left"/>
      <w:pPr>
        <w:ind w:left="1020" w:hanging="360"/>
      </w:pPr>
    </w:lvl>
    <w:lvl w:ilvl="2" w:tplc="AE928F9C">
      <w:start w:val="1"/>
      <w:numFmt w:val="decimal"/>
      <w:lvlText w:val="%3)"/>
      <w:lvlJc w:val="left"/>
      <w:pPr>
        <w:ind w:left="1020" w:hanging="360"/>
      </w:pPr>
    </w:lvl>
    <w:lvl w:ilvl="3" w:tplc="B6BE3364">
      <w:start w:val="1"/>
      <w:numFmt w:val="decimal"/>
      <w:lvlText w:val="%4)"/>
      <w:lvlJc w:val="left"/>
      <w:pPr>
        <w:ind w:left="1020" w:hanging="360"/>
      </w:pPr>
    </w:lvl>
    <w:lvl w:ilvl="4" w:tplc="E8163FD0">
      <w:start w:val="1"/>
      <w:numFmt w:val="decimal"/>
      <w:lvlText w:val="%5)"/>
      <w:lvlJc w:val="left"/>
      <w:pPr>
        <w:ind w:left="1020" w:hanging="360"/>
      </w:pPr>
    </w:lvl>
    <w:lvl w:ilvl="5" w:tplc="A06265C8">
      <w:start w:val="1"/>
      <w:numFmt w:val="decimal"/>
      <w:lvlText w:val="%6)"/>
      <w:lvlJc w:val="left"/>
      <w:pPr>
        <w:ind w:left="1020" w:hanging="360"/>
      </w:pPr>
    </w:lvl>
    <w:lvl w:ilvl="6" w:tplc="1A9045F8">
      <w:start w:val="1"/>
      <w:numFmt w:val="decimal"/>
      <w:lvlText w:val="%7)"/>
      <w:lvlJc w:val="left"/>
      <w:pPr>
        <w:ind w:left="1020" w:hanging="360"/>
      </w:pPr>
    </w:lvl>
    <w:lvl w:ilvl="7" w:tplc="C420BA70">
      <w:start w:val="1"/>
      <w:numFmt w:val="decimal"/>
      <w:lvlText w:val="%8)"/>
      <w:lvlJc w:val="left"/>
      <w:pPr>
        <w:ind w:left="1020" w:hanging="360"/>
      </w:pPr>
    </w:lvl>
    <w:lvl w:ilvl="8" w:tplc="EBDAC33C">
      <w:start w:val="1"/>
      <w:numFmt w:val="decimal"/>
      <w:lvlText w:val="%9)"/>
      <w:lvlJc w:val="left"/>
      <w:pPr>
        <w:ind w:left="1020" w:hanging="360"/>
      </w:pPr>
    </w:lvl>
  </w:abstractNum>
  <w:abstractNum w:abstractNumId="2" w15:restartNumberingAfterBreak="0">
    <w:nsid w:val="2BDD6BFE"/>
    <w:multiLevelType w:val="hybridMultilevel"/>
    <w:tmpl w:val="8250C840"/>
    <w:lvl w:ilvl="0" w:tplc="F35A651E">
      <w:start w:val="1"/>
      <w:numFmt w:val="decimal"/>
      <w:lvlText w:val="%1)"/>
      <w:lvlJc w:val="left"/>
      <w:pPr>
        <w:ind w:left="1020" w:hanging="360"/>
      </w:pPr>
    </w:lvl>
    <w:lvl w:ilvl="1" w:tplc="B0808980">
      <w:start w:val="1"/>
      <w:numFmt w:val="decimal"/>
      <w:lvlText w:val="%2)"/>
      <w:lvlJc w:val="left"/>
      <w:pPr>
        <w:ind w:left="1020" w:hanging="360"/>
      </w:pPr>
    </w:lvl>
    <w:lvl w:ilvl="2" w:tplc="5636C6CA">
      <w:start w:val="1"/>
      <w:numFmt w:val="decimal"/>
      <w:lvlText w:val="%3)"/>
      <w:lvlJc w:val="left"/>
      <w:pPr>
        <w:ind w:left="1020" w:hanging="360"/>
      </w:pPr>
    </w:lvl>
    <w:lvl w:ilvl="3" w:tplc="AABEE5AA">
      <w:start w:val="1"/>
      <w:numFmt w:val="decimal"/>
      <w:lvlText w:val="%4)"/>
      <w:lvlJc w:val="left"/>
      <w:pPr>
        <w:ind w:left="1020" w:hanging="360"/>
      </w:pPr>
    </w:lvl>
    <w:lvl w:ilvl="4" w:tplc="541C23BE">
      <w:start w:val="1"/>
      <w:numFmt w:val="decimal"/>
      <w:lvlText w:val="%5)"/>
      <w:lvlJc w:val="left"/>
      <w:pPr>
        <w:ind w:left="1020" w:hanging="360"/>
      </w:pPr>
    </w:lvl>
    <w:lvl w:ilvl="5" w:tplc="B17C7FC6">
      <w:start w:val="1"/>
      <w:numFmt w:val="decimal"/>
      <w:lvlText w:val="%6)"/>
      <w:lvlJc w:val="left"/>
      <w:pPr>
        <w:ind w:left="1020" w:hanging="360"/>
      </w:pPr>
    </w:lvl>
    <w:lvl w:ilvl="6" w:tplc="4E5CAAC8">
      <w:start w:val="1"/>
      <w:numFmt w:val="decimal"/>
      <w:lvlText w:val="%7)"/>
      <w:lvlJc w:val="left"/>
      <w:pPr>
        <w:ind w:left="1020" w:hanging="360"/>
      </w:pPr>
    </w:lvl>
    <w:lvl w:ilvl="7" w:tplc="341A3DC4">
      <w:start w:val="1"/>
      <w:numFmt w:val="decimal"/>
      <w:lvlText w:val="%8)"/>
      <w:lvlJc w:val="left"/>
      <w:pPr>
        <w:ind w:left="1020" w:hanging="360"/>
      </w:pPr>
    </w:lvl>
    <w:lvl w:ilvl="8" w:tplc="D2221270">
      <w:start w:val="1"/>
      <w:numFmt w:val="decimal"/>
      <w:lvlText w:val="%9)"/>
      <w:lvlJc w:val="left"/>
      <w:pPr>
        <w:ind w:left="1020" w:hanging="360"/>
      </w:pPr>
    </w:lvl>
  </w:abstractNum>
  <w:abstractNum w:abstractNumId="3" w15:restartNumberingAfterBreak="0">
    <w:nsid w:val="40763067"/>
    <w:multiLevelType w:val="multilevel"/>
    <w:tmpl w:val="1FFC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4941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6B75930"/>
    <w:multiLevelType w:val="hybridMultilevel"/>
    <w:tmpl w:val="8BBE8D06"/>
    <w:lvl w:ilvl="0" w:tplc="89A629A2">
      <w:start w:val="1"/>
      <w:numFmt w:val="decimal"/>
      <w:lvlText w:val="%1)"/>
      <w:lvlJc w:val="left"/>
      <w:pPr>
        <w:ind w:left="1020" w:hanging="360"/>
      </w:pPr>
    </w:lvl>
    <w:lvl w:ilvl="1" w:tplc="7F38E8A8">
      <w:start w:val="1"/>
      <w:numFmt w:val="decimal"/>
      <w:lvlText w:val="%2)"/>
      <w:lvlJc w:val="left"/>
      <w:pPr>
        <w:ind w:left="1020" w:hanging="360"/>
      </w:pPr>
    </w:lvl>
    <w:lvl w:ilvl="2" w:tplc="2C925DA0">
      <w:start w:val="1"/>
      <w:numFmt w:val="decimal"/>
      <w:lvlText w:val="%3)"/>
      <w:lvlJc w:val="left"/>
      <w:pPr>
        <w:ind w:left="1020" w:hanging="360"/>
      </w:pPr>
    </w:lvl>
    <w:lvl w:ilvl="3" w:tplc="479EE4F6">
      <w:start w:val="1"/>
      <w:numFmt w:val="decimal"/>
      <w:lvlText w:val="%4)"/>
      <w:lvlJc w:val="left"/>
      <w:pPr>
        <w:ind w:left="1020" w:hanging="360"/>
      </w:pPr>
    </w:lvl>
    <w:lvl w:ilvl="4" w:tplc="775C7130">
      <w:start w:val="1"/>
      <w:numFmt w:val="decimal"/>
      <w:lvlText w:val="%5)"/>
      <w:lvlJc w:val="left"/>
      <w:pPr>
        <w:ind w:left="1020" w:hanging="360"/>
      </w:pPr>
    </w:lvl>
    <w:lvl w:ilvl="5" w:tplc="B7C474E6">
      <w:start w:val="1"/>
      <w:numFmt w:val="decimal"/>
      <w:lvlText w:val="%6)"/>
      <w:lvlJc w:val="left"/>
      <w:pPr>
        <w:ind w:left="1020" w:hanging="360"/>
      </w:pPr>
    </w:lvl>
    <w:lvl w:ilvl="6" w:tplc="0DE66DB6">
      <w:start w:val="1"/>
      <w:numFmt w:val="decimal"/>
      <w:lvlText w:val="%7)"/>
      <w:lvlJc w:val="left"/>
      <w:pPr>
        <w:ind w:left="1020" w:hanging="360"/>
      </w:pPr>
    </w:lvl>
    <w:lvl w:ilvl="7" w:tplc="49546DC2">
      <w:start w:val="1"/>
      <w:numFmt w:val="decimal"/>
      <w:lvlText w:val="%8)"/>
      <w:lvlJc w:val="left"/>
      <w:pPr>
        <w:ind w:left="1020" w:hanging="360"/>
      </w:pPr>
    </w:lvl>
    <w:lvl w:ilvl="8" w:tplc="188296BE">
      <w:start w:val="1"/>
      <w:numFmt w:val="decimal"/>
      <w:lvlText w:val="%9)"/>
      <w:lvlJc w:val="left"/>
      <w:pPr>
        <w:ind w:left="1020" w:hanging="360"/>
      </w:pPr>
    </w:lvl>
  </w:abstractNum>
  <w:abstractNum w:abstractNumId="6" w15:restartNumberingAfterBreak="0">
    <w:nsid w:val="6E8359A8"/>
    <w:multiLevelType w:val="hybridMultilevel"/>
    <w:tmpl w:val="A3C8A88C"/>
    <w:lvl w:ilvl="0" w:tplc="574A2D4E">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A517F5"/>
    <w:multiLevelType w:val="multilevel"/>
    <w:tmpl w:val="6EB2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3182791">
    <w:abstractNumId w:val="4"/>
  </w:num>
  <w:num w:numId="2" w16cid:durableId="1011491384">
    <w:abstractNumId w:val="6"/>
  </w:num>
  <w:num w:numId="3" w16cid:durableId="2069067225">
    <w:abstractNumId w:val="6"/>
  </w:num>
  <w:num w:numId="4" w16cid:durableId="547299807">
    <w:abstractNumId w:val="6"/>
  </w:num>
  <w:num w:numId="5" w16cid:durableId="1017654906">
    <w:abstractNumId w:val="5"/>
  </w:num>
  <w:num w:numId="6" w16cid:durableId="1255355384">
    <w:abstractNumId w:val="2"/>
  </w:num>
  <w:num w:numId="7" w16cid:durableId="873888097">
    <w:abstractNumId w:val="1"/>
  </w:num>
  <w:num w:numId="8" w16cid:durableId="164320309">
    <w:abstractNumId w:val="7"/>
  </w:num>
  <w:num w:numId="9" w16cid:durableId="1363895595">
    <w:abstractNumId w:val="3"/>
  </w:num>
  <w:num w:numId="10" w16cid:durableId="187407018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1DF"/>
    <w:rsid w:val="00000154"/>
    <w:rsid w:val="000002C4"/>
    <w:rsid w:val="000009AF"/>
    <w:rsid w:val="00000AB4"/>
    <w:rsid w:val="00000B7D"/>
    <w:rsid w:val="00000D0D"/>
    <w:rsid w:val="000015C6"/>
    <w:rsid w:val="00001AAE"/>
    <w:rsid w:val="00001AB6"/>
    <w:rsid w:val="00001D0C"/>
    <w:rsid w:val="00002297"/>
    <w:rsid w:val="00002536"/>
    <w:rsid w:val="00002F8B"/>
    <w:rsid w:val="00003353"/>
    <w:rsid w:val="000037B6"/>
    <w:rsid w:val="00003856"/>
    <w:rsid w:val="0000397B"/>
    <w:rsid w:val="000040D0"/>
    <w:rsid w:val="00004347"/>
    <w:rsid w:val="0000434E"/>
    <w:rsid w:val="000046CD"/>
    <w:rsid w:val="00004708"/>
    <w:rsid w:val="00004C70"/>
    <w:rsid w:val="00004D96"/>
    <w:rsid w:val="00005069"/>
    <w:rsid w:val="000052EA"/>
    <w:rsid w:val="0000565D"/>
    <w:rsid w:val="0000593B"/>
    <w:rsid w:val="00005955"/>
    <w:rsid w:val="00005998"/>
    <w:rsid w:val="00005B5A"/>
    <w:rsid w:val="00005D23"/>
    <w:rsid w:val="000061A3"/>
    <w:rsid w:val="00006684"/>
    <w:rsid w:val="00006ACF"/>
    <w:rsid w:val="00006BD7"/>
    <w:rsid w:val="00006EF9"/>
    <w:rsid w:val="0000763D"/>
    <w:rsid w:val="000079BA"/>
    <w:rsid w:val="00007C94"/>
    <w:rsid w:val="00007ED7"/>
    <w:rsid w:val="00010134"/>
    <w:rsid w:val="000103C2"/>
    <w:rsid w:val="000103FC"/>
    <w:rsid w:val="00010802"/>
    <w:rsid w:val="00010A77"/>
    <w:rsid w:val="00010B4D"/>
    <w:rsid w:val="00011283"/>
    <w:rsid w:val="00011C8F"/>
    <w:rsid w:val="00011CB2"/>
    <w:rsid w:val="00011D58"/>
    <w:rsid w:val="00012406"/>
    <w:rsid w:val="000124A2"/>
    <w:rsid w:val="00012DFD"/>
    <w:rsid w:val="00012EF2"/>
    <w:rsid w:val="00013237"/>
    <w:rsid w:val="00014389"/>
    <w:rsid w:val="000147C8"/>
    <w:rsid w:val="00014AA1"/>
    <w:rsid w:val="00014DA9"/>
    <w:rsid w:val="00015162"/>
    <w:rsid w:val="000151EE"/>
    <w:rsid w:val="00015374"/>
    <w:rsid w:val="000161A3"/>
    <w:rsid w:val="00016533"/>
    <w:rsid w:val="0001666F"/>
    <w:rsid w:val="0001701C"/>
    <w:rsid w:val="0001716D"/>
    <w:rsid w:val="000172DD"/>
    <w:rsid w:val="000173C0"/>
    <w:rsid w:val="0001750B"/>
    <w:rsid w:val="00017741"/>
    <w:rsid w:val="00017F61"/>
    <w:rsid w:val="0002017F"/>
    <w:rsid w:val="00020437"/>
    <w:rsid w:val="00020CB6"/>
    <w:rsid w:val="000210D2"/>
    <w:rsid w:val="00021458"/>
    <w:rsid w:val="000215EF"/>
    <w:rsid w:val="0002186E"/>
    <w:rsid w:val="00021B32"/>
    <w:rsid w:val="0002204A"/>
    <w:rsid w:val="00022906"/>
    <w:rsid w:val="00022D08"/>
    <w:rsid w:val="00023306"/>
    <w:rsid w:val="0002405C"/>
    <w:rsid w:val="0002467C"/>
    <w:rsid w:val="00024F13"/>
    <w:rsid w:val="000251E4"/>
    <w:rsid w:val="000255B0"/>
    <w:rsid w:val="00025869"/>
    <w:rsid w:val="00025D16"/>
    <w:rsid w:val="00025DA9"/>
    <w:rsid w:val="00025E9C"/>
    <w:rsid w:val="00026562"/>
    <w:rsid w:val="00026721"/>
    <w:rsid w:val="0002694E"/>
    <w:rsid w:val="00026EBF"/>
    <w:rsid w:val="00027514"/>
    <w:rsid w:val="00027567"/>
    <w:rsid w:val="00027656"/>
    <w:rsid w:val="000278EF"/>
    <w:rsid w:val="000300B6"/>
    <w:rsid w:val="000301A0"/>
    <w:rsid w:val="000302EA"/>
    <w:rsid w:val="000306F4"/>
    <w:rsid w:val="00030842"/>
    <w:rsid w:val="000308D0"/>
    <w:rsid w:val="00030B08"/>
    <w:rsid w:val="00030B16"/>
    <w:rsid w:val="00030C1E"/>
    <w:rsid w:val="00030D62"/>
    <w:rsid w:val="0003105D"/>
    <w:rsid w:val="0003129B"/>
    <w:rsid w:val="0003147D"/>
    <w:rsid w:val="00031890"/>
    <w:rsid w:val="00032154"/>
    <w:rsid w:val="000325B9"/>
    <w:rsid w:val="00032846"/>
    <w:rsid w:val="000328ED"/>
    <w:rsid w:val="00032E77"/>
    <w:rsid w:val="00032FD2"/>
    <w:rsid w:val="00033B05"/>
    <w:rsid w:val="00033F92"/>
    <w:rsid w:val="0003428F"/>
    <w:rsid w:val="0003458F"/>
    <w:rsid w:val="000345D8"/>
    <w:rsid w:val="00034A3B"/>
    <w:rsid w:val="00034D5C"/>
    <w:rsid w:val="00034EB4"/>
    <w:rsid w:val="00035552"/>
    <w:rsid w:val="000359DD"/>
    <w:rsid w:val="00035A03"/>
    <w:rsid w:val="00036356"/>
    <w:rsid w:val="000363D0"/>
    <w:rsid w:val="000364B8"/>
    <w:rsid w:val="0003659C"/>
    <w:rsid w:val="00037162"/>
    <w:rsid w:val="00037220"/>
    <w:rsid w:val="00037562"/>
    <w:rsid w:val="000379F2"/>
    <w:rsid w:val="00037EEB"/>
    <w:rsid w:val="00037F87"/>
    <w:rsid w:val="0004015B"/>
    <w:rsid w:val="000404A4"/>
    <w:rsid w:val="00040BE2"/>
    <w:rsid w:val="00041119"/>
    <w:rsid w:val="00041555"/>
    <w:rsid w:val="000416F1"/>
    <w:rsid w:val="00041EEA"/>
    <w:rsid w:val="000428ED"/>
    <w:rsid w:val="00042924"/>
    <w:rsid w:val="00042990"/>
    <w:rsid w:val="00042E9D"/>
    <w:rsid w:val="00042F61"/>
    <w:rsid w:val="00043D05"/>
    <w:rsid w:val="000443BB"/>
    <w:rsid w:val="00044434"/>
    <w:rsid w:val="00044470"/>
    <w:rsid w:val="00044ECD"/>
    <w:rsid w:val="00045199"/>
    <w:rsid w:val="000453EC"/>
    <w:rsid w:val="000455E4"/>
    <w:rsid w:val="00045B53"/>
    <w:rsid w:val="00046A42"/>
    <w:rsid w:val="00046DF1"/>
    <w:rsid w:val="00046F17"/>
    <w:rsid w:val="000474FD"/>
    <w:rsid w:val="00047678"/>
    <w:rsid w:val="000477D3"/>
    <w:rsid w:val="00050563"/>
    <w:rsid w:val="00050859"/>
    <w:rsid w:val="00050A82"/>
    <w:rsid w:val="00050F38"/>
    <w:rsid w:val="00051826"/>
    <w:rsid w:val="00051D9D"/>
    <w:rsid w:val="000524FC"/>
    <w:rsid w:val="00052734"/>
    <w:rsid w:val="00052BEE"/>
    <w:rsid w:val="00052E85"/>
    <w:rsid w:val="000539ED"/>
    <w:rsid w:val="00053A0B"/>
    <w:rsid w:val="00053E70"/>
    <w:rsid w:val="00053F39"/>
    <w:rsid w:val="0005478D"/>
    <w:rsid w:val="00054A0F"/>
    <w:rsid w:val="00054DC8"/>
    <w:rsid w:val="0005585A"/>
    <w:rsid w:val="00055D0E"/>
    <w:rsid w:val="00055DCB"/>
    <w:rsid w:val="00055F3C"/>
    <w:rsid w:val="000566BB"/>
    <w:rsid w:val="00056753"/>
    <w:rsid w:val="000568D3"/>
    <w:rsid w:val="00056B13"/>
    <w:rsid w:val="00056F2B"/>
    <w:rsid w:val="00056F30"/>
    <w:rsid w:val="00057445"/>
    <w:rsid w:val="00057793"/>
    <w:rsid w:val="000577A1"/>
    <w:rsid w:val="00057C7B"/>
    <w:rsid w:val="00060CCA"/>
    <w:rsid w:val="0006166D"/>
    <w:rsid w:val="00061F2A"/>
    <w:rsid w:val="000620D9"/>
    <w:rsid w:val="0006240D"/>
    <w:rsid w:val="00062655"/>
    <w:rsid w:val="00062F0B"/>
    <w:rsid w:val="0006323A"/>
    <w:rsid w:val="000638B3"/>
    <w:rsid w:val="00063A97"/>
    <w:rsid w:val="00063FD0"/>
    <w:rsid w:val="00064343"/>
    <w:rsid w:val="000647F5"/>
    <w:rsid w:val="00064B03"/>
    <w:rsid w:val="000654D6"/>
    <w:rsid w:val="00065FAE"/>
    <w:rsid w:val="00066356"/>
    <w:rsid w:val="0006681C"/>
    <w:rsid w:val="00066948"/>
    <w:rsid w:val="00067004"/>
    <w:rsid w:val="00067329"/>
    <w:rsid w:val="00067B22"/>
    <w:rsid w:val="00070392"/>
    <w:rsid w:val="000703F6"/>
    <w:rsid w:val="00070439"/>
    <w:rsid w:val="000708A8"/>
    <w:rsid w:val="0007097B"/>
    <w:rsid w:val="00070BA5"/>
    <w:rsid w:val="00070F35"/>
    <w:rsid w:val="00070F85"/>
    <w:rsid w:val="000710A4"/>
    <w:rsid w:val="000712F9"/>
    <w:rsid w:val="00071669"/>
    <w:rsid w:val="00071BD7"/>
    <w:rsid w:val="00071C72"/>
    <w:rsid w:val="000720C8"/>
    <w:rsid w:val="000720F0"/>
    <w:rsid w:val="00072305"/>
    <w:rsid w:val="000724E4"/>
    <w:rsid w:val="000724ED"/>
    <w:rsid w:val="00072A37"/>
    <w:rsid w:val="0007305E"/>
    <w:rsid w:val="000732E1"/>
    <w:rsid w:val="000738E7"/>
    <w:rsid w:val="0007399D"/>
    <w:rsid w:val="00074820"/>
    <w:rsid w:val="00074DC1"/>
    <w:rsid w:val="00074FFA"/>
    <w:rsid w:val="0007501A"/>
    <w:rsid w:val="0007511D"/>
    <w:rsid w:val="000757C0"/>
    <w:rsid w:val="00075A01"/>
    <w:rsid w:val="00075A06"/>
    <w:rsid w:val="00075A08"/>
    <w:rsid w:val="000760D3"/>
    <w:rsid w:val="000769D8"/>
    <w:rsid w:val="00077051"/>
    <w:rsid w:val="00077531"/>
    <w:rsid w:val="00077E5F"/>
    <w:rsid w:val="00077F08"/>
    <w:rsid w:val="00080113"/>
    <w:rsid w:val="0008026B"/>
    <w:rsid w:val="00080386"/>
    <w:rsid w:val="000803B0"/>
    <w:rsid w:val="000808B6"/>
    <w:rsid w:val="00080E90"/>
    <w:rsid w:val="000811F9"/>
    <w:rsid w:val="00081263"/>
    <w:rsid w:val="00081593"/>
    <w:rsid w:val="000815AC"/>
    <w:rsid w:val="00081643"/>
    <w:rsid w:val="000818FA"/>
    <w:rsid w:val="00081972"/>
    <w:rsid w:val="00081BAE"/>
    <w:rsid w:val="00081D3C"/>
    <w:rsid w:val="00081E60"/>
    <w:rsid w:val="00082496"/>
    <w:rsid w:val="000827A6"/>
    <w:rsid w:val="00082ACE"/>
    <w:rsid w:val="00082B37"/>
    <w:rsid w:val="00082BAF"/>
    <w:rsid w:val="00082C0F"/>
    <w:rsid w:val="00082CB0"/>
    <w:rsid w:val="0008398D"/>
    <w:rsid w:val="00083E30"/>
    <w:rsid w:val="0008411B"/>
    <w:rsid w:val="00084828"/>
    <w:rsid w:val="00084B21"/>
    <w:rsid w:val="00085306"/>
    <w:rsid w:val="0008543C"/>
    <w:rsid w:val="000855E1"/>
    <w:rsid w:val="00085693"/>
    <w:rsid w:val="00085C3F"/>
    <w:rsid w:val="0008640E"/>
    <w:rsid w:val="000864B9"/>
    <w:rsid w:val="000864F7"/>
    <w:rsid w:val="00086C0E"/>
    <w:rsid w:val="00086E54"/>
    <w:rsid w:val="00086F7B"/>
    <w:rsid w:val="00086FC8"/>
    <w:rsid w:val="000876D7"/>
    <w:rsid w:val="00087877"/>
    <w:rsid w:val="00087DC2"/>
    <w:rsid w:val="00087F28"/>
    <w:rsid w:val="000907A6"/>
    <w:rsid w:val="00090EA6"/>
    <w:rsid w:val="00091187"/>
    <w:rsid w:val="000912A1"/>
    <w:rsid w:val="00091DE6"/>
    <w:rsid w:val="0009259D"/>
    <w:rsid w:val="000929BE"/>
    <w:rsid w:val="00092B92"/>
    <w:rsid w:val="00092C91"/>
    <w:rsid w:val="00092F67"/>
    <w:rsid w:val="00093304"/>
    <w:rsid w:val="0009339F"/>
    <w:rsid w:val="000935F3"/>
    <w:rsid w:val="00094213"/>
    <w:rsid w:val="00094394"/>
    <w:rsid w:val="000945CA"/>
    <w:rsid w:val="00094915"/>
    <w:rsid w:val="000951C9"/>
    <w:rsid w:val="0009535A"/>
    <w:rsid w:val="0009536F"/>
    <w:rsid w:val="00095A74"/>
    <w:rsid w:val="00095F25"/>
    <w:rsid w:val="00096C6B"/>
    <w:rsid w:val="00096E13"/>
    <w:rsid w:val="0009713D"/>
    <w:rsid w:val="0009757F"/>
    <w:rsid w:val="000A02A9"/>
    <w:rsid w:val="000A059D"/>
    <w:rsid w:val="000A07A8"/>
    <w:rsid w:val="000A07AD"/>
    <w:rsid w:val="000A0B37"/>
    <w:rsid w:val="000A0D6B"/>
    <w:rsid w:val="000A125B"/>
    <w:rsid w:val="000A1406"/>
    <w:rsid w:val="000A1A08"/>
    <w:rsid w:val="000A1E84"/>
    <w:rsid w:val="000A2362"/>
    <w:rsid w:val="000A27C5"/>
    <w:rsid w:val="000A2A05"/>
    <w:rsid w:val="000A2FE8"/>
    <w:rsid w:val="000A3309"/>
    <w:rsid w:val="000A3374"/>
    <w:rsid w:val="000A3685"/>
    <w:rsid w:val="000A376E"/>
    <w:rsid w:val="000A38D5"/>
    <w:rsid w:val="000A3A20"/>
    <w:rsid w:val="000A3C00"/>
    <w:rsid w:val="000A3CC4"/>
    <w:rsid w:val="000A3E43"/>
    <w:rsid w:val="000A3E50"/>
    <w:rsid w:val="000A3F93"/>
    <w:rsid w:val="000A40D0"/>
    <w:rsid w:val="000A4170"/>
    <w:rsid w:val="000A4229"/>
    <w:rsid w:val="000A4472"/>
    <w:rsid w:val="000A4795"/>
    <w:rsid w:val="000A4B9E"/>
    <w:rsid w:val="000A4C30"/>
    <w:rsid w:val="000A4DE4"/>
    <w:rsid w:val="000A4E72"/>
    <w:rsid w:val="000A51D4"/>
    <w:rsid w:val="000A6204"/>
    <w:rsid w:val="000A67F4"/>
    <w:rsid w:val="000A6D09"/>
    <w:rsid w:val="000A71C9"/>
    <w:rsid w:val="000A72FF"/>
    <w:rsid w:val="000A7740"/>
    <w:rsid w:val="000A7EB3"/>
    <w:rsid w:val="000B02AC"/>
    <w:rsid w:val="000B0666"/>
    <w:rsid w:val="000B0D71"/>
    <w:rsid w:val="000B107D"/>
    <w:rsid w:val="000B1B56"/>
    <w:rsid w:val="000B237B"/>
    <w:rsid w:val="000B23E5"/>
    <w:rsid w:val="000B271A"/>
    <w:rsid w:val="000B2DCC"/>
    <w:rsid w:val="000B3064"/>
    <w:rsid w:val="000B365B"/>
    <w:rsid w:val="000B390F"/>
    <w:rsid w:val="000B4879"/>
    <w:rsid w:val="000B54F6"/>
    <w:rsid w:val="000B593E"/>
    <w:rsid w:val="000B60BA"/>
    <w:rsid w:val="000B63A5"/>
    <w:rsid w:val="000B63C2"/>
    <w:rsid w:val="000B6C81"/>
    <w:rsid w:val="000B75CA"/>
    <w:rsid w:val="000B78D7"/>
    <w:rsid w:val="000B7B22"/>
    <w:rsid w:val="000C032A"/>
    <w:rsid w:val="000C0914"/>
    <w:rsid w:val="000C09A6"/>
    <w:rsid w:val="000C0F56"/>
    <w:rsid w:val="000C18C4"/>
    <w:rsid w:val="000C1AC3"/>
    <w:rsid w:val="000C1D11"/>
    <w:rsid w:val="000C263A"/>
    <w:rsid w:val="000C28B8"/>
    <w:rsid w:val="000C33E2"/>
    <w:rsid w:val="000C39FA"/>
    <w:rsid w:val="000C3C64"/>
    <w:rsid w:val="000C4192"/>
    <w:rsid w:val="000C44F5"/>
    <w:rsid w:val="000C460F"/>
    <w:rsid w:val="000C480D"/>
    <w:rsid w:val="000C4CE6"/>
    <w:rsid w:val="000C52D8"/>
    <w:rsid w:val="000C543B"/>
    <w:rsid w:val="000C58EF"/>
    <w:rsid w:val="000C5AA6"/>
    <w:rsid w:val="000C5B9C"/>
    <w:rsid w:val="000C6339"/>
    <w:rsid w:val="000C67F7"/>
    <w:rsid w:val="000C7998"/>
    <w:rsid w:val="000C7C1C"/>
    <w:rsid w:val="000C7D89"/>
    <w:rsid w:val="000D0020"/>
    <w:rsid w:val="000D0116"/>
    <w:rsid w:val="000D0639"/>
    <w:rsid w:val="000D0C80"/>
    <w:rsid w:val="000D11DF"/>
    <w:rsid w:val="000D187B"/>
    <w:rsid w:val="000D1AB6"/>
    <w:rsid w:val="000D1E05"/>
    <w:rsid w:val="000D1E5E"/>
    <w:rsid w:val="000D2FDA"/>
    <w:rsid w:val="000D3C75"/>
    <w:rsid w:val="000D4051"/>
    <w:rsid w:val="000D48DB"/>
    <w:rsid w:val="000D5058"/>
    <w:rsid w:val="000D55CF"/>
    <w:rsid w:val="000D58AB"/>
    <w:rsid w:val="000D5ADC"/>
    <w:rsid w:val="000D5EB3"/>
    <w:rsid w:val="000D5F4A"/>
    <w:rsid w:val="000D6345"/>
    <w:rsid w:val="000D65D1"/>
    <w:rsid w:val="000D69C9"/>
    <w:rsid w:val="000D6CD1"/>
    <w:rsid w:val="000D719F"/>
    <w:rsid w:val="000D7866"/>
    <w:rsid w:val="000D7968"/>
    <w:rsid w:val="000D7994"/>
    <w:rsid w:val="000D7B4B"/>
    <w:rsid w:val="000E0115"/>
    <w:rsid w:val="000E0632"/>
    <w:rsid w:val="000E0913"/>
    <w:rsid w:val="000E0B9F"/>
    <w:rsid w:val="000E0CDC"/>
    <w:rsid w:val="000E0FD3"/>
    <w:rsid w:val="000E1267"/>
    <w:rsid w:val="000E14F4"/>
    <w:rsid w:val="000E15F3"/>
    <w:rsid w:val="000E1B19"/>
    <w:rsid w:val="000E1B3C"/>
    <w:rsid w:val="000E21E3"/>
    <w:rsid w:val="000E237A"/>
    <w:rsid w:val="000E2480"/>
    <w:rsid w:val="000E2640"/>
    <w:rsid w:val="000E264C"/>
    <w:rsid w:val="000E2ACA"/>
    <w:rsid w:val="000E2BA9"/>
    <w:rsid w:val="000E3086"/>
    <w:rsid w:val="000E31D0"/>
    <w:rsid w:val="000E3502"/>
    <w:rsid w:val="000E3D32"/>
    <w:rsid w:val="000E43A2"/>
    <w:rsid w:val="000E4C51"/>
    <w:rsid w:val="000E4C53"/>
    <w:rsid w:val="000E500D"/>
    <w:rsid w:val="000E5232"/>
    <w:rsid w:val="000E52A5"/>
    <w:rsid w:val="000E5BF6"/>
    <w:rsid w:val="000E5C5C"/>
    <w:rsid w:val="000E5CE7"/>
    <w:rsid w:val="000E6A77"/>
    <w:rsid w:val="000E76BF"/>
    <w:rsid w:val="000E790B"/>
    <w:rsid w:val="000E7BB6"/>
    <w:rsid w:val="000E7D8E"/>
    <w:rsid w:val="000F09B2"/>
    <w:rsid w:val="000F1308"/>
    <w:rsid w:val="000F15CE"/>
    <w:rsid w:val="000F1805"/>
    <w:rsid w:val="000F1C20"/>
    <w:rsid w:val="000F1D42"/>
    <w:rsid w:val="000F23A0"/>
    <w:rsid w:val="000F26D0"/>
    <w:rsid w:val="000F289D"/>
    <w:rsid w:val="000F2CC5"/>
    <w:rsid w:val="000F2E7F"/>
    <w:rsid w:val="000F2F4B"/>
    <w:rsid w:val="000F377A"/>
    <w:rsid w:val="000F37DB"/>
    <w:rsid w:val="000F3AFE"/>
    <w:rsid w:val="000F3C7B"/>
    <w:rsid w:val="000F3F6F"/>
    <w:rsid w:val="000F4E71"/>
    <w:rsid w:val="000F505F"/>
    <w:rsid w:val="000F5141"/>
    <w:rsid w:val="000F5610"/>
    <w:rsid w:val="000F5796"/>
    <w:rsid w:val="000F58FC"/>
    <w:rsid w:val="000F60A2"/>
    <w:rsid w:val="000F638F"/>
    <w:rsid w:val="000F6653"/>
    <w:rsid w:val="000F6721"/>
    <w:rsid w:val="000F72A1"/>
    <w:rsid w:val="000F7398"/>
    <w:rsid w:val="000F7601"/>
    <w:rsid w:val="000F77D2"/>
    <w:rsid w:val="000F7814"/>
    <w:rsid w:val="000F78F5"/>
    <w:rsid w:val="001000F5"/>
    <w:rsid w:val="00100178"/>
    <w:rsid w:val="001001FF"/>
    <w:rsid w:val="001002C9"/>
    <w:rsid w:val="0010035F"/>
    <w:rsid w:val="00100739"/>
    <w:rsid w:val="0010099A"/>
    <w:rsid w:val="00101548"/>
    <w:rsid w:val="00101623"/>
    <w:rsid w:val="001020BD"/>
    <w:rsid w:val="001022D8"/>
    <w:rsid w:val="0010237C"/>
    <w:rsid w:val="0010254C"/>
    <w:rsid w:val="00102761"/>
    <w:rsid w:val="00102A86"/>
    <w:rsid w:val="00102B48"/>
    <w:rsid w:val="00102E55"/>
    <w:rsid w:val="0010328E"/>
    <w:rsid w:val="00103825"/>
    <w:rsid w:val="001038EE"/>
    <w:rsid w:val="001039C8"/>
    <w:rsid w:val="0010412E"/>
    <w:rsid w:val="00104731"/>
    <w:rsid w:val="00104791"/>
    <w:rsid w:val="001048C1"/>
    <w:rsid w:val="00104C28"/>
    <w:rsid w:val="001050A8"/>
    <w:rsid w:val="0010511B"/>
    <w:rsid w:val="00106130"/>
    <w:rsid w:val="001065FE"/>
    <w:rsid w:val="00106EF8"/>
    <w:rsid w:val="001076F9"/>
    <w:rsid w:val="001077AA"/>
    <w:rsid w:val="0010783A"/>
    <w:rsid w:val="00107BCF"/>
    <w:rsid w:val="00107DF3"/>
    <w:rsid w:val="0011004F"/>
    <w:rsid w:val="00110073"/>
    <w:rsid w:val="00110FC2"/>
    <w:rsid w:val="001112AC"/>
    <w:rsid w:val="001115AB"/>
    <w:rsid w:val="0011193A"/>
    <w:rsid w:val="00111BB0"/>
    <w:rsid w:val="0011223C"/>
    <w:rsid w:val="00112789"/>
    <w:rsid w:val="001129F9"/>
    <w:rsid w:val="00112C0E"/>
    <w:rsid w:val="00113321"/>
    <w:rsid w:val="001136E2"/>
    <w:rsid w:val="00113742"/>
    <w:rsid w:val="00113A52"/>
    <w:rsid w:val="00113B86"/>
    <w:rsid w:val="00113D25"/>
    <w:rsid w:val="00114206"/>
    <w:rsid w:val="00114788"/>
    <w:rsid w:val="00114852"/>
    <w:rsid w:val="0011524C"/>
    <w:rsid w:val="001156D5"/>
    <w:rsid w:val="001156E8"/>
    <w:rsid w:val="00115D38"/>
    <w:rsid w:val="00116A6D"/>
    <w:rsid w:val="00120876"/>
    <w:rsid w:val="0012092F"/>
    <w:rsid w:val="00120F88"/>
    <w:rsid w:val="00121137"/>
    <w:rsid w:val="00121358"/>
    <w:rsid w:val="001220C0"/>
    <w:rsid w:val="0012218C"/>
    <w:rsid w:val="00122D4C"/>
    <w:rsid w:val="00122D61"/>
    <w:rsid w:val="00122FD8"/>
    <w:rsid w:val="001230A1"/>
    <w:rsid w:val="0012324A"/>
    <w:rsid w:val="00123541"/>
    <w:rsid w:val="0012364E"/>
    <w:rsid w:val="001236CC"/>
    <w:rsid w:val="001236FD"/>
    <w:rsid w:val="0012378A"/>
    <w:rsid w:val="00123986"/>
    <w:rsid w:val="00123B6F"/>
    <w:rsid w:val="00123CA5"/>
    <w:rsid w:val="00123CFB"/>
    <w:rsid w:val="00123EDC"/>
    <w:rsid w:val="00124484"/>
    <w:rsid w:val="0012453A"/>
    <w:rsid w:val="00124595"/>
    <w:rsid w:val="001246B7"/>
    <w:rsid w:val="001246BD"/>
    <w:rsid w:val="0012477E"/>
    <w:rsid w:val="00124B26"/>
    <w:rsid w:val="00124B89"/>
    <w:rsid w:val="00124C29"/>
    <w:rsid w:val="00124E2E"/>
    <w:rsid w:val="00124E37"/>
    <w:rsid w:val="00124EDD"/>
    <w:rsid w:val="001251A4"/>
    <w:rsid w:val="00125226"/>
    <w:rsid w:val="0012544A"/>
    <w:rsid w:val="001257A5"/>
    <w:rsid w:val="00125828"/>
    <w:rsid w:val="00125A54"/>
    <w:rsid w:val="00125D2B"/>
    <w:rsid w:val="00125DF5"/>
    <w:rsid w:val="0012639E"/>
    <w:rsid w:val="0012682C"/>
    <w:rsid w:val="00126985"/>
    <w:rsid w:val="00126AC4"/>
    <w:rsid w:val="00126B38"/>
    <w:rsid w:val="00126CCD"/>
    <w:rsid w:val="00126CEC"/>
    <w:rsid w:val="0012720B"/>
    <w:rsid w:val="00127227"/>
    <w:rsid w:val="00127818"/>
    <w:rsid w:val="001278DD"/>
    <w:rsid w:val="0012793A"/>
    <w:rsid w:val="00127A35"/>
    <w:rsid w:val="00127A48"/>
    <w:rsid w:val="00127AD1"/>
    <w:rsid w:val="00130175"/>
    <w:rsid w:val="001308C1"/>
    <w:rsid w:val="00130B4F"/>
    <w:rsid w:val="00130C01"/>
    <w:rsid w:val="00130E7E"/>
    <w:rsid w:val="00130F5E"/>
    <w:rsid w:val="00131094"/>
    <w:rsid w:val="00131191"/>
    <w:rsid w:val="0013172B"/>
    <w:rsid w:val="00131CA3"/>
    <w:rsid w:val="001323C9"/>
    <w:rsid w:val="00133048"/>
    <w:rsid w:val="00133316"/>
    <w:rsid w:val="00133804"/>
    <w:rsid w:val="0013382E"/>
    <w:rsid w:val="00133D38"/>
    <w:rsid w:val="00133DBF"/>
    <w:rsid w:val="00133F44"/>
    <w:rsid w:val="00134293"/>
    <w:rsid w:val="00135164"/>
    <w:rsid w:val="001357C7"/>
    <w:rsid w:val="00135B30"/>
    <w:rsid w:val="00136184"/>
    <w:rsid w:val="00136298"/>
    <w:rsid w:val="0013658E"/>
    <w:rsid w:val="001367F0"/>
    <w:rsid w:val="00136C81"/>
    <w:rsid w:val="00136F46"/>
    <w:rsid w:val="00137468"/>
    <w:rsid w:val="00137547"/>
    <w:rsid w:val="001403BA"/>
    <w:rsid w:val="00140461"/>
    <w:rsid w:val="00140BF5"/>
    <w:rsid w:val="001415F0"/>
    <w:rsid w:val="00141A5B"/>
    <w:rsid w:val="00141CE0"/>
    <w:rsid w:val="001422E9"/>
    <w:rsid w:val="00142350"/>
    <w:rsid w:val="001428D3"/>
    <w:rsid w:val="00142AF8"/>
    <w:rsid w:val="00142C52"/>
    <w:rsid w:val="00142D2B"/>
    <w:rsid w:val="00142D92"/>
    <w:rsid w:val="001431BC"/>
    <w:rsid w:val="00143ABD"/>
    <w:rsid w:val="00143B54"/>
    <w:rsid w:val="00143C78"/>
    <w:rsid w:val="00143FB1"/>
    <w:rsid w:val="001446BD"/>
    <w:rsid w:val="0014470B"/>
    <w:rsid w:val="00144CB3"/>
    <w:rsid w:val="00144CCF"/>
    <w:rsid w:val="00145199"/>
    <w:rsid w:val="001453D3"/>
    <w:rsid w:val="00145652"/>
    <w:rsid w:val="001457A7"/>
    <w:rsid w:val="0014592C"/>
    <w:rsid w:val="00145D1B"/>
    <w:rsid w:val="0014653F"/>
    <w:rsid w:val="0014669F"/>
    <w:rsid w:val="00146ADD"/>
    <w:rsid w:val="00146B13"/>
    <w:rsid w:val="00146BE2"/>
    <w:rsid w:val="00146CCC"/>
    <w:rsid w:val="00146FAF"/>
    <w:rsid w:val="0014778A"/>
    <w:rsid w:val="001478D4"/>
    <w:rsid w:val="00147C63"/>
    <w:rsid w:val="00147D83"/>
    <w:rsid w:val="00147DAD"/>
    <w:rsid w:val="001501DB"/>
    <w:rsid w:val="001502C2"/>
    <w:rsid w:val="001503C9"/>
    <w:rsid w:val="00150891"/>
    <w:rsid w:val="001511EA"/>
    <w:rsid w:val="001515E1"/>
    <w:rsid w:val="00151D37"/>
    <w:rsid w:val="00151EB5"/>
    <w:rsid w:val="00151FCA"/>
    <w:rsid w:val="001522E9"/>
    <w:rsid w:val="001524F7"/>
    <w:rsid w:val="0015253D"/>
    <w:rsid w:val="00152574"/>
    <w:rsid w:val="0015261F"/>
    <w:rsid w:val="001531F0"/>
    <w:rsid w:val="001532D3"/>
    <w:rsid w:val="001533B2"/>
    <w:rsid w:val="00153965"/>
    <w:rsid w:val="00153ABB"/>
    <w:rsid w:val="00154BC8"/>
    <w:rsid w:val="00154D30"/>
    <w:rsid w:val="00154DC4"/>
    <w:rsid w:val="00154E14"/>
    <w:rsid w:val="00154E2C"/>
    <w:rsid w:val="00155719"/>
    <w:rsid w:val="00156479"/>
    <w:rsid w:val="001567CB"/>
    <w:rsid w:val="00156AB2"/>
    <w:rsid w:val="0015756E"/>
    <w:rsid w:val="001577BF"/>
    <w:rsid w:val="00157A72"/>
    <w:rsid w:val="001604A7"/>
    <w:rsid w:val="00160525"/>
    <w:rsid w:val="00160777"/>
    <w:rsid w:val="00160950"/>
    <w:rsid w:val="00160B47"/>
    <w:rsid w:val="00160B50"/>
    <w:rsid w:val="00160FC3"/>
    <w:rsid w:val="001610F7"/>
    <w:rsid w:val="001612BC"/>
    <w:rsid w:val="001616E1"/>
    <w:rsid w:val="0016226D"/>
    <w:rsid w:val="001625AC"/>
    <w:rsid w:val="0016292E"/>
    <w:rsid w:val="001629D9"/>
    <w:rsid w:val="00162C03"/>
    <w:rsid w:val="00162F4B"/>
    <w:rsid w:val="001632B6"/>
    <w:rsid w:val="0016340F"/>
    <w:rsid w:val="00163EED"/>
    <w:rsid w:val="001640D8"/>
    <w:rsid w:val="0016416F"/>
    <w:rsid w:val="0016429C"/>
    <w:rsid w:val="00164369"/>
    <w:rsid w:val="0016446E"/>
    <w:rsid w:val="00164E32"/>
    <w:rsid w:val="001657AE"/>
    <w:rsid w:val="00165BB2"/>
    <w:rsid w:val="00165D30"/>
    <w:rsid w:val="001667C6"/>
    <w:rsid w:val="0016685E"/>
    <w:rsid w:val="00166B08"/>
    <w:rsid w:val="00166D1D"/>
    <w:rsid w:val="00167702"/>
    <w:rsid w:val="00167DBB"/>
    <w:rsid w:val="00167F37"/>
    <w:rsid w:val="00170292"/>
    <w:rsid w:val="00170303"/>
    <w:rsid w:val="00170571"/>
    <w:rsid w:val="0017079F"/>
    <w:rsid w:val="00170CFA"/>
    <w:rsid w:val="00170E82"/>
    <w:rsid w:val="00170FE2"/>
    <w:rsid w:val="00171ED0"/>
    <w:rsid w:val="001721E5"/>
    <w:rsid w:val="00172667"/>
    <w:rsid w:val="00172CF2"/>
    <w:rsid w:val="001736D9"/>
    <w:rsid w:val="0017390A"/>
    <w:rsid w:val="00173C73"/>
    <w:rsid w:val="001743E1"/>
    <w:rsid w:val="00174430"/>
    <w:rsid w:val="001744D8"/>
    <w:rsid w:val="001747F2"/>
    <w:rsid w:val="0017490A"/>
    <w:rsid w:val="00175555"/>
    <w:rsid w:val="00175645"/>
    <w:rsid w:val="001758B9"/>
    <w:rsid w:val="00175AC9"/>
    <w:rsid w:val="00175C6E"/>
    <w:rsid w:val="00175CF3"/>
    <w:rsid w:val="00175EEB"/>
    <w:rsid w:val="0017656E"/>
    <w:rsid w:val="0017672C"/>
    <w:rsid w:val="00176C6D"/>
    <w:rsid w:val="00176D2B"/>
    <w:rsid w:val="00176D77"/>
    <w:rsid w:val="0017711C"/>
    <w:rsid w:val="001772FE"/>
    <w:rsid w:val="001774E0"/>
    <w:rsid w:val="001778FA"/>
    <w:rsid w:val="00177AD9"/>
    <w:rsid w:val="00180026"/>
    <w:rsid w:val="00180542"/>
    <w:rsid w:val="0018057E"/>
    <w:rsid w:val="00180CC4"/>
    <w:rsid w:val="00180D1B"/>
    <w:rsid w:val="00181D7F"/>
    <w:rsid w:val="00181D85"/>
    <w:rsid w:val="001822F1"/>
    <w:rsid w:val="001824DB"/>
    <w:rsid w:val="001828B3"/>
    <w:rsid w:val="00182942"/>
    <w:rsid w:val="00182AE7"/>
    <w:rsid w:val="00182B24"/>
    <w:rsid w:val="00182E4B"/>
    <w:rsid w:val="001834B8"/>
    <w:rsid w:val="00183836"/>
    <w:rsid w:val="00183DE4"/>
    <w:rsid w:val="00183FBE"/>
    <w:rsid w:val="001841DE"/>
    <w:rsid w:val="0018426E"/>
    <w:rsid w:val="00184296"/>
    <w:rsid w:val="001842FE"/>
    <w:rsid w:val="00184630"/>
    <w:rsid w:val="0018469F"/>
    <w:rsid w:val="00184C7A"/>
    <w:rsid w:val="00185AA1"/>
    <w:rsid w:val="00185E42"/>
    <w:rsid w:val="00185E5A"/>
    <w:rsid w:val="00186505"/>
    <w:rsid w:val="0018667F"/>
    <w:rsid w:val="001866C3"/>
    <w:rsid w:val="00186E76"/>
    <w:rsid w:val="00187031"/>
    <w:rsid w:val="001870F2"/>
    <w:rsid w:val="0018727A"/>
    <w:rsid w:val="00187BDC"/>
    <w:rsid w:val="001900C2"/>
    <w:rsid w:val="00190287"/>
    <w:rsid w:val="001909E4"/>
    <w:rsid w:val="00190F57"/>
    <w:rsid w:val="001910DC"/>
    <w:rsid w:val="00191228"/>
    <w:rsid w:val="00191A79"/>
    <w:rsid w:val="00192BFC"/>
    <w:rsid w:val="00192DCD"/>
    <w:rsid w:val="00192DD7"/>
    <w:rsid w:val="001933C3"/>
    <w:rsid w:val="00193670"/>
    <w:rsid w:val="00193968"/>
    <w:rsid w:val="00193C31"/>
    <w:rsid w:val="00194074"/>
    <w:rsid w:val="00194139"/>
    <w:rsid w:val="00194328"/>
    <w:rsid w:val="00194743"/>
    <w:rsid w:val="00194D9F"/>
    <w:rsid w:val="001955A2"/>
    <w:rsid w:val="00195A08"/>
    <w:rsid w:val="00196542"/>
    <w:rsid w:val="00196654"/>
    <w:rsid w:val="00196BF0"/>
    <w:rsid w:val="00196C47"/>
    <w:rsid w:val="00196DF2"/>
    <w:rsid w:val="00196F56"/>
    <w:rsid w:val="0019767E"/>
    <w:rsid w:val="00197950"/>
    <w:rsid w:val="00197CC7"/>
    <w:rsid w:val="001A01B4"/>
    <w:rsid w:val="001A02BD"/>
    <w:rsid w:val="001A038D"/>
    <w:rsid w:val="001A0E04"/>
    <w:rsid w:val="001A1327"/>
    <w:rsid w:val="001A1897"/>
    <w:rsid w:val="001A18F8"/>
    <w:rsid w:val="001A1A82"/>
    <w:rsid w:val="001A1F7D"/>
    <w:rsid w:val="001A2250"/>
    <w:rsid w:val="001A22AE"/>
    <w:rsid w:val="001A2363"/>
    <w:rsid w:val="001A2528"/>
    <w:rsid w:val="001A2BD1"/>
    <w:rsid w:val="001A2E16"/>
    <w:rsid w:val="001A2ECB"/>
    <w:rsid w:val="001A343D"/>
    <w:rsid w:val="001A36A1"/>
    <w:rsid w:val="001A3815"/>
    <w:rsid w:val="001A4033"/>
    <w:rsid w:val="001A4231"/>
    <w:rsid w:val="001A4537"/>
    <w:rsid w:val="001A4755"/>
    <w:rsid w:val="001A4902"/>
    <w:rsid w:val="001A4B1B"/>
    <w:rsid w:val="001A5C14"/>
    <w:rsid w:val="001A5D12"/>
    <w:rsid w:val="001A608F"/>
    <w:rsid w:val="001A6448"/>
    <w:rsid w:val="001A6692"/>
    <w:rsid w:val="001A74CA"/>
    <w:rsid w:val="001A7A43"/>
    <w:rsid w:val="001B028D"/>
    <w:rsid w:val="001B0B97"/>
    <w:rsid w:val="001B0E93"/>
    <w:rsid w:val="001B1548"/>
    <w:rsid w:val="001B1CDF"/>
    <w:rsid w:val="001B201F"/>
    <w:rsid w:val="001B20B4"/>
    <w:rsid w:val="001B2363"/>
    <w:rsid w:val="001B2B96"/>
    <w:rsid w:val="001B34A2"/>
    <w:rsid w:val="001B384F"/>
    <w:rsid w:val="001B3F3C"/>
    <w:rsid w:val="001B40D5"/>
    <w:rsid w:val="001B4CB8"/>
    <w:rsid w:val="001B509E"/>
    <w:rsid w:val="001B5706"/>
    <w:rsid w:val="001B662B"/>
    <w:rsid w:val="001B6B2F"/>
    <w:rsid w:val="001B7A9E"/>
    <w:rsid w:val="001B7DA8"/>
    <w:rsid w:val="001C01CC"/>
    <w:rsid w:val="001C0294"/>
    <w:rsid w:val="001C0DA8"/>
    <w:rsid w:val="001C1197"/>
    <w:rsid w:val="001C1553"/>
    <w:rsid w:val="001C15D4"/>
    <w:rsid w:val="001C1654"/>
    <w:rsid w:val="001C167A"/>
    <w:rsid w:val="001C1995"/>
    <w:rsid w:val="001C1B69"/>
    <w:rsid w:val="001C272C"/>
    <w:rsid w:val="001C2AF1"/>
    <w:rsid w:val="001C2C29"/>
    <w:rsid w:val="001C2D5D"/>
    <w:rsid w:val="001C308A"/>
    <w:rsid w:val="001C331E"/>
    <w:rsid w:val="001C33C5"/>
    <w:rsid w:val="001C3772"/>
    <w:rsid w:val="001C380D"/>
    <w:rsid w:val="001C3891"/>
    <w:rsid w:val="001C38D5"/>
    <w:rsid w:val="001C3A20"/>
    <w:rsid w:val="001C4126"/>
    <w:rsid w:val="001C4552"/>
    <w:rsid w:val="001C4BEB"/>
    <w:rsid w:val="001C56BA"/>
    <w:rsid w:val="001C5C2F"/>
    <w:rsid w:val="001C5EC6"/>
    <w:rsid w:val="001C5F72"/>
    <w:rsid w:val="001C5FAD"/>
    <w:rsid w:val="001C64E6"/>
    <w:rsid w:val="001C658E"/>
    <w:rsid w:val="001C66A5"/>
    <w:rsid w:val="001C68D8"/>
    <w:rsid w:val="001C69B5"/>
    <w:rsid w:val="001C7310"/>
    <w:rsid w:val="001C73DF"/>
    <w:rsid w:val="001C7933"/>
    <w:rsid w:val="001C7D6F"/>
    <w:rsid w:val="001CD684"/>
    <w:rsid w:val="001D0034"/>
    <w:rsid w:val="001D0E77"/>
    <w:rsid w:val="001D0F4D"/>
    <w:rsid w:val="001D0FF6"/>
    <w:rsid w:val="001D1050"/>
    <w:rsid w:val="001D1164"/>
    <w:rsid w:val="001D1306"/>
    <w:rsid w:val="001D1626"/>
    <w:rsid w:val="001D1BE6"/>
    <w:rsid w:val="001D1C47"/>
    <w:rsid w:val="001D1D6D"/>
    <w:rsid w:val="001D1D72"/>
    <w:rsid w:val="001D2174"/>
    <w:rsid w:val="001D2493"/>
    <w:rsid w:val="001D2833"/>
    <w:rsid w:val="001D29E6"/>
    <w:rsid w:val="001D2A90"/>
    <w:rsid w:val="001D3348"/>
    <w:rsid w:val="001D3363"/>
    <w:rsid w:val="001D36A9"/>
    <w:rsid w:val="001D380E"/>
    <w:rsid w:val="001D3954"/>
    <w:rsid w:val="001D3ECE"/>
    <w:rsid w:val="001D481F"/>
    <w:rsid w:val="001D4907"/>
    <w:rsid w:val="001D4990"/>
    <w:rsid w:val="001D5083"/>
    <w:rsid w:val="001D51F3"/>
    <w:rsid w:val="001D551F"/>
    <w:rsid w:val="001D5652"/>
    <w:rsid w:val="001D62C7"/>
    <w:rsid w:val="001D6A96"/>
    <w:rsid w:val="001D6DE2"/>
    <w:rsid w:val="001D6E17"/>
    <w:rsid w:val="001D71ED"/>
    <w:rsid w:val="001D74C3"/>
    <w:rsid w:val="001D74C6"/>
    <w:rsid w:val="001D74CF"/>
    <w:rsid w:val="001E0067"/>
    <w:rsid w:val="001E03B5"/>
    <w:rsid w:val="001E041C"/>
    <w:rsid w:val="001E0727"/>
    <w:rsid w:val="001E0777"/>
    <w:rsid w:val="001E079D"/>
    <w:rsid w:val="001E0B1B"/>
    <w:rsid w:val="001E0DC2"/>
    <w:rsid w:val="001E14B8"/>
    <w:rsid w:val="001E1752"/>
    <w:rsid w:val="001E17CD"/>
    <w:rsid w:val="001E1824"/>
    <w:rsid w:val="001E1DEA"/>
    <w:rsid w:val="001E1FDA"/>
    <w:rsid w:val="001E2080"/>
    <w:rsid w:val="001E23E0"/>
    <w:rsid w:val="001E293B"/>
    <w:rsid w:val="001E2CC0"/>
    <w:rsid w:val="001E2CF3"/>
    <w:rsid w:val="001E2F79"/>
    <w:rsid w:val="001E2FC8"/>
    <w:rsid w:val="001E314E"/>
    <w:rsid w:val="001E3250"/>
    <w:rsid w:val="001E334F"/>
    <w:rsid w:val="001E374A"/>
    <w:rsid w:val="001E3C59"/>
    <w:rsid w:val="001E3E87"/>
    <w:rsid w:val="001E40DC"/>
    <w:rsid w:val="001E4220"/>
    <w:rsid w:val="001E46E2"/>
    <w:rsid w:val="001E4862"/>
    <w:rsid w:val="001E4C23"/>
    <w:rsid w:val="001E4E50"/>
    <w:rsid w:val="001E548D"/>
    <w:rsid w:val="001E577B"/>
    <w:rsid w:val="001E5854"/>
    <w:rsid w:val="001E5D4A"/>
    <w:rsid w:val="001E5F50"/>
    <w:rsid w:val="001E612B"/>
    <w:rsid w:val="001E660A"/>
    <w:rsid w:val="001E682F"/>
    <w:rsid w:val="001E6BE0"/>
    <w:rsid w:val="001E6F22"/>
    <w:rsid w:val="001E742D"/>
    <w:rsid w:val="001E7863"/>
    <w:rsid w:val="001E7A37"/>
    <w:rsid w:val="001F02BB"/>
    <w:rsid w:val="001F0326"/>
    <w:rsid w:val="001F0699"/>
    <w:rsid w:val="001F07DC"/>
    <w:rsid w:val="001F08BB"/>
    <w:rsid w:val="001F11B7"/>
    <w:rsid w:val="001F18D7"/>
    <w:rsid w:val="001F1B5D"/>
    <w:rsid w:val="001F2172"/>
    <w:rsid w:val="001F24DF"/>
    <w:rsid w:val="001F33F3"/>
    <w:rsid w:val="001F3BA9"/>
    <w:rsid w:val="001F3BD1"/>
    <w:rsid w:val="001F3C2D"/>
    <w:rsid w:val="001F42C9"/>
    <w:rsid w:val="001F43BC"/>
    <w:rsid w:val="001F4787"/>
    <w:rsid w:val="001F50F0"/>
    <w:rsid w:val="001F5563"/>
    <w:rsid w:val="001F5B00"/>
    <w:rsid w:val="001F5D82"/>
    <w:rsid w:val="001F638C"/>
    <w:rsid w:val="001F6477"/>
    <w:rsid w:val="001F676F"/>
    <w:rsid w:val="001F6EA3"/>
    <w:rsid w:val="001F7090"/>
    <w:rsid w:val="001F7129"/>
    <w:rsid w:val="001F76EA"/>
    <w:rsid w:val="001F7BBA"/>
    <w:rsid w:val="001F7CF7"/>
    <w:rsid w:val="0020017D"/>
    <w:rsid w:val="002002ED"/>
    <w:rsid w:val="00200BD4"/>
    <w:rsid w:val="00200EAC"/>
    <w:rsid w:val="00200F3A"/>
    <w:rsid w:val="002011F2"/>
    <w:rsid w:val="002012A0"/>
    <w:rsid w:val="00201448"/>
    <w:rsid w:val="00202055"/>
    <w:rsid w:val="002022F1"/>
    <w:rsid w:val="002030F9"/>
    <w:rsid w:val="00203774"/>
    <w:rsid w:val="00204180"/>
    <w:rsid w:val="002043D7"/>
    <w:rsid w:val="00204684"/>
    <w:rsid w:val="0020483A"/>
    <w:rsid w:val="00204A18"/>
    <w:rsid w:val="00204C29"/>
    <w:rsid w:val="00204DF3"/>
    <w:rsid w:val="00204FD4"/>
    <w:rsid w:val="00205135"/>
    <w:rsid w:val="0020532B"/>
    <w:rsid w:val="002059B8"/>
    <w:rsid w:val="00205A05"/>
    <w:rsid w:val="00205C24"/>
    <w:rsid w:val="00205EA2"/>
    <w:rsid w:val="00206108"/>
    <w:rsid w:val="0020649F"/>
    <w:rsid w:val="00206821"/>
    <w:rsid w:val="002072CD"/>
    <w:rsid w:val="0020785B"/>
    <w:rsid w:val="00207C93"/>
    <w:rsid w:val="00207D1A"/>
    <w:rsid w:val="002103BF"/>
    <w:rsid w:val="00210437"/>
    <w:rsid w:val="00210549"/>
    <w:rsid w:val="002107AD"/>
    <w:rsid w:val="00210CD8"/>
    <w:rsid w:val="00211039"/>
    <w:rsid w:val="002118A2"/>
    <w:rsid w:val="00211FD2"/>
    <w:rsid w:val="00212014"/>
    <w:rsid w:val="002124C8"/>
    <w:rsid w:val="00212E0B"/>
    <w:rsid w:val="002137BB"/>
    <w:rsid w:val="00213CC5"/>
    <w:rsid w:val="00214055"/>
    <w:rsid w:val="0021465E"/>
    <w:rsid w:val="00214D70"/>
    <w:rsid w:val="002151F1"/>
    <w:rsid w:val="00215472"/>
    <w:rsid w:val="00215554"/>
    <w:rsid w:val="00215855"/>
    <w:rsid w:val="00215AB4"/>
    <w:rsid w:val="00215C6B"/>
    <w:rsid w:val="00215CC2"/>
    <w:rsid w:val="002167BA"/>
    <w:rsid w:val="0021692B"/>
    <w:rsid w:val="002171C8"/>
    <w:rsid w:val="002171E1"/>
    <w:rsid w:val="00217208"/>
    <w:rsid w:val="0021736E"/>
    <w:rsid w:val="0021784F"/>
    <w:rsid w:val="00217C6B"/>
    <w:rsid w:val="0022093B"/>
    <w:rsid w:val="00220AC4"/>
    <w:rsid w:val="00220B90"/>
    <w:rsid w:val="00220C29"/>
    <w:rsid w:val="00220D9D"/>
    <w:rsid w:val="0022110E"/>
    <w:rsid w:val="00221155"/>
    <w:rsid w:val="002211BD"/>
    <w:rsid w:val="002212FB"/>
    <w:rsid w:val="002213AC"/>
    <w:rsid w:val="0022162A"/>
    <w:rsid w:val="0022174E"/>
    <w:rsid w:val="00221F3B"/>
    <w:rsid w:val="0022204F"/>
    <w:rsid w:val="002221CA"/>
    <w:rsid w:val="002221F1"/>
    <w:rsid w:val="00222560"/>
    <w:rsid w:val="0022283D"/>
    <w:rsid w:val="00222E2D"/>
    <w:rsid w:val="00223069"/>
    <w:rsid w:val="0022365B"/>
    <w:rsid w:val="00223765"/>
    <w:rsid w:val="00223C20"/>
    <w:rsid w:val="00223C62"/>
    <w:rsid w:val="00223EFD"/>
    <w:rsid w:val="0022413E"/>
    <w:rsid w:val="002243C8"/>
    <w:rsid w:val="00224600"/>
    <w:rsid w:val="0022508B"/>
    <w:rsid w:val="0022536A"/>
    <w:rsid w:val="00225988"/>
    <w:rsid w:val="00225AAB"/>
    <w:rsid w:val="00225AE6"/>
    <w:rsid w:val="00225BAB"/>
    <w:rsid w:val="00225DA2"/>
    <w:rsid w:val="002268C1"/>
    <w:rsid w:val="00226B49"/>
    <w:rsid w:val="00227470"/>
    <w:rsid w:val="00227BC6"/>
    <w:rsid w:val="002306E8"/>
    <w:rsid w:val="00230A51"/>
    <w:rsid w:val="00231229"/>
    <w:rsid w:val="002319B7"/>
    <w:rsid w:val="00231A37"/>
    <w:rsid w:val="00231AA0"/>
    <w:rsid w:val="0023212E"/>
    <w:rsid w:val="002326A9"/>
    <w:rsid w:val="002328B2"/>
    <w:rsid w:val="00232AC9"/>
    <w:rsid w:val="00233686"/>
    <w:rsid w:val="00233692"/>
    <w:rsid w:val="00233813"/>
    <w:rsid w:val="00233840"/>
    <w:rsid w:val="00233E01"/>
    <w:rsid w:val="00233E88"/>
    <w:rsid w:val="0023400D"/>
    <w:rsid w:val="00234224"/>
    <w:rsid w:val="0023436E"/>
    <w:rsid w:val="00234A91"/>
    <w:rsid w:val="00234DE1"/>
    <w:rsid w:val="00234FBD"/>
    <w:rsid w:val="002353D6"/>
    <w:rsid w:val="002357C9"/>
    <w:rsid w:val="00235A8D"/>
    <w:rsid w:val="00235B12"/>
    <w:rsid w:val="00236040"/>
    <w:rsid w:val="002368CC"/>
    <w:rsid w:val="00236A70"/>
    <w:rsid w:val="00236AD5"/>
    <w:rsid w:val="00236E0B"/>
    <w:rsid w:val="00236F05"/>
    <w:rsid w:val="002371EE"/>
    <w:rsid w:val="00237251"/>
    <w:rsid w:val="002373B9"/>
    <w:rsid w:val="002375A0"/>
    <w:rsid w:val="00237D36"/>
    <w:rsid w:val="002400CA"/>
    <w:rsid w:val="00240CE5"/>
    <w:rsid w:val="00241482"/>
    <w:rsid w:val="00241A22"/>
    <w:rsid w:val="00241BF7"/>
    <w:rsid w:val="002421C9"/>
    <w:rsid w:val="00242464"/>
    <w:rsid w:val="0024266F"/>
    <w:rsid w:val="00242A12"/>
    <w:rsid w:val="00242DD1"/>
    <w:rsid w:val="00243168"/>
    <w:rsid w:val="00243225"/>
    <w:rsid w:val="002433FC"/>
    <w:rsid w:val="002436C5"/>
    <w:rsid w:val="00243DCF"/>
    <w:rsid w:val="0024409B"/>
    <w:rsid w:val="00244124"/>
    <w:rsid w:val="00244170"/>
    <w:rsid w:val="002442E7"/>
    <w:rsid w:val="0024486A"/>
    <w:rsid w:val="002448B9"/>
    <w:rsid w:val="00244987"/>
    <w:rsid w:val="00244C82"/>
    <w:rsid w:val="00244F0B"/>
    <w:rsid w:val="00245014"/>
    <w:rsid w:val="002450AA"/>
    <w:rsid w:val="002451DA"/>
    <w:rsid w:val="00245370"/>
    <w:rsid w:val="002456E2"/>
    <w:rsid w:val="00245711"/>
    <w:rsid w:val="00245852"/>
    <w:rsid w:val="002459E0"/>
    <w:rsid w:val="0024616C"/>
    <w:rsid w:val="00246677"/>
    <w:rsid w:val="00247C29"/>
    <w:rsid w:val="00250517"/>
    <w:rsid w:val="002505F4"/>
    <w:rsid w:val="00250D69"/>
    <w:rsid w:val="002513B9"/>
    <w:rsid w:val="0025145B"/>
    <w:rsid w:val="002519E4"/>
    <w:rsid w:val="002519E8"/>
    <w:rsid w:val="00251B71"/>
    <w:rsid w:val="00251BE2"/>
    <w:rsid w:val="0025210C"/>
    <w:rsid w:val="00252111"/>
    <w:rsid w:val="00252726"/>
    <w:rsid w:val="00252DB3"/>
    <w:rsid w:val="00252F06"/>
    <w:rsid w:val="0025314A"/>
    <w:rsid w:val="002533AD"/>
    <w:rsid w:val="00253442"/>
    <w:rsid w:val="0025377A"/>
    <w:rsid w:val="00253943"/>
    <w:rsid w:val="002544CE"/>
    <w:rsid w:val="00254DAA"/>
    <w:rsid w:val="00254E64"/>
    <w:rsid w:val="00255627"/>
    <w:rsid w:val="002557B5"/>
    <w:rsid w:val="00255AFB"/>
    <w:rsid w:val="00255BD6"/>
    <w:rsid w:val="00255BE9"/>
    <w:rsid w:val="0025652D"/>
    <w:rsid w:val="002566A0"/>
    <w:rsid w:val="00256AC2"/>
    <w:rsid w:val="0025723B"/>
    <w:rsid w:val="00257477"/>
    <w:rsid w:val="002574AF"/>
    <w:rsid w:val="00257525"/>
    <w:rsid w:val="00257528"/>
    <w:rsid w:val="00257850"/>
    <w:rsid w:val="00257A41"/>
    <w:rsid w:val="00257D03"/>
    <w:rsid w:val="0026015C"/>
    <w:rsid w:val="002607C1"/>
    <w:rsid w:val="002609D8"/>
    <w:rsid w:val="00261326"/>
    <w:rsid w:val="0026182F"/>
    <w:rsid w:val="00262C36"/>
    <w:rsid w:val="00262C8F"/>
    <w:rsid w:val="002633B2"/>
    <w:rsid w:val="00263415"/>
    <w:rsid w:val="00263AE1"/>
    <w:rsid w:val="0026461B"/>
    <w:rsid w:val="0026470E"/>
    <w:rsid w:val="00264718"/>
    <w:rsid w:val="00264A09"/>
    <w:rsid w:val="00264EDB"/>
    <w:rsid w:val="0026507F"/>
    <w:rsid w:val="00265910"/>
    <w:rsid w:val="00265BF4"/>
    <w:rsid w:val="00265F47"/>
    <w:rsid w:val="00265FEA"/>
    <w:rsid w:val="0026616C"/>
    <w:rsid w:val="0026623F"/>
    <w:rsid w:val="00266539"/>
    <w:rsid w:val="00266D70"/>
    <w:rsid w:val="00266DFC"/>
    <w:rsid w:val="00266FFF"/>
    <w:rsid w:val="0026703F"/>
    <w:rsid w:val="00267046"/>
    <w:rsid w:val="002670E0"/>
    <w:rsid w:val="00267128"/>
    <w:rsid w:val="00267176"/>
    <w:rsid w:val="0026756C"/>
    <w:rsid w:val="0026777A"/>
    <w:rsid w:val="00267DB8"/>
    <w:rsid w:val="00267FE7"/>
    <w:rsid w:val="002703EA"/>
    <w:rsid w:val="00270DBC"/>
    <w:rsid w:val="002711A0"/>
    <w:rsid w:val="0027126A"/>
    <w:rsid w:val="00271288"/>
    <w:rsid w:val="002721AE"/>
    <w:rsid w:val="00272330"/>
    <w:rsid w:val="00272623"/>
    <w:rsid w:val="00272D88"/>
    <w:rsid w:val="00272E71"/>
    <w:rsid w:val="002740BF"/>
    <w:rsid w:val="00274368"/>
    <w:rsid w:val="00274BD7"/>
    <w:rsid w:val="0027513B"/>
    <w:rsid w:val="00275471"/>
    <w:rsid w:val="00275D4E"/>
    <w:rsid w:val="00275DCD"/>
    <w:rsid w:val="00275E85"/>
    <w:rsid w:val="0027617F"/>
    <w:rsid w:val="00277185"/>
    <w:rsid w:val="002776DE"/>
    <w:rsid w:val="002778C5"/>
    <w:rsid w:val="00277B66"/>
    <w:rsid w:val="00277EE4"/>
    <w:rsid w:val="00277F25"/>
    <w:rsid w:val="00277F52"/>
    <w:rsid w:val="002801B5"/>
    <w:rsid w:val="002803B3"/>
    <w:rsid w:val="00280520"/>
    <w:rsid w:val="0028066B"/>
    <w:rsid w:val="00280862"/>
    <w:rsid w:val="00280AB1"/>
    <w:rsid w:val="00280B7F"/>
    <w:rsid w:val="00280C71"/>
    <w:rsid w:val="00280EEA"/>
    <w:rsid w:val="0028154E"/>
    <w:rsid w:val="0028165D"/>
    <w:rsid w:val="00281D21"/>
    <w:rsid w:val="0028268F"/>
    <w:rsid w:val="00283077"/>
    <w:rsid w:val="0028307F"/>
    <w:rsid w:val="0028320E"/>
    <w:rsid w:val="002832F8"/>
    <w:rsid w:val="0028377A"/>
    <w:rsid w:val="00283C56"/>
    <w:rsid w:val="00284278"/>
    <w:rsid w:val="00284980"/>
    <w:rsid w:val="00284DB1"/>
    <w:rsid w:val="00285180"/>
    <w:rsid w:val="00285231"/>
    <w:rsid w:val="0028635A"/>
    <w:rsid w:val="002865EF"/>
    <w:rsid w:val="00286948"/>
    <w:rsid w:val="00286D26"/>
    <w:rsid w:val="00287AB1"/>
    <w:rsid w:val="00287B5E"/>
    <w:rsid w:val="00287E54"/>
    <w:rsid w:val="00290257"/>
    <w:rsid w:val="0029038A"/>
    <w:rsid w:val="00290817"/>
    <w:rsid w:val="00290CF4"/>
    <w:rsid w:val="002917DF"/>
    <w:rsid w:val="00291813"/>
    <w:rsid w:val="00291871"/>
    <w:rsid w:val="00292039"/>
    <w:rsid w:val="00292189"/>
    <w:rsid w:val="00292237"/>
    <w:rsid w:val="00292464"/>
    <w:rsid w:val="0029271B"/>
    <w:rsid w:val="00292761"/>
    <w:rsid w:val="00293552"/>
    <w:rsid w:val="0029386B"/>
    <w:rsid w:val="00293C5C"/>
    <w:rsid w:val="002940C5"/>
    <w:rsid w:val="0029421F"/>
    <w:rsid w:val="002947C5"/>
    <w:rsid w:val="00294994"/>
    <w:rsid w:val="00294AE8"/>
    <w:rsid w:val="00294B77"/>
    <w:rsid w:val="00294CB2"/>
    <w:rsid w:val="0029591F"/>
    <w:rsid w:val="00295A6B"/>
    <w:rsid w:val="00296382"/>
    <w:rsid w:val="002967C6"/>
    <w:rsid w:val="00296BD7"/>
    <w:rsid w:val="00296E57"/>
    <w:rsid w:val="00297409"/>
    <w:rsid w:val="00297A1C"/>
    <w:rsid w:val="00297BC4"/>
    <w:rsid w:val="002A01B7"/>
    <w:rsid w:val="002A0231"/>
    <w:rsid w:val="002A0C2A"/>
    <w:rsid w:val="002A1128"/>
    <w:rsid w:val="002A1610"/>
    <w:rsid w:val="002A172A"/>
    <w:rsid w:val="002A176A"/>
    <w:rsid w:val="002A1788"/>
    <w:rsid w:val="002A18E7"/>
    <w:rsid w:val="002A1BB4"/>
    <w:rsid w:val="002A20D4"/>
    <w:rsid w:val="002A237D"/>
    <w:rsid w:val="002A2ACF"/>
    <w:rsid w:val="002A2AF9"/>
    <w:rsid w:val="002A2BD2"/>
    <w:rsid w:val="002A2C69"/>
    <w:rsid w:val="002A34C0"/>
    <w:rsid w:val="002A3626"/>
    <w:rsid w:val="002A3F02"/>
    <w:rsid w:val="002A3FD4"/>
    <w:rsid w:val="002A4AB2"/>
    <w:rsid w:val="002A4BD4"/>
    <w:rsid w:val="002A4CFB"/>
    <w:rsid w:val="002A5318"/>
    <w:rsid w:val="002A5A50"/>
    <w:rsid w:val="002A5D13"/>
    <w:rsid w:val="002A5D42"/>
    <w:rsid w:val="002A5D6F"/>
    <w:rsid w:val="002A5DFF"/>
    <w:rsid w:val="002A5EF0"/>
    <w:rsid w:val="002A7088"/>
    <w:rsid w:val="002A7570"/>
    <w:rsid w:val="002A78A9"/>
    <w:rsid w:val="002A7E61"/>
    <w:rsid w:val="002A7E68"/>
    <w:rsid w:val="002A7F4E"/>
    <w:rsid w:val="002A7FA7"/>
    <w:rsid w:val="002A7FAD"/>
    <w:rsid w:val="002A7FDA"/>
    <w:rsid w:val="002B0082"/>
    <w:rsid w:val="002B0229"/>
    <w:rsid w:val="002B09DD"/>
    <w:rsid w:val="002B0E50"/>
    <w:rsid w:val="002B1063"/>
    <w:rsid w:val="002B203D"/>
    <w:rsid w:val="002B2892"/>
    <w:rsid w:val="002B2C81"/>
    <w:rsid w:val="002B2E86"/>
    <w:rsid w:val="002B301B"/>
    <w:rsid w:val="002B3326"/>
    <w:rsid w:val="002B33AE"/>
    <w:rsid w:val="002B3D6B"/>
    <w:rsid w:val="002B4703"/>
    <w:rsid w:val="002B4B47"/>
    <w:rsid w:val="002B5410"/>
    <w:rsid w:val="002B573A"/>
    <w:rsid w:val="002B57B4"/>
    <w:rsid w:val="002B592F"/>
    <w:rsid w:val="002B6EFD"/>
    <w:rsid w:val="002B725F"/>
    <w:rsid w:val="002C03DF"/>
    <w:rsid w:val="002C04A0"/>
    <w:rsid w:val="002C0581"/>
    <w:rsid w:val="002C104F"/>
    <w:rsid w:val="002C149B"/>
    <w:rsid w:val="002C15B5"/>
    <w:rsid w:val="002C1C31"/>
    <w:rsid w:val="002C292C"/>
    <w:rsid w:val="002C2E1E"/>
    <w:rsid w:val="002C2F39"/>
    <w:rsid w:val="002C3320"/>
    <w:rsid w:val="002C3BB3"/>
    <w:rsid w:val="002C3C6B"/>
    <w:rsid w:val="002C4684"/>
    <w:rsid w:val="002C468A"/>
    <w:rsid w:val="002C496B"/>
    <w:rsid w:val="002C4C13"/>
    <w:rsid w:val="002C4FF1"/>
    <w:rsid w:val="002C5150"/>
    <w:rsid w:val="002C55D5"/>
    <w:rsid w:val="002C5780"/>
    <w:rsid w:val="002C5816"/>
    <w:rsid w:val="002C5A2A"/>
    <w:rsid w:val="002C5B52"/>
    <w:rsid w:val="002C5D89"/>
    <w:rsid w:val="002C5E8E"/>
    <w:rsid w:val="002C65E5"/>
    <w:rsid w:val="002C664E"/>
    <w:rsid w:val="002C6FB9"/>
    <w:rsid w:val="002C7B51"/>
    <w:rsid w:val="002D09CC"/>
    <w:rsid w:val="002D1043"/>
    <w:rsid w:val="002D13DE"/>
    <w:rsid w:val="002D1E15"/>
    <w:rsid w:val="002D2319"/>
    <w:rsid w:val="002D2787"/>
    <w:rsid w:val="002D2797"/>
    <w:rsid w:val="002D28D8"/>
    <w:rsid w:val="002D2DCA"/>
    <w:rsid w:val="002D2DFC"/>
    <w:rsid w:val="002D3695"/>
    <w:rsid w:val="002D3951"/>
    <w:rsid w:val="002D39B5"/>
    <w:rsid w:val="002D3DD4"/>
    <w:rsid w:val="002D435E"/>
    <w:rsid w:val="002D48D1"/>
    <w:rsid w:val="002D4ED1"/>
    <w:rsid w:val="002D53C3"/>
    <w:rsid w:val="002D5683"/>
    <w:rsid w:val="002D58A2"/>
    <w:rsid w:val="002D64B2"/>
    <w:rsid w:val="002D65D0"/>
    <w:rsid w:val="002D68C4"/>
    <w:rsid w:val="002D6AE6"/>
    <w:rsid w:val="002D6D17"/>
    <w:rsid w:val="002D71F4"/>
    <w:rsid w:val="002D7238"/>
    <w:rsid w:val="002D7294"/>
    <w:rsid w:val="002D750C"/>
    <w:rsid w:val="002D7A4C"/>
    <w:rsid w:val="002E025E"/>
    <w:rsid w:val="002E05D9"/>
    <w:rsid w:val="002E0673"/>
    <w:rsid w:val="002E09FD"/>
    <w:rsid w:val="002E0D13"/>
    <w:rsid w:val="002E1181"/>
    <w:rsid w:val="002E1746"/>
    <w:rsid w:val="002E1846"/>
    <w:rsid w:val="002E190E"/>
    <w:rsid w:val="002E1B57"/>
    <w:rsid w:val="002E22F0"/>
    <w:rsid w:val="002E27BF"/>
    <w:rsid w:val="002E2AF6"/>
    <w:rsid w:val="002E2B71"/>
    <w:rsid w:val="002E2DDC"/>
    <w:rsid w:val="002E2E17"/>
    <w:rsid w:val="002E2ECF"/>
    <w:rsid w:val="002E3637"/>
    <w:rsid w:val="002E37CB"/>
    <w:rsid w:val="002E37CC"/>
    <w:rsid w:val="002E3C3C"/>
    <w:rsid w:val="002E3E79"/>
    <w:rsid w:val="002E3E8E"/>
    <w:rsid w:val="002E48D8"/>
    <w:rsid w:val="002E4CC3"/>
    <w:rsid w:val="002E52FB"/>
    <w:rsid w:val="002E549C"/>
    <w:rsid w:val="002E5DF4"/>
    <w:rsid w:val="002E6314"/>
    <w:rsid w:val="002E636E"/>
    <w:rsid w:val="002E6494"/>
    <w:rsid w:val="002E657B"/>
    <w:rsid w:val="002E661C"/>
    <w:rsid w:val="002E6C7A"/>
    <w:rsid w:val="002E6E45"/>
    <w:rsid w:val="002E70F1"/>
    <w:rsid w:val="002E7137"/>
    <w:rsid w:val="002E74CC"/>
    <w:rsid w:val="002E74F5"/>
    <w:rsid w:val="002E7735"/>
    <w:rsid w:val="002E77CE"/>
    <w:rsid w:val="002E7A79"/>
    <w:rsid w:val="002E7D06"/>
    <w:rsid w:val="002E7DE8"/>
    <w:rsid w:val="002E7E8A"/>
    <w:rsid w:val="002F0144"/>
    <w:rsid w:val="002F0417"/>
    <w:rsid w:val="002F06E0"/>
    <w:rsid w:val="002F09D0"/>
    <w:rsid w:val="002F0F99"/>
    <w:rsid w:val="002F1158"/>
    <w:rsid w:val="002F1244"/>
    <w:rsid w:val="002F1541"/>
    <w:rsid w:val="002F16F2"/>
    <w:rsid w:val="002F1DB8"/>
    <w:rsid w:val="002F1E73"/>
    <w:rsid w:val="002F2529"/>
    <w:rsid w:val="002F2835"/>
    <w:rsid w:val="002F2AD1"/>
    <w:rsid w:val="002F31A2"/>
    <w:rsid w:val="002F35D0"/>
    <w:rsid w:val="002F3695"/>
    <w:rsid w:val="002F4063"/>
    <w:rsid w:val="002F4356"/>
    <w:rsid w:val="002F488C"/>
    <w:rsid w:val="002F4DE1"/>
    <w:rsid w:val="002F5307"/>
    <w:rsid w:val="002F5526"/>
    <w:rsid w:val="002F56AF"/>
    <w:rsid w:val="002F57CB"/>
    <w:rsid w:val="002F5827"/>
    <w:rsid w:val="002F58B4"/>
    <w:rsid w:val="002F6222"/>
    <w:rsid w:val="002F6454"/>
    <w:rsid w:val="002F654A"/>
    <w:rsid w:val="002F797F"/>
    <w:rsid w:val="002F7B2A"/>
    <w:rsid w:val="002F7C39"/>
    <w:rsid w:val="0030015E"/>
    <w:rsid w:val="003010D2"/>
    <w:rsid w:val="0030130A"/>
    <w:rsid w:val="00301821"/>
    <w:rsid w:val="00301BFA"/>
    <w:rsid w:val="00301C36"/>
    <w:rsid w:val="00301C9B"/>
    <w:rsid w:val="00301DB0"/>
    <w:rsid w:val="00301EF6"/>
    <w:rsid w:val="003021F3"/>
    <w:rsid w:val="0030225F"/>
    <w:rsid w:val="00302519"/>
    <w:rsid w:val="00302541"/>
    <w:rsid w:val="003029A3"/>
    <w:rsid w:val="00302B12"/>
    <w:rsid w:val="00302C41"/>
    <w:rsid w:val="00302F75"/>
    <w:rsid w:val="0030320F"/>
    <w:rsid w:val="00303408"/>
    <w:rsid w:val="0030384A"/>
    <w:rsid w:val="0030398A"/>
    <w:rsid w:val="00303A65"/>
    <w:rsid w:val="00303C58"/>
    <w:rsid w:val="00303DFD"/>
    <w:rsid w:val="00303E8B"/>
    <w:rsid w:val="00304181"/>
    <w:rsid w:val="003043F9"/>
    <w:rsid w:val="003045E6"/>
    <w:rsid w:val="0030469E"/>
    <w:rsid w:val="00304866"/>
    <w:rsid w:val="00304A29"/>
    <w:rsid w:val="003052DE"/>
    <w:rsid w:val="0030545D"/>
    <w:rsid w:val="003054B0"/>
    <w:rsid w:val="003054CF"/>
    <w:rsid w:val="003054F3"/>
    <w:rsid w:val="0030579A"/>
    <w:rsid w:val="003063A6"/>
    <w:rsid w:val="003071F4"/>
    <w:rsid w:val="00307379"/>
    <w:rsid w:val="00307C43"/>
    <w:rsid w:val="003102E5"/>
    <w:rsid w:val="0031068B"/>
    <w:rsid w:val="003108E2"/>
    <w:rsid w:val="00310CE6"/>
    <w:rsid w:val="003110C6"/>
    <w:rsid w:val="0031148A"/>
    <w:rsid w:val="003114AA"/>
    <w:rsid w:val="003115AB"/>
    <w:rsid w:val="003115DD"/>
    <w:rsid w:val="0031189A"/>
    <w:rsid w:val="003121B2"/>
    <w:rsid w:val="0031255F"/>
    <w:rsid w:val="0031276F"/>
    <w:rsid w:val="003129E7"/>
    <w:rsid w:val="00312B20"/>
    <w:rsid w:val="00313224"/>
    <w:rsid w:val="0031379B"/>
    <w:rsid w:val="00313B69"/>
    <w:rsid w:val="003143B3"/>
    <w:rsid w:val="00314552"/>
    <w:rsid w:val="00314AA5"/>
    <w:rsid w:val="00314D19"/>
    <w:rsid w:val="003151CA"/>
    <w:rsid w:val="00315724"/>
    <w:rsid w:val="00315E5A"/>
    <w:rsid w:val="00316A24"/>
    <w:rsid w:val="00316CBF"/>
    <w:rsid w:val="00317484"/>
    <w:rsid w:val="0031760B"/>
    <w:rsid w:val="00317863"/>
    <w:rsid w:val="00317B5B"/>
    <w:rsid w:val="00321806"/>
    <w:rsid w:val="00321B8B"/>
    <w:rsid w:val="00321C52"/>
    <w:rsid w:val="0032211E"/>
    <w:rsid w:val="0032285D"/>
    <w:rsid w:val="003228CE"/>
    <w:rsid w:val="00322F89"/>
    <w:rsid w:val="00322FD4"/>
    <w:rsid w:val="00323258"/>
    <w:rsid w:val="003233B8"/>
    <w:rsid w:val="00323759"/>
    <w:rsid w:val="0032384F"/>
    <w:rsid w:val="00323B5A"/>
    <w:rsid w:val="00323D57"/>
    <w:rsid w:val="00324794"/>
    <w:rsid w:val="00324DBE"/>
    <w:rsid w:val="00325572"/>
    <w:rsid w:val="003257EF"/>
    <w:rsid w:val="00325A8D"/>
    <w:rsid w:val="00325B9B"/>
    <w:rsid w:val="00325F7D"/>
    <w:rsid w:val="00326CA1"/>
    <w:rsid w:val="00326DB5"/>
    <w:rsid w:val="0032704F"/>
    <w:rsid w:val="003274A9"/>
    <w:rsid w:val="00327545"/>
    <w:rsid w:val="003277BF"/>
    <w:rsid w:val="0032783E"/>
    <w:rsid w:val="00327875"/>
    <w:rsid w:val="00327C16"/>
    <w:rsid w:val="003301AC"/>
    <w:rsid w:val="003304A4"/>
    <w:rsid w:val="00330C0F"/>
    <w:rsid w:val="00330C27"/>
    <w:rsid w:val="00330E60"/>
    <w:rsid w:val="00330F93"/>
    <w:rsid w:val="00330FA5"/>
    <w:rsid w:val="003310E0"/>
    <w:rsid w:val="00331179"/>
    <w:rsid w:val="0033126A"/>
    <w:rsid w:val="00331288"/>
    <w:rsid w:val="00331950"/>
    <w:rsid w:val="00331BB1"/>
    <w:rsid w:val="00331E38"/>
    <w:rsid w:val="00332034"/>
    <w:rsid w:val="003326AB"/>
    <w:rsid w:val="00332DE1"/>
    <w:rsid w:val="003334B4"/>
    <w:rsid w:val="00333CE6"/>
    <w:rsid w:val="003341D9"/>
    <w:rsid w:val="003346D2"/>
    <w:rsid w:val="00334711"/>
    <w:rsid w:val="00334C30"/>
    <w:rsid w:val="0033514D"/>
    <w:rsid w:val="00335777"/>
    <w:rsid w:val="003364AB"/>
    <w:rsid w:val="00336A5D"/>
    <w:rsid w:val="00336BCA"/>
    <w:rsid w:val="00336C46"/>
    <w:rsid w:val="00336E8D"/>
    <w:rsid w:val="00337093"/>
    <w:rsid w:val="0033754D"/>
    <w:rsid w:val="003377A7"/>
    <w:rsid w:val="00337BA5"/>
    <w:rsid w:val="00337FAA"/>
    <w:rsid w:val="00340960"/>
    <w:rsid w:val="00340E18"/>
    <w:rsid w:val="00341227"/>
    <w:rsid w:val="003412BF"/>
    <w:rsid w:val="003413ED"/>
    <w:rsid w:val="003419BA"/>
    <w:rsid w:val="00341DF9"/>
    <w:rsid w:val="00342D91"/>
    <w:rsid w:val="00342EB9"/>
    <w:rsid w:val="00342F67"/>
    <w:rsid w:val="0034368A"/>
    <w:rsid w:val="003439E0"/>
    <w:rsid w:val="00343A00"/>
    <w:rsid w:val="00343C01"/>
    <w:rsid w:val="00343EE9"/>
    <w:rsid w:val="0034424B"/>
    <w:rsid w:val="003446C4"/>
    <w:rsid w:val="003447F2"/>
    <w:rsid w:val="00344B4F"/>
    <w:rsid w:val="00344CE1"/>
    <w:rsid w:val="00344F61"/>
    <w:rsid w:val="00345074"/>
    <w:rsid w:val="003452FD"/>
    <w:rsid w:val="00345B58"/>
    <w:rsid w:val="00345C5A"/>
    <w:rsid w:val="00345D53"/>
    <w:rsid w:val="00346242"/>
    <w:rsid w:val="003466DB"/>
    <w:rsid w:val="003467E9"/>
    <w:rsid w:val="00346BA0"/>
    <w:rsid w:val="00347107"/>
    <w:rsid w:val="0034721A"/>
    <w:rsid w:val="003473C8"/>
    <w:rsid w:val="00347515"/>
    <w:rsid w:val="00350817"/>
    <w:rsid w:val="00350ECB"/>
    <w:rsid w:val="0035101F"/>
    <w:rsid w:val="0035163C"/>
    <w:rsid w:val="00351893"/>
    <w:rsid w:val="00351941"/>
    <w:rsid w:val="00351A56"/>
    <w:rsid w:val="00351DF5"/>
    <w:rsid w:val="00351E88"/>
    <w:rsid w:val="00352284"/>
    <w:rsid w:val="00352570"/>
    <w:rsid w:val="0035278E"/>
    <w:rsid w:val="00352CB0"/>
    <w:rsid w:val="00352F3B"/>
    <w:rsid w:val="00352F5C"/>
    <w:rsid w:val="003534D8"/>
    <w:rsid w:val="00353EA9"/>
    <w:rsid w:val="00353F21"/>
    <w:rsid w:val="00353F42"/>
    <w:rsid w:val="00354092"/>
    <w:rsid w:val="003547BE"/>
    <w:rsid w:val="00354A02"/>
    <w:rsid w:val="00354BD9"/>
    <w:rsid w:val="00354CCE"/>
    <w:rsid w:val="0035558E"/>
    <w:rsid w:val="003558AA"/>
    <w:rsid w:val="003559C5"/>
    <w:rsid w:val="00355B5F"/>
    <w:rsid w:val="00355EFB"/>
    <w:rsid w:val="00356A57"/>
    <w:rsid w:val="00357456"/>
    <w:rsid w:val="0035759C"/>
    <w:rsid w:val="00357F56"/>
    <w:rsid w:val="003606C6"/>
    <w:rsid w:val="003608C4"/>
    <w:rsid w:val="00360B37"/>
    <w:rsid w:val="00360DEE"/>
    <w:rsid w:val="00361082"/>
    <w:rsid w:val="00361124"/>
    <w:rsid w:val="003613CE"/>
    <w:rsid w:val="0036159F"/>
    <w:rsid w:val="003622AE"/>
    <w:rsid w:val="00362951"/>
    <w:rsid w:val="00362A2F"/>
    <w:rsid w:val="00362CDA"/>
    <w:rsid w:val="00362DCE"/>
    <w:rsid w:val="00363E04"/>
    <w:rsid w:val="00364B60"/>
    <w:rsid w:val="00365414"/>
    <w:rsid w:val="0036595D"/>
    <w:rsid w:val="0036669C"/>
    <w:rsid w:val="003667C7"/>
    <w:rsid w:val="003670AC"/>
    <w:rsid w:val="00367518"/>
    <w:rsid w:val="00367572"/>
    <w:rsid w:val="00367CFF"/>
    <w:rsid w:val="00370027"/>
    <w:rsid w:val="0037042A"/>
    <w:rsid w:val="003704EF"/>
    <w:rsid w:val="00370AA4"/>
    <w:rsid w:val="0037100D"/>
    <w:rsid w:val="003717D8"/>
    <w:rsid w:val="00371C8D"/>
    <w:rsid w:val="00371EE1"/>
    <w:rsid w:val="003722F9"/>
    <w:rsid w:val="003724D5"/>
    <w:rsid w:val="003725DE"/>
    <w:rsid w:val="00372634"/>
    <w:rsid w:val="00372C8A"/>
    <w:rsid w:val="00372D82"/>
    <w:rsid w:val="00372E60"/>
    <w:rsid w:val="0037348C"/>
    <w:rsid w:val="00373578"/>
    <w:rsid w:val="00373610"/>
    <w:rsid w:val="0037375E"/>
    <w:rsid w:val="003746E2"/>
    <w:rsid w:val="0037483F"/>
    <w:rsid w:val="00374E4E"/>
    <w:rsid w:val="00374F91"/>
    <w:rsid w:val="003750E7"/>
    <w:rsid w:val="0037517C"/>
    <w:rsid w:val="00375879"/>
    <w:rsid w:val="00375DD7"/>
    <w:rsid w:val="003760CB"/>
    <w:rsid w:val="00376165"/>
    <w:rsid w:val="003764B0"/>
    <w:rsid w:val="0037692F"/>
    <w:rsid w:val="00376966"/>
    <w:rsid w:val="00376DD1"/>
    <w:rsid w:val="00377092"/>
    <w:rsid w:val="00377100"/>
    <w:rsid w:val="003776B8"/>
    <w:rsid w:val="0037772C"/>
    <w:rsid w:val="00377C25"/>
    <w:rsid w:val="00377C65"/>
    <w:rsid w:val="00377CCC"/>
    <w:rsid w:val="00377F81"/>
    <w:rsid w:val="00380050"/>
    <w:rsid w:val="0038008E"/>
    <w:rsid w:val="00380214"/>
    <w:rsid w:val="00380642"/>
    <w:rsid w:val="00380BD8"/>
    <w:rsid w:val="00381352"/>
    <w:rsid w:val="00381388"/>
    <w:rsid w:val="00381419"/>
    <w:rsid w:val="003817B4"/>
    <w:rsid w:val="00381CBE"/>
    <w:rsid w:val="00381D6B"/>
    <w:rsid w:val="0038223B"/>
    <w:rsid w:val="0038291B"/>
    <w:rsid w:val="00382AB2"/>
    <w:rsid w:val="00382E04"/>
    <w:rsid w:val="0038332A"/>
    <w:rsid w:val="003837EB"/>
    <w:rsid w:val="00383B5F"/>
    <w:rsid w:val="00383C47"/>
    <w:rsid w:val="003842B9"/>
    <w:rsid w:val="00384411"/>
    <w:rsid w:val="0038445A"/>
    <w:rsid w:val="003848D8"/>
    <w:rsid w:val="003854FD"/>
    <w:rsid w:val="00385A9E"/>
    <w:rsid w:val="00385E4E"/>
    <w:rsid w:val="003861A0"/>
    <w:rsid w:val="003861F4"/>
    <w:rsid w:val="003863DC"/>
    <w:rsid w:val="0038649F"/>
    <w:rsid w:val="0038770A"/>
    <w:rsid w:val="0038792C"/>
    <w:rsid w:val="00387BB4"/>
    <w:rsid w:val="0039007B"/>
    <w:rsid w:val="0039023E"/>
    <w:rsid w:val="003909F4"/>
    <w:rsid w:val="003913EE"/>
    <w:rsid w:val="00391D57"/>
    <w:rsid w:val="0039233D"/>
    <w:rsid w:val="0039278D"/>
    <w:rsid w:val="0039342B"/>
    <w:rsid w:val="00393802"/>
    <w:rsid w:val="00393C49"/>
    <w:rsid w:val="00394035"/>
    <w:rsid w:val="00394264"/>
    <w:rsid w:val="00394380"/>
    <w:rsid w:val="0039456B"/>
    <w:rsid w:val="003948B8"/>
    <w:rsid w:val="00394AFB"/>
    <w:rsid w:val="00394F27"/>
    <w:rsid w:val="00395605"/>
    <w:rsid w:val="003956B4"/>
    <w:rsid w:val="003964EE"/>
    <w:rsid w:val="00396523"/>
    <w:rsid w:val="003965AB"/>
    <w:rsid w:val="003967F8"/>
    <w:rsid w:val="00396E64"/>
    <w:rsid w:val="0039722B"/>
    <w:rsid w:val="00397410"/>
    <w:rsid w:val="003976A7"/>
    <w:rsid w:val="0039778A"/>
    <w:rsid w:val="003977BE"/>
    <w:rsid w:val="00397A49"/>
    <w:rsid w:val="003A04E2"/>
    <w:rsid w:val="003A0791"/>
    <w:rsid w:val="003A0A76"/>
    <w:rsid w:val="003A0E37"/>
    <w:rsid w:val="003A10E6"/>
    <w:rsid w:val="003A15BB"/>
    <w:rsid w:val="003A1780"/>
    <w:rsid w:val="003A1B71"/>
    <w:rsid w:val="003A2384"/>
    <w:rsid w:val="003A2A0A"/>
    <w:rsid w:val="003A2BE9"/>
    <w:rsid w:val="003A2D78"/>
    <w:rsid w:val="003A2F7C"/>
    <w:rsid w:val="003A32B7"/>
    <w:rsid w:val="003A3EC4"/>
    <w:rsid w:val="003A4598"/>
    <w:rsid w:val="003A46B4"/>
    <w:rsid w:val="003A47F2"/>
    <w:rsid w:val="003A4E58"/>
    <w:rsid w:val="003A5027"/>
    <w:rsid w:val="003A52AF"/>
    <w:rsid w:val="003A52DF"/>
    <w:rsid w:val="003A5B59"/>
    <w:rsid w:val="003A5B5B"/>
    <w:rsid w:val="003A5D74"/>
    <w:rsid w:val="003A5FC9"/>
    <w:rsid w:val="003A6064"/>
    <w:rsid w:val="003A6501"/>
    <w:rsid w:val="003A6DE6"/>
    <w:rsid w:val="003A741C"/>
    <w:rsid w:val="003A77BE"/>
    <w:rsid w:val="003A77D8"/>
    <w:rsid w:val="003A7BF9"/>
    <w:rsid w:val="003A7F22"/>
    <w:rsid w:val="003B0233"/>
    <w:rsid w:val="003B02C3"/>
    <w:rsid w:val="003B0568"/>
    <w:rsid w:val="003B056D"/>
    <w:rsid w:val="003B07E8"/>
    <w:rsid w:val="003B0F3C"/>
    <w:rsid w:val="003B1403"/>
    <w:rsid w:val="003B1579"/>
    <w:rsid w:val="003B1778"/>
    <w:rsid w:val="003B195A"/>
    <w:rsid w:val="003B1A57"/>
    <w:rsid w:val="003B1FB7"/>
    <w:rsid w:val="003B2352"/>
    <w:rsid w:val="003B2835"/>
    <w:rsid w:val="003B290F"/>
    <w:rsid w:val="003B2CDE"/>
    <w:rsid w:val="003B2D93"/>
    <w:rsid w:val="003B2F49"/>
    <w:rsid w:val="003B3367"/>
    <w:rsid w:val="003B35D6"/>
    <w:rsid w:val="003B3C2D"/>
    <w:rsid w:val="003B3CBC"/>
    <w:rsid w:val="003B3CFE"/>
    <w:rsid w:val="003B3E10"/>
    <w:rsid w:val="003B410A"/>
    <w:rsid w:val="003B43D4"/>
    <w:rsid w:val="003B481E"/>
    <w:rsid w:val="003B4A71"/>
    <w:rsid w:val="003B4CE5"/>
    <w:rsid w:val="003B4D7D"/>
    <w:rsid w:val="003B4FD0"/>
    <w:rsid w:val="003B56EA"/>
    <w:rsid w:val="003B5818"/>
    <w:rsid w:val="003B5C46"/>
    <w:rsid w:val="003B5D14"/>
    <w:rsid w:val="003B5D2E"/>
    <w:rsid w:val="003B5D51"/>
    <w:rsid w:val="003B5F77"/>
    <w:rsid w:val="003B631C"/>
    <w:rsid w:val="003B6488"/>
    <w:rsid w:val="003B6881"/>
    <w:rsid w:val="003B68AE"/>
    <w:rsid w:val="003B68BD"/>
    <w:rsid w:val="003B6CE0"/>
    <w:rsid w:val="003B6D7C"/>
    <w:rsid w:val="003B7469"/>
    <w:rsid w:val="003B7614"/>
    <w:rsid w:val="003B77B3"/>
    <w:rsid w:val="003C01D1"/>
    <w:rsid w:val="003C0C06"/>
    <w:rsid w:val="003C0C2F"/>
    <w:rsid w:val="003C10FF"/>
    <w:rsid w:val="003C14AF"/>
    <w:rsid w:val="003C1706"/>
    <w:rsid w:val="003C1B1D"/>
    <w:rsid w:val="003C1E79"/>
    <w:rsid w:val="003C22AE"/>
    <w:rsid w:val="003C2802"/>
    <w:rsid w:val="003C2936"/>
    <w:rsid w:val="003C2D20"/>
    <w:rsid w:val="003C3090"/>
    <w:rsid w:val="003C32C1"/>
    <w:rsid w:val="003C39CE"/>
    <w:rsid w:val="003C46B0"/>
    <w:rsid w:val="003C486D"/>
    <w:rsid w:val="003C5127"/>
    <w:rsid w:val="003C54FC"/>
    <w:rsid w:val="003C561A"/>
    <w:rsid w:val="003C57FA"/>
    <w:rsid w:val="003C5935"/>
    <w:rsid w:val="003C5CAE"/>
    <w:rsid w:val="003C5E9E"/>
    <w:rsid w:val="003C619E"/>
    <w:rsid w:val="003C6307"/>
    <w:rsid w:val="003C630E"/>
    <w:rsid w:val="003C6E9C"/>
    <w:rsid w:val="003C7569"/>
    <w:rsid w:val="003C7A35"/>
    <w:rsid w:val="003C7AF4"/>
    <w:rsid w:val="003C7BF1"/>
    <w:rsid w:val="003D0367"/>
    <w:rsid w:val="003D03C8"/>
    <w:rsid w:val="003D12D9"/>
    <w:rsid w:val="003D13C5"/>
    <w:rsid w:val="003D1A24"/>
    <w:rsid w:val="003D1EAE"/>
    <w:rsid w:val="003D26E7"/>
    <w:rsid w:val="003D281B"/>
    <w:rsid w:val="003D28B9"/>
    <w:rsid w:val="003D2BB8"/>
    <w:rsid w:val="003D2EFD"/>
    <w:rsid w:val="003D33FD"/>
    <w:rsid w:val="003D3411"/>
    <w:rsid w:val="003D3E11"/>
    <w:rsid w:val="003D4D42"/>
    <w:rsid w:val="003D51D6"/>
    <w:rsid w:val="003D58E9"/>
    <w:rsid w:val="003D5D83"/>
    <w:rsid w:val="003D5ECA"/>
    <w:rsid w:val="003D5F4E"/>
    <w:rsid w:val="003D61FD"/>
    <w:rsid w:val="003D6DF2"/>
    <w:rsid w:val="003D6FCE"/>
    <w:rsid w:val="003D7808"/>
    <w:rsid w:val="003D7844"/>
    <w:rsid w:val="003D7A39"/>
    <w:rsid w:val="003E074A"/>
    <w:rsid w:val="003E0B47"/>
    <w:rsid w:val="003E0CC5"/>
    <w:rsid w:val="003E11AD"/>
    <w:rsid w:val="003E1513"/>
    <w:rsid w:val="003E156B"/>
    <w:rsid w:val="003E1A58"/>
    <w:rsid w:val="003E1D8F"/>
    <w:rsid w:val="003E2375"/>
    <w:rsid w:val="003E2AC3"/>
    <w:rsid w:val="003E2FA5"/>
    <w:rsid w:val="003E36A5"/>
    <w:rsid w:val="003E3BD8"/>
    <w:rsid w:val="003E42E4"/>
    <w:rsid w:val="003E4701"/>
    <w:rsid w:val="003E47D7"/>
    <w:rsid w:val="003E4E5E"/>
    <w:rsid w:val="003E4EE5"/>
    <w:rsid w:val="003E5335"/>
    <w:rsid w:val="003E5408"/>
    <w:rsid w:val="003E5AED"/>
    <w:rsid w:val="003E5E44"/>
    <w:rsid w:val="003E6252"/>
    <w:rsid w:val="003E6857"/>
    <w:rsid w:val="003E6A54"/>
    <w:rsid w:val="003E6EC1"/>
    <w:rsid w:val="003E7151"/>
    <w:rsid w:val="003E7690"/>
    <w:rsid w:val="003E7D54"/>
    <w:rsid w:val="003E7F9F"/>
    <w:rsid w:val="003F0230"/>
    <w:rsid w:val="003F0722"/>
    <w:rsid w:val="003F07AB"/>
    <w:rsid w:val="003F0B48"/>
    <w:rsid w:val="003F0E14"/>
    <w:rsid w:val="003F152C"/>
    <w:rsid w:val="003F1654"/>
    <w:rsid w:val="003F16AD"/>
    <w:rsid w:val="003F203A"/>
    <w:rsid w:val="003F217C"/>
    <w:rsid w:val="003F26BC"/>
    <w:rsid w:val="003F2C85"/>
    <w:rsid w:val="003F38D1"/>
    <w:rsid w:val="003F42CE"/>
    <w:rsid w:val="003F4514"/>
    <w:rsid w:val="003F4B77"/>
    <w:rsid w:val="003F4B9C"/>
    <w:rsid w:val="003F54F9"/>
    <w:rsid w:val="003F5644"/>
    <w:rsid w:val="003F575D"/>
    <w:rsid w:val="003F585E"/>
    <w:rsid w:val="003F5935"/>
    <w:rsid w:val="003F5979"/>
    <w:rsid w:val="003F5B0A"/>
    <w:rsid w:val="003F6024"/>
    <w:rsid w:val="003F619B"/>
    <w:rsid w:val="003F6806"/>
    <w:rsid w:val="003F72A5"/>
    <w:rsid w:val="003F73AA"/>
    <w:rsid w:val="003F79C0"/>
    <w:rsid w:val="003F7D35"/>
    <w:rsid w:val="003F7F17"/>
    <w:rsid w:val="004000A1"/>
    <w:rsid w:val="004005A9"/>
    <w:rsid w:val="00400F4F"/>
    <w:rsid w:val="004018D9"/>
    <w:rsid w:val="00401B89"/>
    <w:rsid w:val="00401BB3"/>
    <w:rsid w:val="004024FB"/>
    <w:rsid w:val="004025AE"/>
    <w:rsid w:val="004026B0"/>
    <w:rsid w:val="0040274D"/>
    <w:rsid w:val="004029BF"/>
    <w:rsid w:val="00402A2C"/>
    <w:rsid w:val="00402CCF"/>
    <w:rsid w:val="004036B1"/>
    <w:rsid w:val="00403854"/>
    <w:rsid w:val="0040403F"/>
    <w:rsid w:val="004043C1"/>
    <w:rsid w:val="0040449A"/>
    <w:rsid w:val="00404544"/>
    <w:rsid w:val="00404737"/>
    <w:rsid w:val="004047B2"/>
    <w:rsid w:val="004049D8"/>
    <w:rsid w:val="00405080"/>
    <w:rsid w:val="004052F6"/>
    <w:rsid w:val="0040552A"/>
    <w:rsid w:val="00405ABC"/>
    <w:rsid w:val="004060B9"/>
    <w:rsid w:val="004060E4"/>
    <w:rsid w:val="004064DB"/>
    <w:rsid w:val="004073F2"/>
    <w:rsid w:val="0040779A"/>
    <w:rsid w:val="00407B00"/>
    <w:rsid w:val="00410C21"/>
    <w:rsid w:val="00411232"/>
    <w:rsid w:val="00411461"/>
    <w:rsid w:val="004122D3"/>
    <w:rsid w:val="00412992"/>
    <w:rsid w:val="00412C89"/>
    <w:rsid w:val="00413918"/>
    <w:rsid w:val="00413BBF"/>
    <w:rsid w:val="00413CCE"/>
    <w:rsid w:val="00413FFE"/>
    <w:rsid w:val="004143F1"/>
    <w:rsid w:val="00414540"/>
    <w:rsid w:val="00415132"/>
    <w:rsid w:val="0041520F"/>
    <w:rsid w:val="00415464"/>
    <w:rsid w:val="004156CD"/>
    <w:rsid w:val="004157FB"/>
    <w:rsid w:val="00415B89"/>
    <w:rsid w:val="0041706C"/>
    <w:rsid w:val="00417227"/>
    <w:rsid w:val="004173F8"/>
    <w:rsid w:val="0041750B"/>
    <w:rsid w:val="004176A7"/>
    <w:rsid w:val="00417C40"/>
    <w:rsid w:val="004207F9"/>
    <w:rsid w:val="004212E3"/>
    <w:rsid w:val="0042131A"/>
    <w:rsid w:val="004213B9"/>
    <w:rsid w:val="00421983"/>
    <w:rsid w:val="00421A08"/>
    <w:rsid w:val="00421C4F"/>
    <w:rsid w:val="004220E7"/>
    <w:rsid w:val="004229FB"/>
    <w:rsid w:val="00422F84"/>
    <w:rsid w:val="004234ED"/>
    <w:rsid w:val="00423604"/>
    <w:rsid w:val="0042371E"/>
    <w:rsid w:val="00423E7D"/>
    <w:rsid w:val="00423FB2"/>
    <w:rsid w:val="004241D8"/>
    <w:rsid w:val="0042421D"/>
    <w:rsid w:val="00424477"/>
    <w:rsid w:val="004247D1"/>
    <w:rsid w:val="004247F0"/>
    <w:rsid w:val="004249FA"/>
    <w:rsid w:val="00424B86"/>
    <w:rsid w:val="00424BDE"/>
    <w:rsid w:val="00425063"/>
    <w:rsid w:val="0042538B"/>
    <w:rsid w:val="0042686C"/>
    <w:rsid w:val="00426D49"/>
    <w:rsid w:val="00426D53"/>
    <w:rsid w:val="00426D61"/>
    <w:rsid w:val="00426DA6"/>
    <w:rsid w:val="004270A4"/>
    <w:rsid w:val="00427113"/>
    <w:rsid w:val="00427AAD"/>
    <w:rsid w:val="00427C23"/>
    <w:rsid w:val="0043024F"/>
    <w:rsid w:val="00430726"/>
    <w:rsid w:val="00430736"/>
    <w:rsid w:val="00430849"/>
    <w:rsid w:val="00431376"/>
    <w:rsid w:val="004318AF"/>
    <w:rsid w:val="00432134"/>
    <w:rsid w:val="004330FD"/>
    <w:rsid w:val="004333BC"/>
    <w:rsid w:val="004333CC"/>
    <w:rsid w:val="00433455"/>
    <w:rsid w:val="00433F84"/>
    <w:rsid w:val="00434080"/>
    <w:rsid w:val="00434432"/>
    <w:rsid w:val="004345C1"/>
    <w:rsid w:val="004346EE"/>
    <w:rsid w:val="004348C7"/>
    <w:rsid w:val="00434A53"/>
    <w:rsid w:val="00435DB4"/>
    <w:rsid w:val="00436039"/>
    <w:rsid w:val="0043606C"/>
    <w:rsid w:val="004364EE"/>
    <w:rsid w:val="00436B90"/>
    <w:rsid w:val="004370DF"/>
    <w:rsid w:val="004373AE"/>
    <w:rsid w:val="004378E2"/>
    <w:rsid w:val="00437E15"/>
    <w:rsid w:val="00437E48"/>
    <w:rsid w:val="00440224"/>
    <w:rsid w:val="00440743"/>
    <w:rsid w:val="00440C76"/>
    <w:rsid w:val="00440CAF"/>
    <w:rsid w:val="00440E3A"/>
    <w:rsid w:val="00440FF9"/>
    <w:rsid w:val="00441136"/>
    <w:rsid w:val="004415A8"/>
    <w:rsid w:val="00441B12"/>
    <w:rsid w:val="004422CA"/>
    <w:rsid w:val="00442C86"/>
    <w:rsid w:val="00442F51"/>
    <w:rsid w:val="0044369C"/>
    <w:rsid w:val="0044385C"/>
    <w:rsid w:val="0044388F"/>
    <w:rsid w:val="00443A1E"/>
    <w:rsid w:val="00443F3C"/>
    <w:rsid w:val="004440A5"/>
    <w:rsid w:val="00444431"/>
    <w:rsid w:val="00444D7C"/>
    <w:rsid w:val="00445159"/>
    <w:rsid w:val="00445195"/>
    <w:rsid w:val="00445872"/>
    <w:rsid w:val="0044593C"/>
    <w:rsid w:val="00445FBE"/>
    <w:rsid w:val="0044634C"/>
    <w:rsid w:val="00446E68"/>
    <w:rsid w:val="00446EE7"/>
    <w:rsid w:val="004472B2"/>
    <w:rsid w:val="00447C3E"/>
    <w:rsid w:val="00447D0E"/>
    <w:rsid w:val="00447FE4"/>
    <w:rsid w:val="0045033A"/>
    <w:rsid w:val="00450456"/>
    <w:rsid w:val="0045070B"/>
    <w:rsid w:val="00450A35"/>
    <w:rsid w:val="00450CB3"/>
    <w:rsid w:val="00450D6D"/>
    <w:rsid w:val="00450E33"/>
    <w:rsid w:val="00450F32"/>
    <w:rsid w:val="004512BB"/>
    <w:rsid w:val="004514C1"/>
    <w:rsid w:val="00451C5C"/>
    <w:rsid w:val="00451D58"/>
    <w:rsid w:val="00451E7C"/>
    <w:rsid w:val="004525E6"/>
    <w:rsid w:val="00452B95"/>
    <w:rsid w:val="00452C8E"/>
    <w:rsid w:val="00453488"/>
    <w:rsid w:val="0045423B"/>
    <w:rsid w:val="004544AC"/>
    <w:rsid w:val="004548DA"/>
    <w:rsid w:val="00454CAC"/>
    <w:rsid w:val="0045527F"/>
    <w:rsid w:val="0045593D"/>
    <w:rsid w:val="00455A8C"/>
    <w:rsid w:val="00455AEB"/>
    <w:rsid w:val="00455B65"/>
    <w:rsid w:val="00455FE6"/>
    <w:rsid w:val="00456245"/>
    <w:rsid w:val="004567DD"/>
    <w:rsid w:val="0045686E"/>
    <w:rsid w:val="0045697C"/>
    <w:rsid w:val="004569D8"/>
    <w:rsid w:val="004570DF"/>
    <w:rsid w:val="00457572"/>
    <w:rsid w:val="004575C7"/>
    <w:rsid w:val="00457970"/>
    <w:rsid w:val="00457BD6"/>
    <w:rsid w:val="00457C49"/>
    <w:rsid w:val="00457EA8"/>
    <w:rsid w:val="00457ECE"/>
    <w:rsid w:val="00457F5E"/>
    <w:rsid w:val="00460093"/>
    <w:rsid w:val="0046023B"/>
    <w:rsid w:val="00460285"/>
    <w:rsid w:val="004602EF"/>
    <w:rsid w:val="00460590"/>
    <w:rsid w:val="00460700"/>
    <w:rsid w:val="00461E29"/>
    <w:rsid w:val="00462022"/>
    <w:rsid w:val="00462830"/>
    <w:rsid w:val="00462AD3"/>
    <w:rsid w:val="00462B36"/>
    <w:rsid w:val="00462BB3"/>
    <w:rsid w:val="00462BF0"/>
    <w:rsid w:val="00462DB6"/>
    <w:rsid w:val="00462F42"/>
    <w:rsid w:val="0046336D"/>
    <w:rsid w:val="0046389C"/>
    <w:rsid w:val="004638CE"/>
    <w:rsid w:val="004650E1"/>
    <w:rsid w:val="00465105"/>
    <w:rsid w:val="00465935"/>
    <w:rsid w:val="0046598F"/>
    <w:rsid w:val="00465E28"/>
    <w:rsid w:val="0046626A"/>
    <w:rsid w:val="004662CF"/>
    <w:rsid w:val="0046691C"/>
    <w:rsid w:val="00466CE5"/>
    <w:rsid w:val="00467921"/>
    <w:rsid w:val="00467A72"/>
    <w:rsid w:val="00467E8F"/>
    <w:rsid w:val="00467ED6"/>
    <w:rsid w:val="004703A8"/>
    <w:rsid w:val="004706E5"/>
    <w:rsid w:val="00470906"/>
    <w:rsid w:val="00470EE5"/>
    <w:rsid w:val="004720E4"/>
    <w:rsid w:val="004722B5"/>
    <w:rsid w:val="0047258B"/>
    <w:rsid w:val="00472AAF"/>
    <w:rsid w:val="0047320F"/>
    <w:rsid w:val="00473AAE"/>
    <w:rsid w:val="00473ACC"/>
    <w:rsid w:val="00473AD5"/>
    <w:rsid w:val="004742FF"/>
    <w:rsid w:val="00474EB7"/>
    <w:rsid w:val="00474F35"/>
    <w:rsid w:val="004755B3"/>
    <w:rsid w:val="00475CDA"/>
    <w:rsid w:val="00476204"/>
    <w:rsid w:val="00476846"/>
    <w:rsid w:val="00476B3E"/>
    <w:rsid w:val="00476EFE"/>
    <w:rsid w:val="00476FBA"/>
    <w:rsid w:val="00477081"/>
    <w:rsid w:val="004772B7"/>
    <w:rsid w:val="0047751D"/>
    <w:rsid w:val="00477BD3"/>
    <w:rsid w:val="00477F30"/>
    <w:rsid w:val="0048016F"/>
    <w:rsid w:val="00480E83"/>
    <w:rsid w:val="00480F0D"/>
    <w:rsid w:val="0048101B"/>
    <w:rsid w:val="00481291"/>
    <w:rsid w:val="00481B3E"/>
    <w:rsid w:val="00481B58"/>
    <w:rsid w:val="00481F7B"/>
    <w:rsid w:val="0048234D"/>
    <w:rsid w:val="00482689"/>
    <w:rsid w:val="004828D2"/>
    <w:rsid w:val="0048299A"/>
    <w:rsid w:val="00482AAB"/>
    <w:rsid w:val="00482BFE"/>
    <w:rsid w:val="00482C63"/>
    <w:rsid w:val="0048386E"/>
    <w:rsid w:val="00483920"/>
    <w:rsid w:val="00484085"/>
    <w:rsid w:val="004841CD"/>
    <w:rsid w:val="0048488B"/>
    <w:rsid w:val="00485AC1"/>
    <w:rsid w:val="00486325"/>
    <w:rsid w:val="0048635A"/>
    <w:rsid w:val="004865A3"/>
    <w:rsid w:val="00486CC3"/>
    <w:rsid w:val="00486F25"/>
    <w:rsid w:val="00487034"/>
    <w:rsid w:val="004872AB"/>
    <w:rsid w:val="00487577"/>
    <w:rsid w:val="00487822"/>
    <w:rsid w:val="004878F9"/>
    <w:rsid w:val="00487D83"/>
    <w:rsid w:val="00487DF9"/>
    <w:rsid w:val="004900F2"/>
    <w:rsid w:val="0049010A"/>
    <w:rsid w:val="0049059F"/>
    <w:rsid w:val="00490E15"/>
    <w:rsid w:val="0049136A"/>
    <w:rsid w:val="004916C0"/>
    <w:rsid w:val="00491AB6"/>
    <w:rsid w:val="00491F91"/>
    <w:rsid w:val="0049209A"/>
    <w:rsid w:val="00492231"/>
    <w:rsid w:val="004928CA"/>
    <w:rsid w:val="00493BCE"/>
    <w:rsid w:val="00493D95"/>
    <w:rsid w:val="00493F42"/>
    <w:rsid w:val="00494126"/>
    <w:rsid w:val="004948F5"/>
    <w:rsid w:val="00494AF5"/>
    <w:rsid w:val="00494DE3"/>
    <w:rsid w:val="00494F10"/>
    <w:rsid w:val="00495353"/>
    <w:rsid w:val="0049567E"/>
    <w:rsid w:val="00495C68"/>
    <w:rsid w:val="00496236"/>
    <w:rsid w:val="004963CA"/>
    <w:rsid w:val="00496712"/>
    <w:rsid w:val="00496D43"/>
    <w:rsid w:val="00496D66"/>
    <w:rsid w:val="00496F8D"/>
    <w:rsid w:val="004972F6"/>
    <w:rsid w:val="0049733E"/>
    <w:rsid w:val="004974B4"/>
    <w:rsid w:val="004974DF"/>
    <w:rsid w:val="004976E7"/>
    <w:rsid w:val="004978C4"/>
    <w:rsid w:val="004978CD"/>
    <w:rsid w:val="00497F5D"/>
    <w:rsid w:val="004A03EA"/>
    <w:rsid w:val="004A1070"/>
    <w:rsid w:val="004A1295"/>
    <w:rsid w:val="004A17EE"/>
    <w:rsid w:val="004A1E5C"/>
    <w:rsid w:val="004A1FBF"/>
    <w:rsid w:val="004A2F0F"/>
    <w:rsid w:val="004A339E"/>
    <w:rsid w:val="004A342A"/>
    <w:rsid w:val="004A34BA"/>
    <w:rsid w:val="004A3659"/>
    <w:rsid w:val="004A3BAA"/>
    <w:rsid w:val="004A4325"/>
    <w:rsid w:val="004A4730"/>
    <w:rsid w:val="004A47D3"/>
    <w:rsid w:val="004A4FEF"/>
    <w:rsid w:val="004A58CB"/>
    <w:rsid w:val="004A5A91"/>
    <w:rsid w:val="004A6634"/>
    <w:rsid w:val="004A6856"/>
    <w:rsid w:val="004A68AB"/>
    <w:rsid w:val="004A6F47"/>
    <w:rsid w:val="004A7893"/>
    <w:rsid w:val="004A797E"/>
    <w:rsid w:val="004A79F9"/>
    <w:rsid w:val="004A7CF4"/>
    <w:rsid w:val="004A7FC8"/>
    <w:rsid w:val="004B0CD8"/>
    <w:rsid w:val="004B0FCA"/>
    <w:rsid w:val="004B117A"/>
    <w:rsid w:val="004B12D5"/>
    <w:rsid w:val="004B134B"/>
    <w:rsid w:val="004B15B5"/>
    <w:rsid w:val="004B1E4D"/>
    <w:rsid w:val="004B2013"/>
    <w:rsid w:val="004B2150"/>
    <w:rsid w:val="004B2273"/>
    <w:rsid w:val="004B2C90"/>
    <w:rsid w:val="004B2CEC"/>
    <w:rsid w:val="004B36F3"/>
    <w:rsid w:val="004B3721"/>
    <w:rsid w:val="004B3767"/>
    <w:rsid w:val="004B3B39"/>
    <w:rsid w:val="004B3BD2"/>
    <w:rsid w:val="004B3E16"/>
    <w:rsid w:val="004B3E21"/>
    <w:rsid w:val="004B3F1B"/>
    <w:rsid w:val="004B4062"/>
    <w:rsid w:val="004B4330"/>
    <w:rsid w:val="004B4414"/>
    <w:rsid w:val="004B4534"/>
    <w:rsid w:val="004B4769"/>
    <w:rsid w:val="004B4966"/>
    <w:rsid w:val="004B4A76"/>
    <w:rsid w:val="004B5243"/>
    <w:rsid w:val="004B5784"/>
    <w:rsid w:val="004B5D3F"/>
    <w:rsid w:val="004B6059"/>
    <w:rsid w:val="004B6754"/>
    <w:rsid w:val="004B6D26"/>
    <w:rsid w:val="004B6E5F"/>
    <w:rsid w:val="004B741F"/>
    <w:rsid w:val="004B7B90"/>
    <w:rsid w:val="004C0F7E"/>
    <w:rsid w:val="004C1669"/>
    <w:rsid w:val="004C1889"/>
    <w:rsid w:val="004C1C02"/>
    <w:rsid w:val="004C2225"/>
    <w:rsid w:val="004C3F5E"/>
    <w:rsid w:val="004C402E"/>
    <w:rsid w:val="004C4064"/>
    <w:rsid w:val="004C417A"/>
    <w:rsid w:val="004C436E"/>
    <w:rsid w:val="004C4726"/>
    <w:rsid w:val="004C48F5"/>
    <w:rsid w:val="004C4FE6"/>
    <w:rsid w:val="004C508D"/>
    <w:rsid w:val="004C551D"/>
    <w:rsid w:val="004C5630"/>
    <w:rsid w:val="004C5887"/>
    <w:rsid w:val="004C59C9"/>
    <w:rsid w:val="004C5C04"/>
    <w:rsid w:val="004C5E22"/>
    <w:rsid w:val="004C601F"/>
    <w:rsid w:val="004C651A"/>
    <w:rsid w:val="004C6847"/>
    <w:rsid w:val="004C6CC1"/>
    <w:rsid w:val="004C6E4F"/>
    <w:rsid w:val="004C6ED4"/>
    <w:rsid w:val="004C6FD2"/>
    <w:rsid w:val="004C76C5"/>
    <w:rsid w:val="004C7D08"/>
    <w:rsid w:val="004D0016"/>
    <w:rsid w:val="004D01BA"/>
    <w:rsid w:val="004D0878"/>
    <w:rsid w:val="004D0FAA"/>
    <w:rsid w:val="004D1BF5"/>
    <w:rsid w:val="004D1CEC"/>
    <w:rsid w:val="004D28DE"/>
    <w:rsid w:val="004D2901"/>
    <w:rsid w:val="004D2BB2"/>
    <w:rsid w:val="004D2BB3"/>
    <w:rsid w:val="004D2BEA"/>
    <w:rsid w:val="004D3025"/>
    <w:rsid w:val="004D3EF2"/>
    <w:rsid w:val="004D3F06"/>
    <w:rsid w:val="004D4785"/>
    <w:rsid w:val="004D53EB"/>
    <w:rsid w:val="004D55D1"/>
    <w:rsid w:val="004D5A5C"/>
    <w:rsid w:val="004D5A8F"/>
    <w:rsid w:val="004D6182"/>
    <w:rsid w:val="004D6832"/>
    <w:rsid w:val="004D6BBA"/>
    <w:rsid w:val="004D6D25"/>
    <w:rsid w:val="004D6F55"/>
    <w:rsid w:val="004D6F8E"/>
    <w:rsid w:val="004D756B"/>
    <w:rsid w:val="004E0112"/>
    <w:rsid w:val="004E0166"/>
    <w:rsid w:val="004E0315"/>
    <w:rsid w:val="004E08AA"/>
    <w:rsid w:val="004E0D77"/>
    <w:rsid w:val="004E124F"/>
    <w:rsid w:val="004E1359"/>
    <w:rsid w:val="004E157D"/>
    <w:rsid w:val="004E15EB"/>
    <w:rsid w:val="004E1F45"/>
    <w:rsid w:val="004E1FA4"/>
    <w:rsid w:val="004E2120"/>
    <w:rsid w:val="004E255E"/>
    <w:rsid w:val="004E255F"/>
    <w:rsid w:val="004E2975"/>
    <w:rsid w:val="004E2CA4"/>
    <w:rsid w:val="004E3732"/>
    <w:rsid w:val="004E3A53"/>
    <w:rsid w:val="004E42B9"/>
    <w:rsid w:val="004E47B3"/>
    <w:rsid w:val="004E4BDC"/>
    <w:rsid w:val="004E4C41"/>
    <w:rsid w:val="004E5034"/>
    <w:rsid w:val="004E562D"/>
    <w:rsid w:val="004E568C"/>
    <w:rsid w:val="004E5699"/>
    <w:rsid w:val="004E572B"/>
    <w:rsid w:val="004E5E46"/>
    <w:rsid w:val="004E5EDD"/>
    <w:rsid w:val="004E602B"/>
    <w:rsid w:val="004E6111"/>
    <w:rsid w:val="004E6628"/>
    <w:rsid w:val="004E7032"/>
    <w:rsid w:val="004E73E2"/>
    <w:rsid w:val="004E7AC8"/>
    <w:rsid w:val="004F0286"/>
    <w:rsid w:val="004F0C10"/>
    <w:rsid w:val="004F0CE2"/>
    <w:rsid w:val="004F0CE8"/>
    <w:rsid w:val="004F0E1B"/>
    <w:rsid w:val="004F1124"/>
    <w:rsid w:val="004F1142"/>
    <w:rsid w:val="004F1297"/>
    <w:rsid w:val="004F1CEA"/>
    <w:rsid w:val="004F1F81"/>
    <w:rsid w:val="004F2D16"/>
    <w:rsid w:val="004F2E49"/>
    <w:rsid w:val="004F313C"/>
    <w:rsid w:val="004F367E"/>
    <w:rsid w:val="004F514B"/>
    <w:rsid w:val="004F53DE"/>
    <w:rsid w:val="004F547E"/>
    <w:rsid w:val="004F6091"/>
    <w:rsid w:val="004F6C16"/>
    <w:rsid w:val="004F6DFA"/>
    <w:rsid w:val="004F749C"/>
    <w:rsid w:val="004F7CD5"/>
    <w:rsid w:val="00500370"/>
    <w:rsid w:val="005004ED"/>
    <w:rsid w:val="0050070A"/>
    <w:rsid w:val="00500736"/>
    <w:rsid w:val="00500A75"/>
    <w:rsid w:val="00501170"/>
    <w:rsid w:val="0050133E"/>
    <w:rsid w:val="00501A7E"/>
    <w:rsid w:val="00501B4B"/>
    <w:rsid w:val="00501BCB"/>
    <w:rsid w:val="00501C8E"/>
    <w:rsid w:val="00501E99"/>
    <w:rsid w:val="00502438"/>
    <w:rsid w:val="005024A2"/>
    <w:rsid w:val="00502500"/>
    <w:rsid w:val="00502595"/>
    <w:rsid w:val="005026D3"/>
    <w:rsid w:val="0050273D"/>
    <w:rsid w:val="00502890"/>
    <w:rsid w:val="00502E89"/>
    <w:rsid w:val="00502E97"/>
    <w:rsid w:val="00503044"/>
    <w:rsid w:val="0050321D"/>
    <w:rsid w:val="00503594"/>
    <w:rsid w:val="005038FB"/>
    <w:rsid w:val="00503CCC"/>
    <w:rsid w:val="00503F0A"/>
    <w:rsid w:val="005042F3"/>
    <w:rsid w:val="005047E2"/>
    <w:rsid w:val="005048CE"/>
    <w:rsid w:val="00504FAE"/>
    <w:rsid w:val="0050536D"/>
    <w:rsid w:val="0050559B"/>
    <w:rsid w:val="00505659"/>
    <w:rsid w:val="005056B2"/>
    <w:rsid w:val="00505872"/>
    <w:rsid w:val="00505BBD"/>
    <w:rsid w:val="00505FCC"/>
    <w:rsid w:val="00506248"/>
    <w:rsid w:val="00506923"/>
    <w:rsid w:val="00506943"/>
    <w:rsid w:val="00506EA8"/>
    <w:rsid w:val="00507002"/>
    <w:rsid w:val="00507C48"/>
    <w:rsid w:val="005101F5"/>
    <w:rsid w:val="005103BB"/>
    <w:rsid w:val="00510D53"/>
    <w:rsid w:val="00510F03"/>
    <w:rsid w:val="005112DA"/>
    <w:rsid w:val="00511432"/>
    <w:rsid w:val="005117E5"/>
    <w:rsid w:val="0051217B"/>
    <w:rsid w:val="005121A4"/>
    <w:rsid w:val="005123A7"/>
    <w:rsid w:val="005126FB"/>
    <w:rsid w:val="00512925"/>
    <w:rsid w:val="005130B8"/>
    <w:rsid w:val="005135AB"/>
    <w:rsid w:val="00513BBD"/>
    <w:rsid w:val="005141DE"/>
    <w:rsid w:val="005141E5"/>
    <w:rsid w:val="00514278"/>
    <w:rsid w:val="0051446B"/>
    <w:rsid w:val="00514C5E"/>
    <w:rsid w:val="00514CC8"/>
    <w:rsid w:val="00514CEA"/>
    <w:rsid w:val="00514FD6"/>
    <w:rsid w:val="005159A7"/>
    <w:rsid w:val="00515A99"/>
    <w:rsid w:val="00515D0F"/>
    <w:rsid w:val="005161D0"/>
    <w:rsid w:val="0051629D"/>
    <w:rsid w:val="005165A4"/>
    <w:rsid w:val="005168E4"/>
    <w:rsid w:val="00516DF9"/>
    <w:rsid w:val="00517854"/>
    <w:rsid w:val="00517EC9"/>
    <w:rsid w:val="00520741"/>
    <w:rsid w:val="0052085A"/>
    <w:rsid w:val="005208C8"/>
    <w:rsid w:val="00520CAA"/>
    <w:rsid w:val="005216CF"/>
    <w:rsid w:val="00521E52"/>
    <w:rsid w:val="00522206"/>
    <w:rsid w:val="00522865"/>
    <w:rsid w:val="00522D56"/>
    <w:rsid w:val="00522EDF"/>
    <w:rsid w:val="005230FA"/>
    <w:rsid w:val="00523561"/>
    <w:rsid w:val="00523AD4"/>
    <w:rsid w:val="0052419B"/>
    <w:rsid w:val="005243B1"/>
    <w:rsid w:val="0052442E"/>
    <w:rsid w:val="0052457B"/>
    <w:rsid w:val="005256E2"/>
    <w:rsid w:val="00525736"/>
    <w:rsid w:val="00526093"/>
    <w:rsid w:val="005272FD"/>
    <w:rsid w:val="005275E7"/>
    <w:rsid w:val="005278C8"/>
    <w:rsid w:val="00527B45"/>
    <w:rsid w:val="00527B80"/>
    <w:rsid w:val="00527F83"/>
    <w:rsid w:val="005304BE"/>
    <w:rsid w:val="00531177"/>
    <w:rsid w:val="00531207"/>
    <w:rsid w:val="0053184B"/>
    <w:rsid w:val="00531AC6"/>
    <w:rsid w:val="00531E32"/>
    <w:rsid w:val="00532AAE"/>
    <w:rsid w:val="00532B1A"/>
    <w:rsid w:val="00533056"/>
    <w:rsid w:val="0053351F"/>
    <w:rsid w:val="00533A86"/>
    <w:rsid w:val="00533BA2"/>
    <w:rsid w:val="00533EC2"/>
    <w:rsid w:val="005340E0"/>
    <w:rsid w:val="00534390"/>
    <w:rsid w:val="00534612"/>
    <w:rsid w:val="005346FD"/>
    <w:rsid w:val="005348DF"/>
    <w:rsid w:val="00534A36"/>
    <w:rsid w:val="00534CA9"/>
    <w:rsid w:val="00534D0C"/>
    <w:rsid w:val="0053517A"/>
    <w:rsid w:val="005352AB"/>
    <w:rsid w:val="00535AC7"/>
    <w:rsid w:val="00535D44"/>
    <w:rsid w:val="00535E03"/>
    <w:rsid w:val="0053606C"/>
    <w:rsid w:val="005361CB"/>
    <w:rsid w:val="00536411"/>
    <w:rsid w:val="00536B82"/>
    <w:rsid w:val="005373E3"/>
    <w:rsid w:val="0053775C"/>
    <w:rsid w:val="0054065A"/>
    <w:rsid w:val="00540BD4"/>
    <w:rsid w:val="00540EBF"/>
    <w:rsid w:val="00541455"/>
    <w:rsid w:val="00541609"/>
    <w:rsid w:val="005418ED"/>
    <w:rsid w:val="00541A7B"/>
    <w:rsid w:val="00541B20"/>
    <w:rsid w:val="005427E9"/>
    <w:rsid w:val="005429AC"/>
    <w:rsid w:val="00542E2A"/>
    <w:rsid w:val="005431D9"/>
    <w:rsid w:val="0054323F"/>
    <w:rsid w:val="0054328E"/>
    <w:rsid w:val="005433CF"/>
    <w:rsid w:val="005434D3"/>
    <w:rsid w:val="0054359A"/>
    <w:rsid w:val="00543686"/>
    <w:rsid w:val="0054388B"/>
    <w:rsid w:val="00543A11"/>
    <w:rsid w:val="0054419C"/>
    <w:rsid w:val="005441A7"/>
    <w:rsid w:val="00544268"/>
    <w:rsid w:val="005446AF"/>
    <w:rsid w:val="0054516E"/>
    <w:rsid w:val="005458EC"/>
    <w:rsid w:val="00545BBB"/>
    <w:rsid w:val="00545BF1"/>
    <w:rsid w:val="00546300"/>
    <w:rsid w:val="005465A8"/>
    <w:rsid w:val="00546B5F"/>
    <w:rsid w:val="00547ABE"/>
    <w:rsid w:val="00547AE8"/>
    <w:rsid w:val="00547BF4"/>
    <w:rsid w:val="00550518"/>
    <w:rsid w:val="00550A43"/>
    <w:rsid w:val="00551496"/>
    <w:rsid w:val="0055194F"/>
    <w:rsid w:val="00551AB7"/>
    <w:rsid w:val="00552062"/>
    <w:rsid w:val="00552154"/>
    <w:rsid w:val="0055216F"/>
    <w:rsid w:val="00552262"/>
    <w:rsid w:val="0055277E"/>
    <w:rsid w:val="00552A6F"/>
    <w:rsid w:val="00552EDC"/>
    <w:rsid w:val="00553669"/>
    <w:rsid w:val="0055381D"/>
    <w:rsid w:val="00553AC8"/>
    <w:rsid w:val="00553B05"/>
    <w:rsid w:val="00553B90"/>
    <w:rsid w:val="00554043"/>
    <w:rsid w:val="005541B5"/>
    <w:rsid w:val="00554655"/>
    <w:rsid w:val="005547AC"/>
    <w:rsid w:val="00554B4C"/>
    <w:rsid w:val="00554C5A"/>
    <w:rsid w:val="00554CCE"/>
    <w:rsid w:val="005552AD"/>
    <w:rsid w:val="00555374"/>
    <w:rsid w:val="005553D9"/>
    <w:rsid w:val="0055546D"/>
    <w:rsid w:val="00555B8C"/>
    <w:rsid w:val="005560AA"/>
    <w:rsid w:val="005562E5"/>
    <w:rsid w:val="0055650C"/>
    <w:rsid w:val="00556AE5"/>
    <w:rsid w:val="00556EAE"/>
    <w:rsid w:val="00556F37"/>
    <w:rsid w:val="0055737D"/>
    <w:rsid w:val="00557933"/>
    <w:rsid w:val="00557E33"/>
    <w:rsid w:val="00557EE5"/>
    <w:rsid w:val="00560106"/>
    <w:rsid w:val="0056024C"/>
    <w:rsid w:val="00560690"/>
    <w:rsid w:val="00561438"/>
    <w:rsid w:val="00561616"/>
    <w:rsid w:val="005616CC"/>
    <w:rsid w:val="005616ED"/>
    <w:rsid w:val="00561900"/>
    <w:rsid w:val="00561B44"/>
    <w:rsid w:val="00561D6B"/>
    <w:rsid w:val="005627A3"/>
    <w:rsid w:val="00562847"/>
    <w:rsid w:val="00563937"/>
    <w:rsid w:val="00563FC8"/>
    <w:rsid w:val="00564261"/>
    <w:rsid w:val="00564642"/>
    <w:rsid w:val="005648A3"/>
    <w:rsid w:val="00564B4B"/>
    <w:rsid w:val="00564DC7"/>
    <w:rsid w:val="00564EB9"/>
    <w:rsid w:val="00564ECB"/>
    <w:rsid w:val="005650BE"/>
    <w:rsid w:val="00565CA3"/>
    <w:rsid w:val="00565F0C"/>
    <w:rsid w:val="005661E1"/>
    <w:rsid w:val="005666D3"/>
    <w:rsid w:val="00566745"/>
    <w:rsid w:val="00566943"/>
    <w:rsid w:val="00567685"/>
    <w:rsid w:val="00567774"/>
    <w:rsid w:val="005679ED"/>
    <w:rsid w:val="00567B93"/>
    <w:rsid w:val="00567D9F"/>
    <w:rsid w:val="005705B0"/>
    <w:rsid w:val="0057085C"/>
    <w:rsid w:val="0057103F"/>
    <w:rsid w:val="00571135"/>
    <w:rsid w:val="00571213"/>
    <w:rsid w:val="005712C5"/>
    <w:rsid w:val="005718CA"/>
    <w:rsid w:val="00571CB1"/>
    <w:rsid w:val="00572397"/>
    <w:rsid w:val="005723EF"/>
    <w:rsid w:val="00572848"/>
    <w:rsid w:val="00572879"/>
    <w:rsid w:val="005736C0"/>
    <w:rsid w:val="00573F29"/>
    <w:rsid w:val="00574185"/>
    <w:rsid w:val="00574496"/>
    <w:rsid w:val="00574A14"/>
    <w:rsid w:val="005750F2"/>
    <w:rsid w:val="0057510F"/>
    <w:rsid w:val="005753B9"/>
    <w:rsid w:val="00575405"/>
    <w:rsid w:val="00575AE4"/>
    <w:rsid w:val="00575FF2"/>
    <w:rsid w:val="00576493"/>
    <w:rsid w:val="005765C6"/>
    <w:rsid w:val="00576655"/>
    <w:rsid w:val="00576670"/>
    <w:rsid w:val="00576C89"/>
    <w:rsid w:val="00576EA8"/>
    <w:rsid w:val="005770A4"/>
    <w:rsid w:val="005770C6"/>
    <w:rsid w:val="00577134"/>
    <w:rsid w:val="0057719E"/>
    <w:rsid w:val="00580A45"/>
    <w:rsid w:val="0058236E"/>
    <w:rsid w:val="00582DB9"/>
    <w:rsid w:val="00582EAC"/>
    <w:rsid w:val="00583A07"/>
    <w:rsid w:val="00584326"/>
    <w:rsid w:val="005843CF"/>
    <w:rsid w:val="00584433"/>
    <w:rsid w:val="005844C4"/>
    <w:rsid w:val="005845A7"/>
    <w:rsid w:val="00584C72"/>
    <w:rsid w:val="0058551C"/>
    <w:rsid w:val="00585744"/>
    <w:rsid w:val="005866AF"/>
    <w:rsid w:val="00586B8C"/>
    <w:rsid w:val="00586D14"/>
    <w:rsid w:val="00587064"/>
    <w:rsid w:val="00587108"/>
    <w:rsid w:val="00587250"/>
    <w:rsid w:val="005877DB"/>
    <w:rsid w:val="00587DE1"/>
    <w:rsid w:val="005906A0"/>
    <w:rsid w:val="005906C4"/>
    <w:rsid w:val="005908B2"/>
    <w:rsid w:val="00590A51"/>
    <w:rsid w:val="00590B37"/>
    <w:rsid w:val="00590F36"/>
    <w:rsid w:val="00591086"/>
    <w:rsid w:val="005911DB"/>
    <w:rsid w:val="00591675"/>
    <w:rsid w:val="0059167E"/>
    <w:rsid w:val="005916D8"/>
    <w:rsid w:val="005917D8"/>
    <w:rsid w:val="00591A68"/>
    <w:rsid w:val="00591AC9"/>
    <w:rsid w:val="00591B7B"/>
    <w:rsid w:val="00591CF4"/>
    <w:rsid w:val="00591EFD"/>
    <w:rsid w:val="0059205C"/>
    <w:rsid w:val="005924A4"/>
    <w:rsid w:val="00592BCB"/>
    <w:rsid w:val="00593091"/>
    <w:rsid w:val="00593530"/>
    <w:rsid w:val="005936F1"/>
    <w:rsid w:val="00593939"/>
    <w:rsid w:val="00593BF3"/>
    <w:rsid w:val="00594540"/>
    <w:rsid w:val="00594D9F"/>
    <w:rsid w:val="00595256"/>
    <w:rsid w:val="005956EA"/>
    <w:rsid w:val="00595C07"/>
    <w:rsid w:val="00595C53"/>
    <w:rsid w:val="00595E1A"/>
    <w:rsid w:val="00596005"/>
    <w:rsid w:val="0059602A"/>
    <w:rsid w:val="0059623D"/>
    <w:rsid w:val="00596303"/>
    <w:rsid w:val="00596BB2"/>
    <w:rsid w:val="00596CE2"/>
    <w:rsid w:val="005970ED"/>
    <w:rsid w:val="00597540"/>
    <w:rsid w:val="005977AC"/>
    <w:rsid w:val="005978D0"/>
    <w:rsid w:val="005978FD"/>
    <w:rsid w:val="005A003F"/>
    <w:rsid w:val="005A050A"/>
    <w:rsid w:val="005A081E"/>
    <w:rsid w:val="005A0DE3"/>
    <w:rsid w:val="005A1384"/>
    <w:rsid w:val="005A1834"/>
    <w:rsid w:val="005A18BB"/>
    <w:rsid w:val="005A1DAD"/>
    <w:rsid w:val="005A22AF"/>
    <w:rsid w:val="005A27C3"/>
    <w:rsid w:val="005A2801"/>
    <w:rsid w:val="005A3AA6"/>
    <w:rsid w:val="005A3B78"/>
    <w:rsid w:val="005A4372"/>
    <w:rsid w:val="005A459A"/>
    <w:rsid w:val="005A46D8"/>
    <w:rsid w:val="005A47C2"/>
    <w:rsid w:val="005A4953"/>
    <w:rsid w:val="005A4988"/>
    <w:rsid w:val="005A4E53"/>
    <w:rsid w:val="005A503B"/>
    <w:rsid w:val="005A5E04"/>
    <w:rsid w:val="005A6115"/>
    <w:rsid w:val="005A62AD"/>
    <w:rsid w:val="005A6411"/>
    <w:rsid w:val="005A6AC5"/>
    <w:rsid w:val="005A6E33"/>
    <w:rsid w:val="005A781F"/>
    <w:rsid w:val="005B0260"/>
    <w:rsid w:val="005B075C"/>
    <w:rsid w:val="005B07C9"/>
    <w:rsid w:val="005B09F9"/>
    <w:rsid w:val="005B0E6B"/>
    <w:rsid w:val="005B0E72"/>
    <w:rsid w:val="005B1220"/>
    <w:rsid w:val="005B1295"/>
    <w:rsid w:val="005B1954"/>
    <w:rsid w:val="005B1E28"/>
    <w:rsid w:val="005B234F"/>
    <w:rsid w:val="005B237F"/>
    <w:rsid w:val="005B27F1"/>
    <w:rsid w:val="005B2CE1"/>
    <w:rsid w:val="005B2DE3"/>
    <w:rsid w:val="005B37A9"/>
    <w:rsid w:val="005B3889"/>
    <w:rsid w:val="005B3A2E"/>
    <w:rsid w:val="005B3D4D"/>
    <w:rsid w:val="005B3E2A"/>
    <w:rsid w:val="005B3FA9"/>
    <w:rsid w:val="005B4E05"/>
    <w:rsid w:val="005B568F"/>
    <w:rsid w:val="005B578F"/>
    <w:rsid w:val="005B5AE1"/>
    <w:rsid w:val="005B6593"/>
    <w:rsid w:val="005B68C6"/>
    <w:rsid w:val="005B7293"/>
    <w:rsid w:val="005B7A2E"/>
    <w:rsid w:val="005B7AFA"/>
    <w:rsid w:val="005B7C24"/>
    <w:rsid w:val="005B7E84"/>
    <w:rsid w:val="005C0074"/>
    <w:rsid w:val="005C0D76"/>
    <w:rsid w:val="005C1F8B"/>
    <w:rsid w:val="005C2024"/>
    <w:rsid w:val="005C2119"/>
    <w:rsid w:val="005C2188"/>
    <w:rsid w:val="005C2305"/>
    <w:rsid w:val="005C2750"/>
    <w:rsid w:val="005C2BE6"/>
    <w:rsid w:val="005C327C"/>
    <w:rsid w:val="005C372D"/>
    <w:rsid w:val="005C381D"/>
    <w:rsid w:val="005C3B81"/>
    <w:rsid w:val="005C3DB6"/>
    <w:rsid w:val="005C406B"/>
    <w:rsid w:val="005C4084"/>
    <w:rsid w:val="005C4BD1"/>
    <w:rsid w:val="005C4BE1"/>
    <w:rsid w:val="005C4C3E"/>
    <w:rsid w:val="005C4D9E"/>
    <w:rsid w:val="005C5980"/>
    <w:rsid w:val="005C6589"/>
    <w:rsid w:val="005C688E"/>
    <w:rsid w:val="005C73F1"/>
    <w:rsid w:val="005C75EC"/>
    <w:rsid w:val="005C7669"/>
    <w:rsid w:val="005C7FE9"/>
    <w:rsid w:val="005D01B4"/>
    <w:rsid w:val="005D0C9A"/>
    <w:rsid w:val="005D1070"/>
    <w:rsid w:val="005D12C6"/>
    <w:rsid w:val="005D14DB"/>
    <w:rsid w:val="005D1A85"/>
    <w:rsid w:val="005D1D38"/>
    <w:rsid w:val="005D1E67"/>
    <w:rsid w:val="005D26D5"/>
    <w:rsid w:val="005D2956"/>
    <w:rsid w:val="005D2B79"/>
    <w:rsid w:val="005D3018"/>
    <w:rsid w:val="005D3230"/>
    <w:rsid w:val="005D352D"/>
    <w:rsid w:val="005D37ED"/>
    <w:rsid w:val="005D381E"/>
    <w:rsid w:val="005D3F4B"/>
    <w:rsid w:val="005D48A0"/>
    <w:rsid w:val="005D490E"/>
    <w:rsid w:val="005D52AB"/>
    <w:rsid w:val="005D5467"/>
    <w:rsid w:val="005D56A5"/>
    <w:rsid w:val="005D5853"/>
    <w:rsid w:val="005D597D"/>
    <w:rsid w:val="005D6B3F"/>
    <w:rsid w:val="005D6CB4"/>
    <w:rsid w:val="005D7294"/>
    <w:rsid w:val="005D7655"/>
    <w:rsid w:val="005D7AD8"/>
    <w:rsid w:val="005D7EFC"/>
    <w:rsid w:val="005E0229"/>
    <w:rsid w:val="005E0494"/>
    <w:rsid w:val="005E0B0E"/>
    <w:rsid w:val="005E0BC1"/>
    <w:rsid w:val="005E106A"/>
    <w:rsid w:val="005E15BB"/>
    <w:rsid w:val="005E207E"/>
    <w:rsid w:val="005E213A"/>
    <w:rsid w:val="005E24E5"/>
    <w:rsid w:val="005E2825"/>
    <w:rsid w:val="005E305A"/>
    <w:rsid w:val="005E30B5"/>
    <w:rsid w:val="005E30CC"/>
    <w:rsid w:val="005E4235"/>
    <w:rsid w:val="005E46CB"/>
    <w:rsid w:val="005E4E32"/>
    <w:rsid w:val="005E5257"/>
    <w:rsid w:val="005E578B"/>
    <w:rsid w:val="005E5951"/>
    <w:rsid w:val="005E5BC6"/>
    <w:rsid w:val="005E6179"/>
    <w:rsid w:val="005E65E1"/>
    <w:rsid w:val="005E65F0"/>
    <w:rsid w:val="005E689F"/>
    <w:rsid w:val="005E6F3B"/>
    <w:rsid w:val="005E7250"/>
    <w:rsid w:val="005E7265"/>
    <w:rsid w:val="005E7BAB"/>
    <w:rsid w:val="005E7F55"/>
    <w:rsid w:val="005E7F63"/>
    <w:rsid w:val="005F05AE"/>
    <w:rsid w:val="005F0708"/>
    <w:rsid w:val="005F1220"/>
    <w:rsid w:val="005F1287"/>
    <w:rsid w:val="005F129A"/>
    <w:rsid w:val="005F135D"/>
    <w:rsid w:val="005F16C7"/>
    <w:rsid w:val="005F1977"/>
    <w:rsid w:val="005F1A76"/>
    <w:rsid w:val="005F2302"/>
    <w:rsid w:val="005F247F"/>
    <w:rsid w:val="005F2934"/>
    <w:rsid w:val="005F2A56"/>
    <w:rsid w:val="005F2C90"/>
    <w:rsid w:val="005F2F2E"/>
    <w:rsid w:val="005F2F7F"/>
    <w:rsid w:val="005F3A9D"/>
    <w:rsid w:val="005F3CA4"/>
    <w:rsid w:val="005F3FAC"/>
    <w:rsid w:val="005F431B"/>
    <w:rsid w:val="005F437D"/>
    <w:rsid w:val="005F4C15"/>
    <w:rsid w:val="005F4EDE"/>
    <w:rsid w:val="005F57C3"/>
    <w:rsid w:val="005F5867"/>
    <w:rsid w:val="005F5B8C"/>
    <w:rsid w:val="005F5CC3"/>
    <w:rsid w:val="005F5CF5"/>
    <w:rsid w:val="005F60AA"/>
    <w:rsid w:val="005F642A"/>
    <w:rsid w:val="005F66B6"/>
    <w:rsid w:val="005F6A97"/>
    <w:rsid w:val="005F7443"/>
    <w:rsid w:val="005F7515"/>
    <w:rsid w:val="005F7E7E"/>
    <w:rsid w:val="005F7ED0"/>
    <w:rsid w:val="005F7F2C"/>
    <w:rsid w:val="00600342"/>
    <w:rsid w:val="00600363"/>
    <w:rsid w:val="0060076D"/>
    <w:rsid w:val="0060095A"/>
    <w:rsid w:val="00600C60"/>
    <w:rsid w:val="00600CBB"/>
    <w:rsid w:val="006011CE"/>
    <w:rsid w:val="00601367"/>
    <w:rsid w:val="006013F6"/>
    <w:rsid w:val="00601D19"/>
    <w:rsid w:val="00601D89"/>
    <w:rsid w:val="006021FE"/>
    <w:rsid w:val="00602C14"/>
    <w:rsid w:val="00602EA2"/>
    <w:rsid w:val="006039D2"/>
    <w:rsid w:val="00603BCD"/>
    <w:rsid w:val="0060420C"/>
    <w:rsid w:val="006045B2"/>
    <w:rsid w:val="0060471A"/>
    <w:rsid w:val="0060495E"/>
    <w:rsid w:val="00604C15"/>
    <w:rsid w:val="00604E01"/>
    <w:rsid w:val="00604EBA"/>
    <w:rsid w:val="006054D9"/>
    <w:rsid w:val="006055B0"/>
    <w:rsid w:val="006057A3"/>
    <w:rsid w:val="00605AB0"/>
    <w:rsid w:val="00606041"/>
    <w:rsid w:val="0060606F"/>
    <w:rsid w:val="006061FD"/>
    <w:rsid w:val="0060633C"/>
    <w:rsid w:val="006063F7"/>
    <w:rsid w:val="00606A0B"/>
    <w:rsid w:val="00606A28"/>
    <w:rsid w:val="00606BF6"/>
    <w:rsid w:val="00606E33"/>
    <w:rsid w:val="00606FF0"/>
    <w:rsid w:val="006076F6"/>
    <w:rsid w:val="00607D29"/>
    <w:rsid w:val="00607F98"/>
    <w:rsid w:val="006100AC"/>
    <w:rsid w:val="00610384"/>
    <w:rsid w:val="00610509"/>
    <w:rsid w:val="006105A6"/>
    <w:rsid w:val="00610A8F"/>
    <w:rsid w:val="00610B6C"/>
    <w:rsid w:val="00611002"/>
    <w:rsid w:val="0061108D"/>
    <w:rsid w:val="006114DF"/>
    <w:rsid w:val="00611778"/>
    <w:rsid w:val="00611B47"/>
    <w:rsid w:val="00611D19"/>
    <w:rsid w:val="00611E63"/>
    <w:rsid w:val="006122FA"/>
    <w:rsid w:val="0061241B"/>
    <w:rsid w:val="00612973"/>
    <w:rsid w:val="00612DBC"/>
    <w:rsid w:val="00612F4F"/>
    <w:rsid w:val="0061347B"/>
    <w:rsid w:val="0061368A"/>
    <w:rsid w:val="006136AD"/>
    <w:rsid w:val="006138B5"/>
    <w:rsid w:val="006139C1"/>
    <w:rsid w:val="00613B89"/>
    <w:rsid w:val="00613E02"/>
    <w:rsid w:val="00613EF0"/>
    <w:rsid w:val="006145A4"/>
    <w:rsid w:val="0061474D"/>
    <w:rsid w:val="00615ED7"/>
    <w:rsid w:val="006169DF"/>
    <w:rsid w:val="00616E8B"/>
    <w:rsid w:val="00616EC6"/>
    <w:rsid w:val="00616FAF"/>
    <w:rsid w:val="006177C6"/>
    <w:rsid w:val="00620E19"/>
    <w:rsid w:val="00620E6C"/>
    <w:rsid w:val="00621314"/>
    <w:rsid w:val="0062164C"/>
    <w:rsid w:val="006219C9"/>
    <w:rsid w:val="00621AF1"/>
    <w:rsid w:val="00621D6B"/>
    <w:rsid w:val="00621FB1"/>
    <w:rsid w:val="0062229E"/>
    <w:rsid w:val="006226DB"/>
    <w:rsid w:val="00622CDB"/>
    <w:rsid w:val="00622D87"/>
    <w:rsid w:val="00622E96"/>
    <w:rsid w:val="00623364"/>
    <w:rsid w:val="006235B3"/>
    <w:rsid w:val="006237A2"/>
    <w:rsid w:val="006237E7"/>
    <w:rsid w:val="0062449D"/>
    <w:rsid w:val="006245CD"/>
    <w:rsid w:val="0062461F"/>
    <w:rsid w:val="00624644"/>
    <w:rsid w:val="0062473A"/>
    <w:rsid w:val="0062534B"/>
    <w:rsid w:val="0062567A"/>
    <w:rsid w:val="00625ECC"/>
    <w:rsid w:val="006265DC"/>
    <w:rsid w:val="00626DEB"/>
    <w:rsid w:val="00626FBF"/>
    <w:rsid w:val="00627058"/>
    <w:rsid w:val="00627315"/>
    <w:rsid w:val="00627424"/>
    <w:rsid w:val="00627918"/>
    <w:rsid w:val="0063032E"/>
    <w:rsid w:val="0063075B"/>
    <w:rsid w:val="006307F1"/>
    <w:rsid w:val="00630B59"/>
    <w:rsid w:val="00630F2B"/>
    <w:rsid w:val="00631052"/>
    <w:rsid w:val="0063122B"/>
    <w:rsid w:val="00631FDB"/>
    <w:rsid w:val="0063211E"/>
    <w:rsid w:val="00632405"/>
    <w:rsid w:val="00632574"/>
    <w:rsid w:val="00632B24"/>
    <w:rsid w:val="00632C4C"/>
    <w:rsid w:val="00632CD9"/>
    <w:rsid w:val="00632F6A"/>
    <w:rsid w:val="00633004"/>
    <w:rsid w:val="0063342D"/>
    <w:rsid w:val="006336F4"/>
    <w:rsid w:val="006337F0"/>
    <w:rsid w:val="006339BF"/>
    <w:rsid w:val="006339F5"/>
    <w:rsid w:val="00633B26"/>
    <w:rsid w:val="00633EF5"/>
    <w:rsid w:val="0063413B"/>
    <w:rsid w:val="00634779"/>
    <w:rsid w:val="00634A41"/>
    <w:rsid w:val="00634E40"/>
    <w:rsid w:val="00635352"/>
    <w:rsid w:val="0063554A"/>
    <w:rsid w:val="006357C0"/>
    <w:rsid w:val="006358AD"/>
    <w:rsid w:val="00635BD8"/>
    <w:rsid w:val="0063627F"/>
    <w:rsid w:val="0063655A"/>
    <w:rsid w:val="006365A4"/>
    <w:rsid w:val="00636834"/>
    <w:rsid w:val="006368B9"/>
    <w:rsid w:val="00636939"/>
    <w:rsid w:val="00636C2D"/>
    <w:rsid w:val="00636EEF"/>
    <w:rsid w:val="00637061"/>
    <w:rsid w:val="0063749B"/>
    <w:rsid w:val="0064002B"/>
    <w:rsid w:val="00640609"/>
    <w:rsid w:val="00640821"/>
    <w:rsid w:val="00640F51"/>
    <w:rsid w:val="00641008"/>
    <w:rsid w:val="006410F8"/>
    <w:rsid w:val="006412EF"/>
    <w:rsid w:val="00641638"/>
    <w:rsid w:val="00641EBD"/>
    <w:rsid w:val="006420B7"/>
    <w:rsid w:val="006420BA"/>
    <w:rsid w:val="00642446"/>
    <w:rsid w:val="00642742"/>
    <w:rsid w:val="006428AC"/>
    <w:rsid w:val="00642DC8"/>
    <w:rsid w:val="006431E0"/>
    <w:rsid w:val="0064358A"/>
    <w:rsid w:val="00643688"/>
    <w:rsid w:val="0064369D"/>
    <w:rsid w:val="006439C7"/>
    <w:rsid w:val="00643EE6"/>
    <w:rsid w:val="006440B5"/>
    <w:rsid w:val="006441FA"/>
    <w:rsid w:val="00644570"/>
    <w:rsid w:val="00644592"/>
    <w:rsid w:val="00644934"/>
    <w:rsid w:val="00644F0E"/>
    <w:rsid w:val="006457F7"/>
    <w:rsid w:val="006463B3"/>
    <w:rsid w:val="00646537"/>
    <w:rsid w:val="0064687B"/>
    <w:rsid w:val="00646922"/>
    <w:rsid w:val="00646BF9"/>
    <w:rsid w:val="00646C4C"/>
    <w:rsid w:val="00646C4F"/>
    <w:rsid w:val="0064752B"/>
    <w:rsid w:val="0064769E"/>
    <w:rsid w:val="00647715"/>
    <w:rsid w:val="00647DAA"/>
    <w:rsid w:val="00650493"/>
    <w:rsid w:val="00650715"/>
    <w:rsid w:val="006508EE"/>
    <w:rsid w:val="006512A7"/>
    <w:rsid w:val="0065141E"/>
    <w:rsid w:val="0065179F"/>
    <w:rsid w:val="006522B4"/>
    <w:rsid w:val="0065232C"/>
    <w:rsid w:val="00652443"/>
    <w:rsid w:val="006524A5"/>
    <w:rsid w:val="00652885"/>
    <w:rsid w:val="0065315B"/>
    <w:rsid w:val="006532D3"/>
    <w:rsid w:val="006532F1"/>
    <w:rsid w:val="0065374E"/>
    <w:rsid w:val="0065411C"/>
    <w:rsid w:val="0065453F"/>
    <w:rsid w:val="0065460B"/>
    <w:rsid w:val="0065460C"/>
    <w:rsid w:val="00654ED0"/>
    <w:rsid w:val="00655441"/>
    <w:rsid w:val="006555D3"/>
    <w:rsid w:val="0065566E"/>
    <w:rsid w:val="006556A1"/>
    <w:rsid w:val="006556ED"/>
    <w:rsid w:val="006560FE"/>
    <w:rsid w:val="006567D5"/>
    <w:rsid w:val="00656F55"/>
    <w:rsid w:val="00657115"/>
    <w:rsid w:val="006574A4"/>
    <w:rsid w:val="00657618"/>
    <w:rsid w:val="0066004E"/>
    <w:rsid w:val="00660637"/>
    <w:rsid w:val="0066082C"/>
    <w:rsid w:val="00660A2A"/>
    <w:rsid w:val="00660B7C"/>
    <w:rsid w:val="00660BDA"/>
    <w:rsid w:val="00661665"/>
    <w:rsid w:val="00661691"/>
    <w:rsid w:val="00661C2A"/>
    <w:rsid w:val="00661DF4"/>
    <w:rsid w:val="006624C6"/>
    <w:rsid w:val="006627B0"/>
    <w:rsid w:val="00663242"/>
    <w:rsid w:val="00663254"/>
    <w:rsid w:val="00663992"/>
    <w:rsid w:val="00663A71"/>
    <w:rsid w:val="00663C61"/>
    <w:rsid w:val="006645B3"/>
    <w:rsid w:val="006646F8"/>
    <w:rsid w:val="0066491F"/>
    <w:rsid w:val="00664A77"/>
    <w:rsid w:val="00664CC9"/>
    <w:rsid w:val="00664CEB"/>
    <w:rsid w:val="00665078"/>
    <w:rsid w:val="00665461"/>
    <w:rsid w:val="00665511"/>
    <w:rsid w:val="0066591E"/>
    <w:rsid w:val="00665CCF"/>
    <w:rsid w:val="00666938"/>
    <w:rsid w:val="0066695C"/>
    <w:rsid w:val="00666ADE"/>
    <w:rsid w:val="00666D19"/>
    <w:rsid w:val="00666F3F"/>
    <w:rsid w:val="0066713B"/>
    <w:rsid w:val="00667AD0"/>
    <w:rsid w:val="00667B8C"/>
    <w:rsid w:val="00667F5F"/>
    <w:rsid w:val="006702CD"/>
    <w:rsid w:val="00670A4E"/>
    <w:rsid w:val="00670C31"/>
    <w:rsid w:val="00670C58"/>
    <w:rsid w:val="00671113"/>
    <w:rsid w:val="0067113D"/>
    <w:rsid w:val="006711A9"/>
    <w:rsid w:val="006711CA"/>
    <w:rsid w:val="00671594"/>
    <w:rsid w:val="006716F0"/>
    <w:rsid w:val="00671759"/>
    <w:rsid w:val="006718AC"/>
    <w:rsid w:val="0067196D"/>
    <w:rsid w:val="00672065"/>
    <w:rsid w:val="00672178"/>
    <w:rsid w:val="00672331"/>
    <w:rsid w:val="00672CFE"/>
    <w:rsid w:val="00672F9B"/>
    <w:rsid w:val="006732F9"/>
    <w:rsid w:val="0067362A"/>
    <w:rsid w:val="00673C74"/>
    <w:rsid w:val="00673C9B"/>
    <w:rsid w:val="00673CA8"/>
    <w:rsid w:val="00674B55"/>
    <w:rsid w:val="006751F7"/>
    <w:rsid w:val="00675212"/>
    <w:rsid w:val="006753E5"/>
    <w:rsid w:val="0067560D"/>
    <w:rsid w:val="00675B84"/>
    <w:rsid w:val="00675CC6"/>
    <w:rsid w:val="00676041"/>
    <w:rsid w:val="0067609B"/>
    <w:rsid w:val="0067612C"/>
    <w:rsid w:val="00676877"/>
    <w:rsid w:val="006768B3"/>
    <w:rsid w:val="00676FD1"/>
    <w:rsid w:val="006772FC"/>
    <w:rsid w:val="00677355"/>
    <w:rsid w:val="0067754C"/>
    <w:rsid w:val="00677BE5"/>
    <w:rsid w:val="0068004E"/>
    <w:rsid w:val="006814DB"/>
    <w:rsid w:val="00681832"/>
    <w:rsid w:val="00681AF9"/>
    <w:rsid w:val="00681E9D"/>
    <w:rsid w:val="00681FC5"/>
    <w:rsid w:val="0068228F"/>
    <w:rsid w:val="00682466"/>
    <w:rsid w:val="0068268F"/>
    <w:rsid w:val="006827D8"/>
    <w:rsid w:val="0068289E"/>
    <w:rsid w:val="00682B49"/>
    <w:rsid w:val="00683328"/>
    <w:rsid w:val="0068368C"/>
    <w:rsid w:val="006837B3"/>
    <w:rsid w:val="00683AC6"/>
    <w:rsid w:val="00684758"/>
    <w:rsid w:val="006848EA"/>
    <w:rsid w:val="00684C04"/>
    <w:rsid w:val="00685049"/>
    <w:rsid w:val="006854D2"/>
    <w:rsid w:val="006855F4"/>
    <w:rsid w:val="00685829"/>
    <w:rsid w:val="00685887"/>
    <w:rsid w:val="00685C35"/>
    <w:rsid w:val="006861E0"/>
    <w:rsid w:val="00686569"/>
    <w:rsid w:val="00686798"/>
    <w:rsid w:val="00686B54"/>
    <w:rsid w:val="00686D74"/>
    <w:rsid w:val="00687077"/>
    <w:rsid w:val="006871BD"/>
    <w:rsid w:val="0068739B"/>
    <w:rsid w:val="00687465"/>
    <w:rsid w:val="00687931"/>
    <w:rsid w:val="00687EEB"/>
    <w:rsid w:val="0069013D"/>
    <w:rsid w:val="00690559"/>
    <w:rsid w:val="00690580"/>
    <w:rsid w:val="00690AA6"/>
    <w:rsid w:val="0069147E"/>
    <w:rsid w:val="006914B7"/>
    <w:rsid w:val="00691797"/>
    <w:rsid w:val="00691834"/>
    <w:rsid w:val="0069186D"/>
    <w:rsid w:val="00691F32"/>
    <w:rsid w:val="00692086"/>
    <w:rsid w:val="006922A6"/>
    <w:rsid w:val="00692551"/>
    <w:rsid w:val="00692B9A"/>
    <w:rsid w:val="00693102"/>
    <w:rsid w:val="00693179"/>
    <w:rsid w:val="0069329E"/>
    <w:rsid w:val="006936FE"/>
    <w:rsid w:val="006937BB"/>
    <w:rsid w:val="00693930"/>
    <w:rsid w:val="00694732"/>
    <w:rsid w:val="00694B43"/>
    <w:rsid w:val="0069534B"/>
    <w:rsid w:val="006956DB"/>
    <w:rsid w:val="0069672B"/>
    <w:rsid w:val="006969E9"/>
    <w:rsid w:val="00696A10"/>
    <w:rsid w:val="0069727B"/>
    <w:rsid w:val="00697319"/>
    <w:rsid w:val="00697721"/>
    <w:rsid w:val="0069797A"/>
    <w:rsid w:val="00697A94"/>
    <w:rsid w:val="006A00AB"/>
    <w:rsid w:val="006A086E"/>
    <w:rsid w:val="006A0F0F"/>
    <w:rsid w:val="006A0F4E"/>
    <w:rsid w:val="006A10A0"/>
    <w:rsid w:val="006A15C6"/>
    <w:rsid w:val="006A181B"/>
    <w:rsid w:val="006A192B"/>
    <w:rsid w:val="006A19A9"/>
    <w:rsid w:val="006A1FC1"/>
    <w:rsid w:val="006A21C2"/>
    <w:rsid w:val="006A237F"/>
    <w:rsid w:val="006A2B20"/>
    <w:rsid w:val="006A2D5D"/>
    <w:rsid w:val="006A2F4B"/>
    <w:rsid w:val="006A30EC"/>
    <w:rsid w:val="006A33E6"/>
    <w:rsid w:val="006A36D8"/>
    <w:rsid w:val="006A38A3"/>
    <w:rsid w:val="006A3CA5"/>
    <w:rsid w:val="006A3D8B"/>
    <w:rsid w:val="006A4372"/>
    <w:rsid w:val="006A46AA"/>
    <w:rsid w:val="006A4F3E"/>
    <w:rsid w:val="006A505E"/>
    <w:rsid w:val="006A5139"/>
    <w:rsid w:val="006A5354"/>
    <w:rsid w:val="006A5F20"/>
    <w:rsid w:val="006A705E"/>
    <w:rsid w:val="006A72C5"/>
    <w:rsid w:val="006A74B5"/>
    <w:rsid w:val="006A75BF"/>
    <w:rsid w:val="006A76BE"/>
    <w:rsid w:val="006A785F"/>
    <w:rsid w:val="006A79D0"/>
    <w:rsid w:val="006A7E9B"/>
    <w:rsid w:val="006B0158"/>
    <w:rsid w:val="006B04D1"/>
    <w:rsid w:val="006B0E62"/>
    <w:rsid w:val="006B1265"/>
    <w:rsid w:val="006B1464"/>
    <w:rsid w:val="006B1DB6"/>
    <w:rsid w:val="006B21BA"/>
    <w:rsid w:val="006B2C49"/>
    <w:rsid w:val="006B2CB7"/>
    <w:rsid w:val="006B307D"/>
    <w:rsid w:val="006B3809"/>
    <w:rsid w:val="006B3E0C"/>
    <w:rsid w:val="006B40AB"/>
    <w:rsid w:val="006B4634"/>
    <w:rsid w:val="006B465D"/>
    <w:rsid w:val="006B4780"/>
    <w:rsid w:val="006B4D8A"/>
    <w:rsid w:val="006B4E2C"/>
    <w:rsid w:val="006B5098"/>
    <w:rsid w:val="006B5232"/>
    <w:rsid w:val="006B60DD"/>
    <w:rsid w:val="006B688B"/>
    <w:rsid w:val="006B7347"/>
    <w:rsid w:val="006B73E7"/>
    <w:rsid w:val="006B77E3"/>
    <w:rsid w:val="006B7AA3"/>
    <w:rsid w:val="006C0939"/>
    <w:rsid w:val="006C0A07"/>
    <w:rsid w:val="006C1067"/>
    <w:rsid w:val="006C1588"/>
    <w:rsid w:val="006C16D8"/>
    <w:rsid w:val="006C1DDF"/>
    <w:rsid w:val="006C2032"/>
    <w:rsid w:val="006C21FA"/>
    <w:rsid w:val="006C22D2"/>
    <w:rsid w:val="006C242C"/>
    <w:rsid w:val="006C2E99"/>
    <w:rsid w:val="006C2F86"/>
    <w:rsid w:val="006C3439"/>
    <w:rsid w:val="006C355E"/>
    <w:rsid w:val="006C3566"/>
    <w:rsid w:val="006C3AF3"/>
    <w:rsid w:val="006C3F40"/>
    <w:rsid w:val="006C406B"/>
    <w:rsid w:val="006C456D"/>
    <w:rsid w:val="006C4928"/>
    <w:rsid w:val="006C4BB7"/>
    <w:rsid w:val="006C4D1A"/>
    <w:rsid w:val="006C507A"/>
    <w:rsid w:val="006C589F"/>
    <w:rsid w:val="006C5F90"/>
    <w:rsid w:val="006C6371"/>
    <w:rsid w:val="006C69D4"/>
    <w:rsid w:val="006C6D6D"/>
    <w:rsid w:val="006C7737"/>
    <w:rsid w:val="006C7935"/>
    <w:rsid w:val="006C7AD3"/>
    <w:rsid w:val="006D0131"/>
    <w:rsid w:val="006D0AB3"/>
    <w:rsid w:val="006D1134"/>
    <w:rsid w:val="006D1371"/>
    <w:rsid w:val="006D14F0"/>
    <w:rsid w:val="006D176F"/>
    <w:rsid w:val="006D187C"/>
    <w:rsid w:val="006D1F59"/>
    <w:rsid w:val="006D211C"/>
    <w:rsid w:val="006D2336"/>
    <w:rsid w:val="006D25A2"/>
    <w:rsid w:val="006D2654"/>
    <w:rsid w:val="006D2888"/>
    <w:rsid w:val="006D2907"/>
    <w:rsid w:val="006D30F7"/>
    <w:rsid w:val="006D397B"/>
    <w:rsid w:val="006D39F6"/>
    <w:rsid w:val="006D3D9D"/>
    <w:rsid w:val="006D4D7F"/>
    <w:rsid w:val="006D4DBE"/>
    <w:rsid w:val="006D60DA"/>
    <w:rsid w:val="006D6123"/>
    <w:rsid w:val="006D61D4"/>
    <w:rsid w:val="006D634D"/>
    <w:rsid w:val="006D68A2"/>
    <w:rsid w:val="006D6B7A"/>
    <w:rsid w:val="006D6F55"/>
    <w:rsid w:val="006D743D"/>
    <w:rsid w:val="006D778B"/>
    <w:rsid w:val="006D7A53"/>
    <w:rsid w:val="006D7DCC"/>
    <w:rsid w:val="006E02E2"/>
    <w:rsid w:val="006E044B"/>
    <w:rsid w:val="006E0C22"/>
    <w:rsid w:val="006E11BC"/>
    <w:rsid w:val="006E1620"/>
    <w:rsid w:val="006E1840"/>
    <w:rsid w:val="006E1BB8"/>
    <w:rsid w:val="006E214C"/>
    <w:rsid w:val="006E2BED"/>
    <w:rsid w:val="006E2C3B"/>
    <w:rsid w:val="006E32F8"/>
    <w:rsid w:val="006E3485"/>
    <w:rsid w:val="006E3598"/>
    <w:rsid w:val="006E3778"/>
    <w:rsid w:val="006E4010"/>
    <w:rsid w:val="006E43BA"/>
    <w:rsid w:val="006E4F06"/>
    <w:rsid w:val="006E6211"/>
    <w:rsid w:val="006E63B7"/>
    <w:rsid w:val="006E63B8"/>
    <w:rsid w:val="006E661A"/>
    <w:rsid w:val="006E66E4"/>
    <w:rsid w:val="006E714B"/>
    <w:rsid w:val="006E71ED"/>
    <w:rsid w:val="006E7238"/>
    <w:rsid w:val="006E7DDF"/>
    <w:rsid w:val="006F0670"/>
    <w:rsid w:val="006F06F9"/>
    <w:rsid w:val="006F0837"/>
    <w:rsid w:val="006F084B"/>
    <w:rsid w:val="006F09B9"/>
    <w:rsid w:val="006F0AB0"/>
    <w:rsid w:val="006F0ABD"/>
    <w:rsid w:val="006F19CF"/>
    <w:rsid w:val="006F1A47"/>
    <w:rsid w:val="006F1AD5"/>
    <w:rsid w:val="006F23E8"/>
    <w:rsid w:val="006F281E"/>
    <w:rsid w:val="006F2C68"/>
    <w:rsid w:val="006F2ECC"/>
    <w:rsid w:val="006F2F69"/>
    <w:rsid w:val="006F31BD"/>
    <w:rsid w:val="006F4144"/>
    <w:rsid w:val="006F498B"/>
    <w:rsid w:val="006F4A0D"/>
    <w:rsid w:val="006F4CBE"/>
    <w:rsid w:val="006F550B"/>
    <w:rsid w:val="006F5CCE"/>
    <w:rsid w:val="006F607B"/>
    <w:rsid w:val="006F6180"/>
    <w:rsid w:val="006F621F"/>
    <w:rsid w:val="006F6707"/>
    <w:rsid w:val="006F67C5"/>
    <w:rsid w:val="007001BD"/>
    <w:rsid w:val="007003E1"/>
    <w:rsid w:val="0070069F"/>
    <w:rsid w:val="00700B0E"/>
    <w:rsid w:val="0070106D"/>
    <w:rsid w:val="0070132D"/>
    <w:rsid w:val="007014E0"/>
    <w:rsid w:val="00701BD3"/>
    <w:rsid w:val="00702254"/>
    <w:rsid w:val="0070226A"/>
    <w:rsid w:val="007023EA"/>
    <w:rsid w:val="00702F34"/>
    <w:rsid w:val="007031E5"/>
    <w:rsid w:val="007032D2"/>
    <w:rsid w:val="00703662"/>
    <w:rsid w:val="00703C66"/>
    <w:rsid w:val="00703FE7"/>
    <w:rsid w:val="007040C2"/>
    <w:rsid w:val="007042A4"/>
    <w:rsid w:val="007045EE"/>
    <w:rsid w:val="00704853"/>
    <w:rsid w:val="007055D9"/>
    <w:rsid w:val="0070598E"/>
    <w:rsid w:val="00705C84"/>
    <w:rsid w:val="00705F3C"/>
    <w:rsid w:val="0070601E"/>
    <w:rsid w:val="00706B52"/>
    <w:rsid w:val="00706CA1"/>
    <w:rsid w:val="00706D63"/>
    <w:rsid w:val="007072EF"/>
    <w:rsid w:val="00707409"/>
    <w:rsid w:val="00707412"/>
    <w:rsid w:val="0070763C"/>
    <w:rsid w:val="007076A1"/>
    <w:rsid w:val="00707CB7"/>
    <w:rsid w:val="00710181"/>
    <w:rsid w:val="007102CD"/>
    <w:rsid w:val="0071064E"/>
    <w:rsid w:val="0071072B"/>
    <w:rsid w:val="00710C8B"/>
    <w:rsid w:val="00710DCE"/>
    <w:rsid w:val="007112CC"/>
    <w:rsid w:val="007114C2"/>
    <w:rsid w:val="00711932"/>
    <w:rsid w:val="007120AD"/>
    <w:rsid w:val="007121DF"/>
    <w:rsid w:val="00712524"/>
    <w:rsid w:val="00712921"/>
    <w:rsid w:val="0071333C"/>
    <w:rsid w:val="00713C0E"/>
    <w:rsid w:val="0071426E"/>
    <w:rsid w:val="00714497"/>
    <w:rsid w:val="007144EB"/>
    <w:rsid w:val="00714647"/>
    <w:rsid w:val="00714D25"/>
    <w:rsid w:val="00715956"/>
    <w:rsid w:val="00715CCA"/>
    <w:rsid w:val="00715EE4"/>
    <w:rsid w:val="00716529"/>
    <w:rsid w:val="00716663"/>
    <w:rsid w:val="00716752"/>
    <w:rsid w:val="00716933"/>
    <w:rsid w:val="00716B66"/>
    <w:rsid w:val="0071729F"/>
    <w:rsid w:val="0071758F"/>
    <w:rsid w:val="007177CB"/>
    <w:rsid w:val="007202AA"/>
    <w:rsid w:val="0072031F"/>
    <w:rsid w:val="00720642"/>
    <w:rsid w:val="007206D4"/>
    <w:rsid w:val="00720A92"/>
    <w:rsid w:val="00720D96"/>
    <w:rsid w:val="00721B49"/>
    <w:rsid w:val="00721C2A"/>
    <w:rsid w:val="00722114"/>
    <w:rsid w:val="00722495"/>
    <w:rsid w:val="007226D5"/>
    <w:rsid w:val="007238F4"/>
    <w:rsid w:val="00723A5D"/>
    <w:rsid w:val="00723B43"/>
    <w:rsid w:val="00723B5E"/>
    <w:rsid w:val="00723B64"/>
    <w:rsid w:val="00723BAF"/>
    <w:rsid w:val="00723D94"/>
    <w:rsid w:val="00723E2B"/>
    <w:rsid w:val="00724135"/>
    <w:rsid w:val="00724553"/>
    <w:rsid w:val="0072499C"/>
    <w:rsid w:val="00724E0B"/>
    <w:rsid w:val="0072532E"/>
    <w:rsid w:val="00725399"/>
    <w:rsid w:val="007257EF"/>
    <w:rsid w:val="00725DE3"/>
    <w:rsid w:val="0072645B"/>
    <w:rsid w:val="00726A47"/>
    <w:rsid w:val="00726C20"/>
    <w:rsid w:val="007274EC"/>
    <w:rsid w:val="00727597"/>
    <w:rsid w:val="007276A8"/>
    <w:rsid w:val="00727CC2"/>
    <w:rsid w:val="00727E05"/>
    <w:rsid w:val="007302BE"/>
    <w:rsid w:val="007308A1"/>
    <w:rsid w:val="00730B8F"/>
    <w:rsid w:val="007310BC"/>
    <w:rsid w:val="0073150F"/>
    <w:rsid w:val="0073157F"/>
    <w:rsid w:val="00731BEB"/>
    <w:rsid w:val="00731BF9"/>
    <w:rsid w:val="00731D7F"/>
    <w:rsid w:val="00732571"/>
    <w:rsid w:val="0073270B"/>
    <w:rsid w:val="00732C07"/>
    <w:rsid w:val="00732F99"/>
    <w:rsid w:val="007338D5"/>
    <w:rsid w:val="00733EE8"/>
    <w:rsid w:val="00734564"/>
    <w:rsid w:val="007347D2"/>
    <w:rsid w:val="007349B9"/>
    <w:rsid w:val="00734B4E"/>
    <w:rsid w:val="00735850"/>
    <w:rsid w:val="00735971"/>
    <w:rsid w:val="007364B5"/>
    <w:rsid w:val="007364EF"/>
    <w:rsid w:val="00736A6E"/>
    <w:rsid w:val="00736BD6"/>
    <w:rsid w:val="00736EF2"/>
    <w:rsid w:val="00737008"/>
    <w:rsid w:val="007370EF"/>
    <w:rsid w:val="0073711E"/>
    <w:rsid w:val="007372B5"/>
    <w:rsid w:val="007374C7"/>
    <w:rsid w:val="0073784C"/>
    <w:rsid w:val="00737C7D"/>
    <w:rsid w:val="00737FB9"/>
    <w:rsid w:val="0074010E"/>
    <w:rsid w:val="00740330"/>
    <w:rsid w:val="0074089C"/>
    <w:rsid w:val="0074098B"/>
    <w:rsid w:val="00740D95"/>
    <w:rsid w:val="00740E9C"/>
    <w:rsid w:val="00741492"/>
    <w:rsid w:val="007416D5"/>
    <w:rsid w:val="007417AC"/>
    <w:rsid w:val="00741BA0"/>
    <w:rsid w:val="00742146"/>
    <w:rsid w:val="007422CD"/>
    <w:rsid w:val="00742D53"/>
    <w:rsid w:val="00742E0C"/>
    <w:rsid w:val="00743180"/>
    <w:rsid w:val="00743867"/>
    <w:rsid w:val="00743C80"/>
    <w:rsid w:val="00743EAD"/>
    <w:rsid w:val="00745928"/>
    <w:rsid w:val="00745969"/>
    <w:rsid w:val="00745AFA"/>
    <w:rsid w:val="007461D5"/>
    <w:rsid w:val="007468C9"/>
    <w:rsid w:val="00746F25"/>
    <w:rsid w:val="0074700C"/>
    <w:rsid w:val="007470B0"/>
    <w:rsid w:val="0074759C"/>
    <w:rsid w:val="00747622"/>
    <w:rsid w:val="00747954"/>
    <w:rsid w:val="00750A53"/>
    <w:rsid w:val="00750B39"/>
    <w:rsid w:val="00750C34"/>
    <w:rsid w:val="007518B1"/>
    <w:rsid w:val="007532A7"/>
    <w:rsid w:val="007534BB"/>
    <w:rsid w:val="0075384D"/>
    <w:rsid w:val="00753C34"/>
    <w:rsid w:val="00753CCD"/>
    <w:rsid w:val="00753FB3"/>
    <w:rsid w:val="00753FC3"/>
    <w:rsid w:val="00754083"/>
    <w:rsid w:val="00754F6D"/>
    <w:rsid w:val="0075500B"/>
    <w:rsid w:val="00755454"/>
    <w:rsid w:val="0075561D"/>
    <w:rsid w:val="00755877"/>
    <w:rsid w:val="00756126"/>
    <w:rsid w:val="0075637B"/>
    <w:rsid w:val="00756411"/>
    <w:rsid w:val="00756C94"/>
    <w:rsid w:val="00756EE2"/>
    <w:rsid w:val="007573AE"/>
    <w:rsid w:val="00757AE6"/>
    <w:rsid w:val="00757B5F"/>
    <w:rsid w:val="00757B72"/>
    <w:rsid w:val="00757CB7"/>
    <w:rsid w:val="00757CDE"/>
    <w:rsid w:val="00757E3B"/>
    <w:rsid w:val="00757E43"/>
    <w:rsid w:val="00757FE4"/>
    <w:rsid w:val="00760462"/>
    <w:rsid w:val="0076087E"/>
    <w:rsid w:val="0076093E"/>
    <w:rsid w:val="00760D04"/>
    <w:rsid w:val="00760FC4"/>
    <w:rsid w:val="0076102F"/>
    <w:rsid w:val="0076154E"/>
    <w:rsid w:val="007615FE"/>
    <w:rsid w:val="007617AD"/>
    <w:rsid w:val="0076180E"/>
    <w:rsid w:val="0076197D"/>
    <w:rsid w:val="007619C0"/>
    <w:rsid w:val="00761DC1"/>
    <w:rsid w:val="00762020"/>
    <w:rsid w:val="00762765"/>
    <w:rsid w:val="00762D1C"/>
    <w:rsid w:val="00762E07"/>
    <w:rsid w:val="0076368D"/>
    <w:rsid w:val="00764097"/>
    <w:rsid w:val="00764432"/>
    <w:rsid w:val="007645BD"/>
    <w:rsid w:val="00765012"/>
    <w:rsid w:val="007653B3"/>
    <w:rsid w:val="0076541C"/>
    <w:rsid w:val="00765547"/>
    <w:rsid w:val="00765F2A"/>
    <w:rsid w:val="00766381"/>
    <w:rsid w:val="00766C9D"/>
    <w:rsid w:val="007670EE"/>
    <w:rsid w:val="007672C3"/>
    <w:rsid w:val="007674D2"/>
    <w:rsid w:val="00767679"/>
    <w:rsid w:val="00767A5A"/>
    <w:rsid w:val="00767C0F"/>
    <w:rsid w:val="00767EB0"/>
    <w:rsid w:val="007701B1"/>
    <w:rsid w:val="007704E7"/>
    <w:rsid w:val="00770A1D"/>
    <w:rsid w:val="0077171C"/>
    <w:rsid w:val="00771964"/>
    <w:rsid w:val="00771AFE"/>
    <w:rsid w:val="007722FC"/>
    <w:rsid w:val="007724F0"/>
    <w:rsid w:val="00772784"/>
    <w:rsid w:val="007729B0"/>
    <w:rsid w:val="00772D91"/>
    <w:rsid w:val="00773145"/>
    <w:rsid w:val="0077371C"/>
    <w:rsid w:val="007738BC"/>
    <w:rsid w:val="00773A69"/>
    <w:rsid w:val="00773AAE"/>
    <w:rsid w:val="00773B5A"/>
    <w:rsid w:val="00773D53"/>
    <w:rsid w:val="0077483A"/>
    <w:rsid w:val="00774AA4"/>
    <w:rsid w:val="00774C8F"/>
    <w:rsid w:val="007754AB"/>
    <w:rsid w:val="00775614"/>
    <w:rsid w:val="00775AD2"/>
    <w:rsid w:val="00775B66"/>
    <w:rsid w:val="007763AF"/>
    <w:rsid w:val="0077645F"/>
    <w:rsid w:val="0077683A"/>
    <w:rsid w:val="0077696C"/>
    <w:rsid w:val="00776A7C"/>
    <w:rsid w:val="00777303"/>
    <w:rsid w:val="0077741C"/>
    <w:rsid w:val="00777862"/>
    <w:rsid w:val="0078010A"/>
    <w:rsid w:val="0078024D"/>
    <w:rsid w:val="0078055C"/>
    <w:rsid w:val="0078099E"/>
    <w:rsid w:val="00780E11"/>
    <w:rsid w:val="00781273"/>
    <w:rsid w:val="00781596"/>
    <w:rsid w:val="007816CF"/>
    <w:rsid w:val="007819CE"/>
    <w:rsid w:val="007822F1"/>
    <w:rsid w:val="00782629"/>
    <w:rsid w:val="0078297C"/>
    <w:rsid w:val="007831D3"/>
    <w:rsid w:val="00783205"/>
    <w:rsid w:val="00783206"/>
    <w:rsid w:val="0078394A"/>
    <w:rsid w:val="00783F71"/>
    <w:rsid w:val="00784152"/>
    <w:rsid w:val="007852EF"/>
    <w:rsid w:val="007855D5"/>
    <w:rsid w:val="007856B6"/>
    <w:rsid w:val="00785BD8"/>
    <w:rsid w:val="00786023"/>
    <w:rsid w:val="00786089"/>
    <w:rsid w:val="007862FD"/>
    <w:rsid w:val="007868C9"/>
    <w:rsid w:val="00786B05"/>
    <w:rsid w:val="0078784B"/>
    <w:rsid w:val="00787BB2"/>
    <w:rsid w:val="00787E72"/>
    <w:rsid w:val="0079016B"/>
    <w:rsid w:val="0079030C"/>
    <w:rsid w:val="00790984"/>
    <w:rsid w:val="0079170C"/>
    <w:rsid w:val="00791B86"/>
    <w:rsid w:val="007923FC"/>
    <w:rsid w:val="00792784"/>
    <w:rsid w:val="00792B71"/>
    <w:rsid w:val="00792BC2"/>
    <w:rsid w:val="00793165"/>
    <w:rsid w:val="007931EC"/>
    <w:rsid w:val="00793520"/>
    <w:rsid w:val="0079353B"/>
    <w:rsid w:val="00793558"/>
    <w:rsid w:val="007943D0"/>
    <w:rsid w:val="007944B1"/>
    <w:rsid w:val="0079484D"/>
    <w:rsid w:val="00794951"/>
    <w:rsid w:val="00794C3A"/>
    <w:rsid w:val="00794D6B"/>
    <w:rsid w:val="00794E0C"/>
    <w:rsid w:val="0079536A"/>
    <w:rsid w:val="00795522"/>
    <w:rsid w:val="00795A6C"/>
    <w:rsid w:val="00796111"/>
    <w:rsid w:val="0079739D"/>
    <w:rsid w:val="007975C2"/>
    <w:rsid w:val="00797837"/>
    <w:rsid w:val="00797A27"/>
    <w:rsid w:val="00797C30"/>
    <w:rsid w:val="00797DCA"/>
    <w:rsid w:val="007A00E1"/>
    <w:rsid w:val="007A016E"/>
    <w:rsid w:val="007A0E64"/>
    <w:rsid w:val="007A1A94"/>
    <w:rsid w:val="007A1B6D"/>
    <w:rsid w:val="007A1C6B"/>
    <w:rsid w:val="007A23D9"/>
    <w:rsid w:val="007A26E2"/>
    <w:rsid w:val="007A284C"/>
    <w:rsid w:val="007A2B67"/>
    <w:rsid w:val="007A2BE3"/>
    <w:rsid w:val="007A2CB8"/>
    <w:rsid w:val="007A3118"/>
    <w:rsid w:val="007A33AB"/>
    <w:rsid w:val="007A3414"/>
    <w:rsid w:val="007A37F8"/>
    <w:rsid w:val="007A38D1"/>
    <w:rsid w:val="007A3967"/>
    <w:rsid w:val="007A3CBE"/>
    <w:rsid w:val="007A3FDD"/>
    <w:rsid w:val="007A4050"/>
    <w:rsid w:val="007A42E7"/>
    <w:rsid w:val="007A47A3"/>
    <w:rsid w:val="007A4B5B"/>
    <w:rsid w:val="007A4C0C"/>
    <w:rsid w:val="007A52BF"/>
    <w:rsid w:val="007A588C"/>
    <w:rsid w:val="007A59F5"/>
    <w:rsid w:val="007A6002"/>
    <w:rsid w:val="007A6DD0"/>
    <w:rsid w:val="007A71ED"/>
    <w:rsid w:val="007A7A2B"/>
    <w:rsid w:val="007B019C"/>
    <w:rsid w:val="007B0478"/>
    <w:rsid w:val="007B08F2"/>
    <w:rsid w:val="007B09E3"/>
    <w:rsid w:val="007B0BAD"/>
    <w:rsid w:val="007B0EEF"/>
    <w:rsid w:val="007B0FD9"/>
    <w:rsid w:val="007B14FA"/>
    <w:rsid w:val="007B1892"/>
    <w:rsid w:val="007B1B18"/>
    <w:rsid w:val="007B1B77"/>
    <w:rsid w:val="007B1E24"/>
    <w:rsid w:val="007B1EAC"/>
    <w:rsid w:val="007B1FD4"/>
    <w:rsid w:val="007B248D"/>
    <w:rsid w:val="007B24CF"/>
    <w:rsid w:val="007B2BA9"/>
    <w:rsid w:val="007B2F20"/>
    <w:rsid w:val="007B30CF"/>
    <w:rsid w:val="007B37C7"/>
    <w:rsid w:val="007B39FB"/>
    <w:rsid w:val="007B40BA"/>
    <w:rsid w:val="007B5CCD"/>
    <w:rsid w:val="007B5E83"/>
    <w:rsid w:val="007B62AB"/>
    <w:rsid w:val="007B6DB7"/>
    <w:rsid w:val="007B71B8"/>
    <w:rsid w:val="007B72D8"/>
    <w:rsid w:val="007B79CB"/>
    <w:rsid w:val="007B7D19"/>
    <w:rsid w:val="007C0030"/>
    <w:rsid w:val="007C06DE"/>
    <w:rsid w:val="007C0DD7"/>
    <w:rsid w:val="007C15A2"/>
    <w:rsid w:val="007C1623"/>
    <w:rsid w:val="007C168A"/>
    <w:rsid w:val="007C1EB4"/>
    <w:rsid w:val="007C20CA"/>
    <w:rsid w:val="007C253A"/>
    <w:rsid w:val="007C2864"/>
    <w:rsid w:val="007C2FBE"/>
    <w:rsid w:val="007C337B"/>
    <w:rsid w:val="007C3CAC"/>
    <w:rsid w:val="007C402A"/>
    <w:rsid w:val="007C4137"/>
    <w:rsid w:val="007C4396"/>
    <w:rsid w:val="007C45DB"/>
    <w:rsid w:val="007C4AD1"/>
    <w:rsid w:val="007C4EB0"/>
    <w:rsid w:val="007C4ECA"/>
    <w:rsid w:val="007C5121"/>
    <w:rsid w:val="007C5430"/>
    <w:rsid w:val="007C5980"/>
    <w:rsid w:val="007C5D39"/>
    <w:rsid w:val="007C5F30"/>
    <w:rsid w:val="007C5F3A"/>
    <w:rsid w:val="007C624C"/>
    <w:rsid w:val="007C64CA"/>
    <w:rsid w:val="007C6D54"/>
    <w:rsid w:val="007C6E05"/>
    <w:rsid w:val="007C7A79"/>
    <w:rsid w:val="007D0289"/>
    <w:rsid w:val="007D0305"/>
    <w:rsid w:val="007D082E"/>
    <w:rsid w:val="007D0F56"/>
    <w:rsid w:val="007D123F"/>
    <w:rsid w:val="007D1DA8"/>
    <w:rsid w:val="007D1F11"/>
    <w:rsid w:val="007D24B3"/>
    <w:rsid w:val="007D29B7"/>
    <w:rsid w:val="007D2AA7"/>
    <w:rsid w:val="007D2B6F"/>
    <w:rsid w:val="007D2C91"/>
    <w:rsid w:val="007D33EA"/>
    <w:rsid w:val="007D3488"/>
    <w:rsid w:val="007D3D14"/>
    <w:rsid w:val="007D400C"/>
    <w:rsid w:val="007D407D"/>
    <w:rsid w:val="007D4121"/>
    <w:rsid w:val="007D4368"/>
    <w:rsid w:val="007D445E"/>
    <w:rsid w:val="007D4578"/>
    <w:rsid w:val="007D4648"/>
    <w:rsid w:val="007D4F3C"/>
    <w:rsid w:val="007D5059"/>
    <w:rsid w:val="007D50BC"/>
    <w:rsid w:val="007D5603"/>
    <w:rsid w:val="007D57D7"/>
    <w:rsid w:val="007D5ACF"/>
    <w:rsid w:val="007D5BC3"/>
    <w:rsid w:val="007D609A"/>
    <w:rsid w:val="007D63B5"/>
    <w:rsid w:val="007D6BC3"/>
    <w:rsid w:val="007D6C85"/>
    <w:rsid w:val="007D7B3D"/>
    <w:rsid w:val="007D7D8B"/>
    <w:rsid w:val="007E0056"/>
    <w:rsid w:val="007E007B"/>
    <w:rsid w:val="007E0094"/>
    <w:rsid w:val="007E0584"/>
    <w:rsid w:val="007E0709"/>
    <w:rsid w:val="007E0CA8"/>
    <w:rsid w:val="007E0DA3"/>
    <w:rsid w:val="007E0EEA"/>
    <w:rsid w:val="007E1080"/>
    <w:rsid w:val="007E128C"/>
    <w:rsid w:val="007E12C7"/>
    <w:rsid w:val="007E1308"/>
    <w:rsid w:val="007E1415"/>
    <w:rsid w:val="007E17C6"/>
    <w:rsid w:val="007E186B"/>
    <w:rsid w:val="007E2EF3"/>
    <w:rsid w:val="007E34CD"/>
    <w:rsid w:val="007E3B74"/>
    <w:rsid w:val="007E4276"/>
    <w:rsid w:val="007E4791"/>
    <w:rsid w:val="007E488F"/>
    <w:rsid w:val="007E4E10"/>
    <w:rsid w:val="007E5BC0"/>
    <w:rsid w:val="007E5F3F"/>
    <w:rsid w:val="007E619D"/>
    <w:rsid w:val="007E626C"/>
    <w:rsid w:val="007E6C89"/>
    <w:rsid w:val="007E7295"/>
    <w:rsid w:val="007E74A5"/>
    <w:rsid w:val="007E7686"/>
    <w:rsid w:val="007E77DC"/>
    <w:rsid w:val="007E7F0A"/>
    <w:rsid w:val="007E7F89"/>
    <w:rsid w:val="007F0507"/>
    <w:rsid w:val="007F10B6"/>
    <w:rsid w:val="007F1478"/>
    <w:rsid w:val="007F14CB"/>
    <w:rsid w:val="007F15F4"/>
    <w:rsid w:val="007F17BE"/>
    <w:rsid w:val="007F17DB"/>
    <w:rsid w:val="007F1DE2"/>
    <w:rsid w:val="007F1F9A"/>
    <w:rsid w:val="007F2055"/>
    <w:rsid w:val="007F2182"/>
    <w:rsid w:val="007F2223"/>
    <w:rsid w:val="007F2411"/>
    <w:rsid w:val="007F2896"/>
    <w:rsid w:val="007F2E82"/>
    <w:rsid w:val="007F2E8B"/>
    <w:rsid w:val="007F3232"/>
    <w:rsid w:val="007F32CB"/>
    <w:rsid w:val="007F3447"/>
    <w:rsid w:val="007F362A"/>
    <w:rsid w:val="007F36CF"/>
    <w:rsid w:val="007F4024"/>
    <w:rsid w:val="007F4068"/>
    <w:rsid w:val="007F4516"/>
    <w:rsid w:val="007F47F6"/>
    <w:rsid w:val="007F4FBA"/>
    <w:rsid w:val="007F512D"/>
    <w:rsid w:val="007F57BC"/>
    <w:rsid w:val="007F59C9"/>
    <w:rsid w:val="007F6349"/>
    <w:rsid w:val="007F6404"/>
    <w:rsid w:val="007F6E60"/>
    <w:rsid w:val="007F785A"/>
    <w:rsid w:val="007F79E2"/>
    <w:rsid w:val="007F79F5"/>
    <w:rsid w:val="007F7A27"/>
    <w:rsid w:val="007F7CB1"/>
    <w:rsid w:val="007F7D7F"/>
    <w:rsid w:val="0080023D"/>
    <w:rsid w:val="008009FA"/>
    <w:rsid w:val="00800A7D"/>
    <w:rsid w:val="0080103E"/>
    <w:rsid w:val="0080134B"/>
    <w:rsid w:val="008015D4"/>
    <w:rsid w:val="0080170D"/>
    <w:rsid w:val="00801711"/>
    <w:rsid w:val="00801A4A"/>
    <w:rsid w:val="00801E3A"/>
    <w:rsid w:val="008020D5"/>
    <w:rsid w:val="008027A7"/>
    <w:rsid w:val="00802DE7"/>
    <w:rsid w:val="00803785"/>
    <w:rsid w:val="008037F3"/>
    <w:rsid w:val="00803B47"/>
    <w:rsid w:val="00803B52"/>
    <w:rsid w:val="00803B7F"/>
    <w:rsid w:val="00804317"/>
    <w:rsid w:val="0080445D"/>
    <w:rsid w:val="008046A3"/>
    <w:rsid w:val="008047F7"/>
    <w:rsid w:val="00804B51"/>
    <w:rsid w:val="008051BD"/>
    <w:rsid w:val="008051E1"/>
    <w:rsid w:val="00805487"/>
    <w:rsid w:val="008055F5"/>
    <w:rsid w:val="0080567E"/>
    <w:rsid w:val="008058B9"/>
    <w:rsid w:val="00806463"/>
    <w:rsid w:val="00806C3D"/>
    <w:rsid w:val="00806C76"/>
    <w:rsid w:val="00806D19"/>
    <w:rsid w:val="00806E55"/>
    <w:rsid w:val="00806F80"/>
    <w:rsid w:val="00807394"/>
    <w:rsid w:val="008074E1"/>
    <w:rsid w:val="0081019E"/>
    <w:rsid w:val="00810BEF"/>
    <w:rsid w:val="0081199C"/>
    <w:rsid w:val="00811ABE"/>
    <w:rsid w:val="008120E6"/>
    <w:rsid w:val="008120F4"/>
    <w:rsid w:val="00812277"/>
    <w:rsid w:val="0081285D"/>
    <w:rsid w:val="00812AA5"/>
    <w:rsid w:val="00812AFB"/>
    <w:rsid w:val="00812CA5"/>
    <w:rsid w:val="00813108"/>
    <w:rsid w:val="00813393"/>
    <w:rsid w:val="0081364C"/>
    <w:rsid w:val="008136E7"/>
    <w:rsid w:val="00813CE5"/>
    <w:rsid w:val="00813D2D"/>
    <w:rsid w:val="008148BA"/>
    <w:rsid w:val="00814AAC"/>
    <w:rsid w:val="00814DD8"/>
    <w:rsid w:val="00814DDC"/>
    <w:rsid w:val="0081550A"/>
    <w:rsid w:val="0081592F"/>
    <w:rsid w:val="008159B2"/>
    <w:rsid w:val="00815AFC"/>
    <w:rsid w:val="00815B1F"/>
    <w:rsid w:val="00815E22"/>
    <w:rsid w:val="00815E56"/>
    <w:rsid w:val="00815F74"/>
    <w:rsid w:val="00816144"/>
    <w:rsid w:val="008161CB"/>
    <w:rsid w:val="00816EFC"/>
    <w:rsid w:val="00817C48"/>
    <w:rsid w:val="00820803"/>
    <w:rsid w:val="0082086B"/>
    <w:rsid w:val="008208A1"/>
    <w:rsid w:val="00820912"/>
    <w:rsid w:val="00820926"/>
    <w:rsid w:val="0082096D"/>
    <w:rsid w:val="0082098B"/>
    <w:rsid w:val="008209BA"/>
    <w:rsid w:val="00820B4F"/>
    <w:rsid w:val="00820D53"/>
    <w:rsid w:val="00820EE1"/>
    <w:rsid w:val="00821408"/>
    <w:rsid w:val="008219B5"/>
    <w:rsid w:val="00821A57"/>
    <w:rsid w:val="00821D81"/>
    <w:rsid w:val="00821EF1"/>
    <w:rsid w:val="00822808"/>
    <w:rsid w:val="008243CB"/>
    <w:rsid w:val="00824438"/>
    <w:rsid w:val="00824B01"/>
    <w:rsid w:val="00824E6B"/>
    <w:rsid w:val="00824FBF"/>
    <w:rsid w:val="00825436"/>
    <w:rsid w:val="0082569E"/>
    <w:rsid w:val="00825813"/>
    <w:rsid w:val="00825A52"/>
    <w:rsid w:val="00825B27"/>
    <w:rsid w:val="00825D9A"/>
    <w:rsid w:val="008267EB"/>
    <w:rsid w:val="0082686F"/>
    <w:rsid w:val="008269CE"/>
    <w:rsid w:val="00826D7C"/>
    <w:rsid w:val="00827305"/>
    <w:rsid w:val="00827467"/>
    <w:rsid w:val="00827472"/>
    <w:rsid w:val="00827591"/>
    <w:rsid w:val="008275EE"/>
    <w:rsid w:val="0082768B"/>
    <w:rsid w:val="00827906"/>
    <w:rsid w:val="0082797B"/>
    <w:rsid w:val="00830214"/>
    <w:rsid w:val="00830255"/>
    <w:rsid w:val="0083044D"/>
    <w:rsid w:val="0083082D"/>
    <w:rsid w:val="00830B40"/>
    <w:rsid w:val="008312C7"/>
    <w:rsid w:val="008316C7"/>
    <w:rsid w:val="008318CE"/>
    <w:rsid w:val="00831B97"/>
    <w:rsid w:val="008320BB"/>
    <w:rsid w:val="00832679"/>
    <w:rsid w:val="00832DEB"/>
    <w:rsid w:val="008334CE"/>
    <w:rsid w:val="008339BE"/>
    <w:rsid w:val="008340E1"/>
    <w:rsid w:val="0083425A"/>
    <w:rsid w:val="00834A98"/>
    <w:rsid w:val="008355DD"/>
    <w:rsid w:val="00835A52"/>
    <w:rsid w:val="00835ED7"/>
    <w:rsid w:val="00835FBB"/>
    <w:rsid w:val="0083632B"/>
    <w:rsid w:val="00836972"/>
    <w:rsid w:val="00836CCC"/>
    <w:rsid w:val="00836DAB"/>
    <w:rsid w:val="008372D1"/>
    <w:rsid w:val="00837555"/>
    <w:rsid w:val="00840288"/>
    <w:rsid w:val="00840752"/>
    <w:rsid w:val="0084078F"/>
    <w:rsid w:val="00840952"/>
    <w:rsid w:val="00840A2F"/>
    <w:rsid w:val="00840BCD"/>
    <w:rsid w:val="00840D68"/>
    <w:rsid w:val="00840FEC"/>
    <w:rsid w:val="00841112"/>
    <w:rsid w:val="00841204"/>
    <w:rsid w:val="00841348"/>
    <w:rsid w:val="0084134C"/>
    <w:rsid w:val="0084155B"/>
    <w:rsid w:val="008416F0"/>
    <w:rsid w:val="00842289"/>
    <w:rsid w:val="008424F2"/>
    <w:rsid w:val="008428B5"/>
    <w:rsid w:val="00842955"/>
    <w:rsid w:val="00842CAC"/>
    <w:rsid w:val="00842FBA"/>
    <w:rsid w:val="0084385C"/>
    <w:rsid w:val="00843947"/>
    <w:rsid w:val="00844695"/>
    <w:rsid w:val="00844F25"/>
    <w:rsid w:val="0084511F"/>
    <w:rsid w:val="0084535C"/>
    <w:rsid w:val="00845466"/>
    <w:rsid w:val="0084578A"/>
    <w:rsid w:val="0084598C"/>
    <w:rsid w:val="00845DF1"/>
    <w:rsid w:val="00845E8D"/>
    <w:rsid w:val="00845F65"/>
    <w:rsid w:val="008462F1"/>
    <w:rsid w:val="0084636D"/>
    <w:rsid w:val="00846392"/>
    <w:rsid w:val="008465CF"/>
    <w:rsid w:val="00846DA9"/>
    <w:rsid w:val="00846EA8"/>
    <w:rsid w:val="00847EAC"/>
    <w:rsid w:val="0085026A"/>
    <w:rsid w:val="00850794"/>
    <w:rsid w:val="0085133E"/>
    <w:rsid w:val="00851708"/>
    <w:rsid w:val="0085178E"/>
    <w:rsid w:val="0085202B"/>
    <w:rsid w:val="0085251D"/>
    <w:rsid w:val="008525B8"/>
    <w:rsid w:val="008528C8"/>
    <w:rsid w:val="0085296B"/>
    <w:rsid w:val="00852F73"/>
    <w:rsid w:val="0085325C"/>
    <w:rsid w:val="0085359A"/>
    <w:rsid w:val="008535D7"/>
    <w:rsid w:val="0085446C"/>
    <w:rsid w:val="008545AD"/>
    <w:rsid w:val="008545BC"/>
    <w:rsid w:val="00854BB5"/>
    <w:rsid w:val="008551FA"/>
    <w:rsid w:val="008562CD"/>
    <w:rsid w:val="008564AE"/>
    <w:rsid w:val="00856D3F"/>
    <w:rsid w:val="00857DF4"/>
    <w:rsid w:val="00857E6A"/>
    <w:rsid w:val="00857E99"/>
    <w:rsid w:val="00860124"/>
    <w:rsid w:val="008605B3"/>
    <w:rsid w:val="008605BC"/>
    <w:rsid w:val="00860B5D"/>
    <w:rsid w:val="00860C9D"/>
    <w:rsid w:val="00860D51"/>
    <w:rsid w:val="00860DF5"/>
    <w:rsid w:val="00861081"/>
    <w:rsid w:val="00861251"/>
    <w:rsid w:val="00861849"/>
    <w:rsid w:val="00861A0E"/>
    <w:rsid w:val="00861C2A"/>
    <w:rsid w:val="00861DCF"/>
    <w:rsid w:val="00861FAF"/>
    <w:rsid w:val="00862817"/>
    <w:rsid w:val="00862987"/>
    <w:rsid w:val="00862CE2"/>
    <w:rsid w:val="00862D22"/>
    <w:rsid w:val="008630E9"/>
    <w:rsid w:val="0086498B"/>
    <w:rsid w:val="008649E7"/>
    <w:rsid w:val="00864DDD"/>
    <w:rsid w:val="00866C34"/>
    <w:rsid w:val="00867077"/>
    <w:rsid w:val="008676D9"/>
    <w:rsid w:val="00867E81"/>
    <w:rsid w:val="0087004C"/>
    <w:rsid w:val="008703EB"/>
    <w:rsid w:val="00870F50"/>
    <w:rsid w:val="00871186"/>
    <w:rsid w:val="00871BF1"/>
    <w:rsid w:val="00871CCC"/>
    <w:rsid w:val="0087294C"/>
    <w:rsid w:val="00872D6D"/>
    <w:rsid w:val="008741E4"/>
    <w:rsid w:val="008744EF"/>
    <w:rsid w:val="008744F5"/>
    <w:rsid w:val="008754AE"/>
    <w:rsid w:val="00875909"/>
    <w:rsid w:val="00875D8F"/>
    <w:rsid w:val="00876038"/>
    <w:rsid w:val="00876185"/>
    <w:rsid w:val="00877073"/>
    <w:rsid w:val="00877ACC"/>
    <w:rsid w:val="00877AF3"/>
    <w:rsid w:val="00877C4A"/>
    <w:rsid w:val="00877E73"/>
    <w:rsid w:val="00877F4D"/>
    <w:rsid w:val="0088041D"/>
    <w:rsid w:val="00880C99"/>
    <w:rsid w:val="0088105D"/>
    <w:rsid w:val="0088119E"/>
    <w:rsid w:val="00881435"/>
    <w:rsid w:val="008819BA"/>
    <w:rsid w:val="00881B2C"/>
    <w:rsid w:val="00881E35"/>
    <w:rsid w:val="00882325"/>
    <w:rsid w:val="0088232B"/>
    <w:rsid w:val="008824CB"/>
    <w:rsid w:val="00882682"/>
    <w:rsid w:val="0088299E"/>
    <w:rsid w:val="00883023"/>
    <w:rsid w:val="0088303D"/>
    <w:rsid w:val="00883220"/>
    <w:rsid w:val="0088351A"/>
    <w:rsid w:val="00883561"/>
    <w:rsid w:val="008837C8"/>
    <w:rsid w:val="008838AE"/>
    <w:rsid w:val="00883BF1"/>
    <w:rsid w:val="00883CAE"/>
    <w:rsid w:val="00884172"/>
    <w:rsid w:val="008847EF"/>
    <w:rsid w:val="00884991"/>
    <w:rsid w:val="00885187"/>
    <w:rsid w:val="008852B7"/>
    <w:rsid w:val="0088530B"/>
    <w:rsid w:val="00885310"/>
    <w:rsid w:val="00885402"/>
    <w:rsid w:val="0088561C"/>
    <w:rsid w:val="00885A7A"/>
    <w:rsid w:val="00885D41"/>
    <w:rsid w:val="00886041"/>
    <w:rsid w:val="008862D4"/>
    <w:rsid w:val="0088647A"/>
    <w:rsid w:val="00886DCA"/>
    <w:rsid w:val="008875CB"/>
    <w:rsid w:val="00887978"/>
    <w:rsid w:val="00887AA5"/>
    <w:rsid w:val="00890074"/>
    <w:rsid w:val="00890231"/>
    <w:rsid w:val="008908F0"/>
    <w:rsid w:val="008909CE"/>
    <w:rsid w:val="00890DBE"/>
    <w:rsid w:val="0089108C"/>
    <w:rsid w:val="0089143B"/>
    <w:rsid w:val="008914FE"/>
    <w:rsid w:val="00892254"/>
    <w:rsid w:val="0089273B"/>
    <w:rsid w:val="0089273F"/>
    <w:rsid w:val="008928FB"/>
    <w:rsid w:val="00892915"/>
    <w:rsid w:val="00892CA1"/>
    <w:rsid w:val="008930C9"/>
    <w:rsid w:val="00893659"/>
    <w:rsid w:val="00893C27"/>
    <w:rsid w:val="008940FA"/>
    <w:rsid w:val="00894399"/>
    <w:rsid w:val="00894775"/>
    <w:rsid w:val="00894D1B"/>
    <w:rsid w:val="00894FC7"/>
    <w:rsid w:val="00895399"/>
    <w:rsid w:val="0089567F"/>
    <w:rsid w:val="00895C7C"/>
    <w:rsid w:val="00895F17"/>
    <w:rsid w:val="00896229"/>
    <w:rsid w:val="00896788"/>
    <w:rsid w:val="00896D37"/>
    <w:rsid w:val="00896F5F"/>
    <w:rsid w:val="00897350"/>
    <w:rsid w:val="00897679"/>
    <w:rsid w:val="00897684"/>
    <w:rsid w:val="008977A3"/>
    <w:rsid w:val="0089795D"/>
    <w:rsid w:val="008A03BA"/>
    <w:rsid w:val="008A1224"/>
    <w:rsid w:val="008A12FA"/>
    <w:rsid w:val="008A141E"/>
    <w:rsid w:val="008A1FCF"/>
    <w:rsid w:val="008A2165"/>
    <w:rsid w:val="008A2CA8"/>
    <w:rsid w:val="008A2EAB"/>
    <w:rsid w:val="008A301C"/>
    <w:rsid w:val="008A34F2"/>
    <w:rsid w:val="008A375F"/>
    <w:rsid w:val="008A3814"/>
    <w:rsid w:val="008A3ABA"/>
    <w:rsid w:val="008A480F"/>
    <w:rsid w:val="008A50A6"/>
    <w:rsid w:val="008A5166"/>
    <w:rsid w:val="008A51F7"/>
    <w:rsid w:val="008A5200"/>
    <w:rsid w:val="008A5636"/>
    <w:rsid w:val="008A565B"/>
    <w:rsid w:val="008A5869"/>
    <w:rsid w:val="008A59EC"/>
    <w:rsid w:val="008A5E41"/>
    <w:rsid w:val="008A66A2"/>
    <w:rsid w:val="008A6722"/>
    <w:rsid w:val="008A6A61"/>
    <w:rsid w:val="008A6C19"/>
    <w:rsid w:val="008A6F84"/>
    <w:rsid w:val="008A7072"/>
    <w:rsid w:val="008A7146"/>
    <w:rsid w:val="008A7A6D"/>
    <w:rsid w:val="008A7D8E"/>
    <w:rsid w:val="008A7EBC"/>
    <w:rsid w:val="008A7EEC"/>
    <w:rsid w:val="008B0491"/>
    <w:rsid w:val="008B04F7"/>
    <w:rsid w:val="008B0734"/>
    <w:rsid w:val="008B09D3"/>
    <w:rsid w:val="008B09E9"/>
    <w:rsid w:val="008B0F91"/>
    <w:rsid w:val="008B0F9B"/>
    <w:rsid w:val="008B1300"/>
    <w:rsid w:val="008B169F"/>
    <w:rsid w:val="008B2B6F"/>
    <w:rsid w:val="008B2CE6"/>
    <w:rsid w:val="008B2FF0"/>
    <w:rsid w:val="008B3F93"/>
    <w:rsid w:val="008B40B5"/>
    <w:rsid w:val="008B48A0"/>
    <w:rsid w:val="008B50E4"/>
    <w:rsid w:val="008B52F0"/>
    <w:rsid w:val="008B537B"/>
    <w:rsid w:val="008B54E1"/>
    <w:rsid w:val="008B5538"/>
    <w:rsid w:val="008B55FA"/>
    <w:rsid w:val="008B5912"/>
    <w:rsid w:val="008B5DCF"/>
    <w:rsid w:val="008B6247"/>
    <w:rsid w:val="008B62D3"/>
    <w:rsid w:val="008B6410"/>
    <w:rsid w:val="008B6B12"/>
    <w:rsid w:val="008B6B7A"/>
    <w:rsid w:val="008B6B82"/>
    <w:rsid w:val="008B7171"/>
    <w:rsid w:val="008B7395"/>
    <w:rsid w:val="008C0105"/>
    <w:rsid w:val="008C050B"/>
    <w:rsid w:val="008C076B"/>
    <w:rsid w:val="008C0C84"/>
    <w:rsid w:val="008C1745"/>
    <w:rsid w:val="008C1923"/>
    <w:rsid w:val="008C1CD5"/>
    <w:rsid w:val="008C205B"/>
    <w:rsid w:val="008C2255"/>
    <w:rsid w:val="008C22C5"/>
    <w:rsid w:val="008C28EF"/>
    <w:rsid w:val="008C2B41"/>
    <w:rsid w:val="008C2E75"/>
    <w:rsid w:val="008C2EFA"/>
    <w:rsid w:val="008C3291"/>
    <w:rsid w:val="008C334F"/>
    <w:rsid w:val="008C35A1"/>
    <w:rsid w:val="008C369B"/>
    <w:rsid w:val="008C3FDF"/>
    <w:rsid w:val="008C42CE"/>
    <w:rsid w:val="008C4E4B"/>
    <w:rsid w:val="008C4F2F"/>
    <w:rsid w:val="008C50AB"/>
    <w:rsid w:val="008C51C4"/>
    <w:rsid w:val="008C52DB"/>
    <w:rsid w:val="008C55FC"/>
    <w:rsid w:val="008C5776"/>
    <w:rsid w:val="008C5918"/>
    <w:rsid w:val="008C59F9"/>
    <w:rsid w:val="008C5A97"/>
    <w:rsid w:val="008C5EA1"/>
    <w:rsid w:val="008C614E"/>
    <w:rsid w:val="008C6F9E"/>
    <w:rsid w:val="008C7419"/>
    <w:rsid w:val="008C749C"/>
    <w:rsid w:val="008C784E"/>
    <w:rsid w:val="008D020A"/>
    <w:rsid w:val="008D0224"/>
    <w:rsid w:val="008D06DC"/>
    <w:rsid w:val="008D0937"/>
    <w:rsid w:val="008D09CB"/>
    <w:rsid w:val="008D0E80"/>
    <w:rsid w:val="008D1012"/>
    <w:rsid w:val="008D149C"/>
    <w:rsid w:val="008D152A"/>
    <w:rsid w:val="008D1A01"/>
    <w:rsid w:val="008D2047"/>
    <w:rsid w:val="008D2296"/>
    <w:rsid w:val="008D2690"/>
    <w:rsid w:val="008D2B4F"/>
    <w:rsid w:val="008D2F90"/>
    <w:rsid w:val="008D31C6"/>
    <w:rsid w:val="008D4623"/>
    <w:rsid w:val="008D4B3E"/>
    <w:rsid w:val="008D4BC6"/>
    <w:rsid w:val="008D4DDE"/>
    <w:rsid w:val="008D4E49"/>
    <w:rsid w:val="008D5167"/>
    <w:rsid w:val="008D51F9"/>
    <w:rsid w:val="008D5681"/>
    <w:rsid w:val="008D56C3"/>
    <w:rsid w:val="008D5BC5"/>
    <w:rsid w:val="008D5CDF"/>
    <w:rsid w:val="008D61CE"/>
    <w:rsid w:val="008D6578"/>
    <w:rsid w:val="008D65E0"/>
    <w:rsid w:val="008D6835"/>
    <w:rsid w:val="008D6B5E"/>
    <w:rsid w:val="008D6C72"/>
    <w:rsid w:val="008D6E62"/>
    <w:rsid w:val="008D7000"/>
    <w:rsid w:val="008D70D2"/>
    <w:rsid w:val="008D779B"/>
    <w:rsid w:val="008D7806"/>
    <w:rsid w:val="008D7AB0"/>
    <w:rsid w:val="008D7CA1"/>
    <w:rsid w:val="008E066F"/>
    <w:rsid w:val="008E08B5"/>
    <w:rsid w:val="008E1645"/>
    <w:rsid w:val="008E175F"/>
    <w:rsid w:val="008E19ED"/>
    <w:rsid w:val="008E1AD7"/>
    <w:rsid w:val="008E1AF0"/>
    <w:rsid w:val="008E2A89"/>
    <w:rsid w:val="008E302B"/>
    <w:rsid w:val="008E3057"/>
    <w:rsid w:val="008E34FF"/>
    <w:rsid w:val="008E3537"/>
    <w:rsid w:val="008E35A9"/>
    <w:rsid w:val="008E3927"/>
    <w:rsid w:val="008E3C74"/>
    <w:rsid w:val="008E3DE4"/>
    <w:rsid w:val="008E44EE"/>
    <w:rsid w:val="008E54CF"/>
    <w:rsid w:val="008E55A4"/>
    <w:rsid w:val="008E55AB"/>
    <w:rsid w:val="008E5955"/>
    <w:rsid w:val="008E5995"/>
    <w:rsid w:val="008E5D1A"/>
    <w:rsid w:val="008E6E77"/>
    <w:rsid w:val="008E71B5"/>
    <w:rsid w:val="008E72FE"/>
    <w:rsid w:val="008E7458"/>
    <w:rsid w:val="008E77CA"/>
    <w:rsid w:val="008E7A1E"/>
    <w:rsid w:val="008E7E5D"/>
    <w:rsid w:val="008F0262"/>
    <w:rsid w:val="008F0DDA"/>
    <w:rsid w:val="008F0E61"/>
    <w:rsid w:val="008F123B"/>
    <w:rsid w:val="008F163F"/>
    <w:rsid w:val="008F1B27"/>
    <w:rsid w:val="008F1E8D"/>
    <w:rsid w:val="008F2024"/>
    <w:rsid w:val="008F2B41"/>
    <w:rsid w:val="008F2C3A"/>
    <w:rsid w:val="008F2EE5"/>
    <w:rsid w:val="008F2FC7"/>
    <w:rsid w:val="008F3480"/>
    <w:rsid w:val="008F3709"/>
    <w:rsid w:val="008F37FC"/>
    <w:rsid w:val="008F3922"/>
    <w:rsid w:val="008F3F16"/>
    <w:rsid w:val="008F41D0"/>
    <w:rsid w:val="008F4207"/>
    <w:rsid w:val="008F4580"/>
    <w:rsid w:val="008F45BE"/>
    <w:rsid w:val="008F4B23"/>
    <w:rsid w:val="008F57C5"/>
    <w:rsid w:val="008F646C"/>
    <w:rsid w:val="008F6515"/>
    <w:rsid w:val="008F6A2A"/>
    <w:rsid w:val="008F6E2A"/>
    <w:rsid w:val="008F6F54"/>
    <w:rsid w:val="008F7453"/>
    <w:rsid w:val="008F7C1D"/>
    <w:rsid w:val="008F7DE1"/>
    <w:rsid w:val="009007B1"/>
    <w:rsid w:val="00900B33"/>
    <w:rsid w:val="0090164D"/>
    <w:rsid w:val="00901815"/>
    <w:rsid w:val="00901DD5"/>
    <w:rsid w:val="00901E35"/>
    <w:rsid w:val="00902924"/>
    <w:rsid w:val="00902E58"/>
    <w:rsid w:val="00902F0C"/>
    <w:rsid w:val="009032FB"/>
    <w:rsid w:val="00903795"/>
    <w:rsid w:val="00903A61"/>
    <w:rsid w:val="00903AD7"/>
    <w:rsid w:val="00903BE8"/>
    <w:rsid w:val="00903CFD"/>
    <w:rsid w:val="00903E5C"/>
    <w:rsid w:val="009041E1"/>
    <w:rsid w:val="009044B3"/>
    <w:rsid w:val="009045EC"/>
    <w:rsid w:val="00904916"/>
    <w:rsid w:val="00904A05"/>
    <w:rsid w:val="00905796"/>
    <w:rsid w:val="00905C09"/>
    <w:rsid w:val="00905DE9"/>
    <w:rsid w:val="00905E6C"/>
    <w:rsid w:val="0090658F"/>
    <w:rsid w:val="00906700"/>
    <w:rsid w:val="00906861"/>
    <w:rsid w:val="00906DF4"/>
    <w:rsid w:val="00907029"/>
    <w:rsid w:val="009072C8"/>
    <w:rsid w:val="00907E0C"/>
    <w:rsid w:val="00910034"/>
    <w:rsid w:val="00910139"/>
    <w:rsid w:val="00910221"/>
    <w:rsid w:val="00910275"/>
    <w:rsid w:val="009102BA"/>
    <w:rsid w:val="00910646"/>
    <w:rsid w:val="0091066F"/>
    <w:rsid w:val="00910709"/>
    <w:rsid w:val="0091092A"/>
    <w:rsid w:val="00910940"/>
    <w:rsid w:val="00910B5D"/>
    <w:rsid w:val="00910C75"/>
    <w:rsid w:val="00911027"/>
    <w:rsid w:val="0091116A"/>
    <w:rsid w:val="00911390"/>
    <w:rsid w:val="00911D2E"/>
    <w:rsid w:val="00912149"/>
    <w:rsid w:val="009121E9"/>
    <w:rsid w:val="00912646"/>
    <w:rsid w:val="009127A3"/>
    <w:rsid w:val="00912930"/>
    <w:rsid w:val="00912DAC"/>
    <w:rsid w:val="00912F9A"/>
    <w:rsid w:val="009134A6"/>
    <w:rsid w:val="00913B18"/>
    <w:rsid w:val="00914252"/>
    <w:rsid w:val="00914338"/>
    <w:rsid w:val="00914511"/>
    <w:rsid w:val="00914CCF"/>
    <w:rsid w:val="00914F25"/>
    <w:rsid w:val="0091501D"/>
    <w:rsid w:val="0091596E"/>
    <w:rsid w:val="00915BDA"/>
    <w:rsid w:val="00915D60"/>
    <w:rsid w:val="0091654F"/>
    <w:rsid w:val="00916A09"/>
    <w:rsid w:val="00916AD4"/>
    <w:rsid w:val="00916DF2"/>
    <w:rsid w:val="009176ED"/>
    <w:rsid w:val="00917D0E"/>
    <w:rsid w:val="00917E09"/>
    <w:rsid w:val="00917F4A"/>
    <w:rsid w:val="00917F56"/>
    <w:rsid w:val="0092038B"/>
    <w:rsid w:val="00920479"/>
    <w:rsid w:val="0092090A"/>
    <w:rsid w:val="00920A61"/>
    <w:rsid w:val="00920ABE"/>
    <w:rsid w:val="00920B31"/>
    <w:rsid w:val="00920DA0"/>
    <w:rsid w:val="00920DF9"/>
    <w:rsid w:val="0092183B"/>
    <w:rsid w:val="0092183D"/>
    <w:rsid w:val="00921FCD"/>
    <w:rsid w:val="00922301"/>
    <w:rsid w:val="00922918"/>
    <w:rsid w:val="0092294B"/>
    <w:rsid w:val="00922AF3"/>
    <w:rsid w:val="00923C8B"/>
    <w:rsid w:val="00923E03"/>
    <w:rsid w:val="009246B2"/>
    <w:rsid w:val="00924D2A"/>
    <w:rsid w:val="00924E85"/>
    <w:rsid w:val="00925001"/>
    <w:rsid w:val="00925552"/>
    <w:rsid w:val="00925B48"/>
    <w:rsid w:val="00925B72"/>
    <w:rsid w:val="00925F22"/>
    <w:rsid w:val="00926B39"/>
    <w:rsid w:val="00927383"/>
    <w:rsid w:val="009277C7"/>
    <w:rsid w:val="009277CE"/>
    <w:rsid w:val="00927ECB"/>
    <w:rsid w:val="00930494"/>
    <w:rsid w:val="00930783"/>
    <w:rsid w:val="0093081F"/>
    <w:rsid w:val="00930C20"/>
    <w:rsid w:val="00930E97"/>
    <w:rsid w:val="00930EA9"/>
    <w:rsid w:val="00931902"/>
    <w:rsid w:val="00931D09"/>
    <w:rsid w:val="00931E04"/>
    <w:rsid w:val="009329D1"/>
    <w:rsid w:val="0093325D"/>
    <w:rsid w:val="0093346A"/>
    <w:rsid w:val="00933738"/>
    <w:rsid w:val="009337EA"/>
    <w:rsid w:val="00933A38"/>
    <w:rsid w:val="00933ACD"/>
    <w:rsid w:val="00933B99"/>
    <w:rsid w:val="00934107"/>
    <w:rsid w:val="009344C5"/>
    <w:rsid w:val="00934939"/>
    <w:rsid w:val="00934CC3"/>
    <w:rsid w:val="00934E4B"/>
    <w:rsid w:val="00935CF4"/>
    <w:rsid w:val="00935E58"/>
    <w:rsid w:val="00935F1F"/>
    <w:rsid w:val="00936BCB"/>
    <w:rsid w:val="00936C6E"/>
    <w:rsid w:val="00936D80"/>
    <w:rsid w:val="00936F5B"/>
    <w:rsid w:val="00936FFB"/>
    <w:rsid w:val="009373CA"/>
    <w:rsid w:val="00937541"/>
    <w:rsid w:val="009375AD"/>
    <w:rsid w:val="0093799D"/>
    <w:rsid w:val="00937DD8"/>
    <w:rsid w:val="00937FEC"/>
    <w:rsid w:val="0094003C"/>
    <w:rsid w:val="0094068A"/>
    <w:rsid w:val="009406C4"/>
    <w:rsid w:val="009406E5"/>
    <w:rsid w:val="009408A1"/>
    <w:rsid w:val="009408CA"/>
    <w:rsid w:val="009417E1"/>
    <w:rsid w:val="00941E23"/>
    <w:rsid w:val="00942513"/>
    <w:rsid w:val="00942A5B"/>
    <w:rsid w:val="00942E9E"/>
    <w:rsid w:val="0094305D"/>
    <w:rsid w:val="00943296"/>
    <w:rsid w:val="009438BF"/>
    <w:rsid w:val="0094403E"/>
    <w:rsid w:val="00944447"/>
    <w:rsid w:val="009449E2"/>
    <w:rsid w:val="00944B6D"/>
    <w:rsid w:val="00944BBE"/>
    <w:rsid w:val="009453CF"/>
    <w:rsid w:val="009458AC"/>
    <w:rsid w:val="00945AAC"/>
    <w:rsid w:val="00946960"/>
    <w:rsid w:val="00947454"/>
    <w:rsid w:val="0094754A"/>
    <w:rsid w:val="009478E7"/>
    <w:rsid w:val="009479CD"/>
    <w:rsid w:val="00947A87"/>
    <w:rsid w:val="00947D6F"/>
    <w:rsid w:val="00950199"/>
    <w:rsid w:val="00950270"/>
    <w:rsid w:val="009505A4"/>
    <w:rsid w:val="00950600"/>
    <w:rsid w:val="00950748"/>
    <w:rsid w:val="00950C4D"/>
    <w:rsid w:val="00951448"/>
    <w:rsid w:val="0095166F"/>
    <w:rsid w:val="00951BEC"/>
    <w:rsid w:val="0095203C"/>
    <w:rsid w:val="0095267F"/>
    <w:rsid w:val="00952BA9"/>
    <w:rsid w:val="00952CDF"/>
    <w:rsid w:val="00952E77"/>
    <w:rsid w:val="009538B7"/>
    <w:rsid w:val="00953B14"/>
    <w:rsid w:val="00953EFE"/>
    <w:rsid w:val="00953F12"/>
    <w:rsid w:val="00953FCD"/>
    <w:rsid w:val="00954809"/>
    <w:rsid w:val="009555D9"/>
    <w:rsid w:val="00956438"/>
    <w:rsid w:val="0095653D"/>
    <w:rsid w:val="009573D1"/>
    <w:rsid w:val="00957797"/>
    <w:rsid w:val="009578D9"/>
    <w:rsid w:val="0095794E"/>
    <w:rsid w:val="009579C2"/>
    <w:rsid w:val="009604F6"/>
    <w:rsid w:val="00960548"/>
    <w:rsid w:val="0096055C"/>
    <w:rsid w:val="009606CA"/>
    <w:rsid w:val="00960FC7"/>
    <w:rsid w:val="0096149D"/>
    <w:rsid w:val="0096174B"/>
    <w:rsid w:val="0096187A"/>
    <w:rsid w:val="00961D6B"/>
    <w:rsid w:val="0096241B"/>
    <w:rsid w:val="009625BB"/>
    <w:rsid w:val="0096293A"/>
    <w:rsid w:val="009629F3"/>
    <w:rsid w:val="00962DA1"/>
    <w:rsid w:val="0096303A"/>
    <w:rsid w:val="00963ACD"/>
    <w:rsid w:val="00963B0A"/>
    <w:rsid w:val="00963E5B"/>
    <w:rsid w:val="00964051"/>
    <w:rsid w:val="009640A7"/>
    <w:rsid w:val="0096429A"/>
    <w:rsid w:val="009642A2"/>
    <w:rsid w:val="00964797"/>
    <w:rsid w:val="00964A96"/>
    <w:rsid w:val="00965083"/>
    <w:rsid w:val="009656D9"/>
    <w:rsid w:val="00965807"/>
    <w:rsid w:val="00965B59"/>
    <w:rsid w:val="009663A2"/>
    <w:rsid w:val="00966D5A"/>
    <w:rsid w:val="00966FEC"/>
    <w:rsid w:val="00967799"/>
    <w:rsid w:val="00967B75"/>
    <w:rsid w:val="0097015B"/>
    <w:rsid w:val="009708E5"/>
    <w:rsid w:val="00970D11"/>
    <w:rsid w:val="00971250"/>
    <w:rsid w:val="009719DC"/>
    <w:rsid w:val="00972027"/>
    <w:rsid w:val="00972797"/>
    <w:rsid w:val="009730B9"/>
    <w:rsid w:val="00973154"/>
    <w:rsid w:val="009737BD"/>
    <w:rsid w:val="00973BA2"/>
    <w:rsid w:val="009740BF"/>
    <w:rsid w:val="00974409"/>
    <w:rsid w:val="009744DB"/>
    <w:rsid w:val="00974656"/>
    <w:rsid w:val="0097478F"/>
    <w:rsid w:val="009753DF"/>
    <w:rsid w:val="009755C1"/>
    <w:rsid w:val="00975EAD"/>
    <w:rsid w:val="00975ED0"/>
    <w:rsid w:val="009760E3"/>
    <w:rsid w:val="009765E9"/>
    <w:rsid w:val="00976CBD"/>
    <w:rsid w:val="009779D1"/>
    <w:rsid w:val="00977D32"/>
    <w:rsid w:val="00977E95"/>
    <w:rsid w:val="00977F36"/>
    <w:rsid w:val="00980A1A"/>
    <w:rsid w:val="00980DA0"/>
    <w:rsid w:val="00980F54"/>
    <w:rsid w:val="00981434"/>
    <w:rsid w:val="0098161A"/>
    <w:rsid w:val="0098175B"/>
    <w:rsid w:val="009822CE"/>
    <w:rsid w:val="0098263B"/>
    <w:rsid w:val="009829ED"/>
    <w:rsid w:val="00982B31"/>
    <w:rsid w:val="00983298"/>
    <w:rsid w:val="00983797"/>
    <w:rsid w:val="00983A2C"/>
    <w:rsid w:val="00983DB8"/>
    <w:rsid w:val="00983FB3"/>
    <w:rsid w:val="00984749"/>
    <w:rsid w:val="00984A4B"/>
    <w:rsid w:val="00984B84"/>
    <w:rsid w:val="00984C7B"/>
    <w:rsid w:val="00984DB6"/>
    <w:rsid w:val="00985E6B"/>
    <w:rsid w:val="00985EBF"/>
    <w:rsid w:val="0098620B"/>
    <w:rsid w:val="00987362"/>
    <w:rsid w:val="0098757F"/>
    <w:rsid w:val="00987A8B"/>
    <w:rsid w:val="00990A6D"/>
    <w:rsid w:val="00990B17"/>
    <w:rsid w:val="00991580"/>
    <w:rsid w:val="009916EA"/>
    <w:rsid w:val="00991E04"/>
    <w:rsid w:val="00991E3D"/>
    <w:rsid w:val="00991F84"/>
    <w:rsid w:val="00992AC1"/>
    <w:rsid w:val="00992FDC"/>
    <w:rsid w:val="00993CC9"/>
    <w:rsid w:val="00995186"/>
    <w:rsid w:val="0099543B"/>
    <w:rsid w:val="0099545E"/>
    <w:rsid w:val="009955C5"/>
    <w:rsid w:val="00995770"/>
    <w:rsid w:val="00995FAB"/>
    <w:rsid w:val="00996233"/>
    <w:rsid w:val="0099685E"/>
    <w:rsid w:val="00996916"/>
    <w:rsid w:val="0099704A"/>
    <w:rsid w:val="00997360"/>
    <w:rsid w:val="00997417"/>
    <w:rsid w:val="00997751"/>
    <w:rsid w:val="00997786"/>
    <w:rsid w:val="0099786E"/>
    <w:rsid w:val="00997B45"/>
    <w:rsid w:val="009A015D"/>
    <w:rsid w:val="009A040F"/>
    <w:rsid w:val="009A0B91"/>
    <w:rsid w:val="009A219E"/>
    <w:rsid w:val="009A2323"/>
    <w:rsid w:val="009A23D4"/>
    <w:rsid w:val="009A2D17"/>
    <w:rsid w:val="009A34D5"/>
    <w:rsid w:val="009A3851"/>
    <w:rsid w:val="009A3B2C"/>
    <w:rsid w:val="009A3B41"/>
    <w:rsid w:val="009A4348"/>
    <w:rsid w:val="009A4961"/>
    <w:rsid w:val="009A4F90"/>
    <w:rsid w:val="009A5498"/>
    <w:rsid w:val="009A56D3"/>
    <w:rsid w:val="009A577A"/>
    <w:rsid w:val="009A5786"/>
    <w:rsid w:val="009A5843"/>
    <w:rsid w:val="009A597D"/>
    <w:rsid w:val="009A5BF1"/>
    <w:rsid w:val="009A624A"/>
    <w:rsid w:val="009A63BB"/>
    <w:rsid w:val="009A6B2B"/>
    <w:rsid w:val="009A6C0A"/>
    <w:rsid w:val="009A7219"/>
    <w:rsid w:val="009A740A"/>
    <w:rsid w:val="009A7A03"/>
    <w:rsid w:val="009A7B35"/>
    <w:rsid w:val="009B0026"/>
    <w:rsid w:val="009B0CC3"/>
    <w:rsid w:val="009B12D4"/>
    <w:rsid w:val="009B1855"/>
    <w:rsid w:val="009B18FE"/>
    <w:rsid w:val="009B19EF"/>
    <w:rsid w:val="009B2777"/>
    <w:rsid w:val="009B2961"/>
    <w:rsid w:val="009B2B1C"/>
    <w:rsid w:val="009B30AC"/>
    <w:rsid w:val="009B32C5"/>
    <w:rsid w:val="009B34C0"/>
    <w:rsid w:val="009B352C"/>
    <w:rsid w:val="009B3907"/>
    <w:rsid w:val="009B3CB0"/>
    <w:rsid w:val="009B3E53"/>
    <w:rsid w:val="009B3F38"/>
    <w:rsid w:val="009B429D"/>
    <w:rsid w:val="009B447C"/>
    <w:rsid w:val="009B4727"/>
    <w:rsid w:val="009B4993"/>
    <w:rsid w:val="009B4C65"/>
    <w:rsid w:val="009B4E3E"/>
    <w:rsid w:val="009B54D3"/>
    <w:rsid w:val="009B551B"/>
    <w:rsid w:val="009B56C6"/>
    <w:rsid w:val="009B56E7"/>
    <w:rsid w:val="009B6003"/>
    <w:rsid w:val="009B6442"/>
    <w:rsid w:val="009B6461"/>
    <w:rsid w:val="009B64F0"/>
    <w:rsid w:val="009B6977"/>
    <w:rsid w:val="009B6A61"/>
    <w:rsid w:val="009B6CE4"/>
    <w:rsid w:val="009B7030"/>
    <w:rsid w:val="009B72D9"/>
    <w:rsid w:val="009B7A79"/>
    <w:rsid w:val="009B7DA6"/>
    <w:rsid w:val="009C006A"/>
    <w:rsid w:val="009C0F87"/>
    <w:rsid w:val="009C15DF"/>
    <w:rsid w:val="009C1792"/>
    <w:rsid w:val="009C1802"/>
    <w:rsid w:val="009C1821"/>
    <w:rsid w:val="009C194C"/>
    <w:rsid w:val="009C2069"/>
    <w:rsid w:val="009C265B"/>
    <w:rsid w:val="009C2B06"/>
    <w:rsid w:val="009C2D64"/>
    <w:rsid w:val="009C2DB7"/>
    <w:rsid w:val="009C30FA"/>
    <w:rsid w:val="009C33ED"/>
    <w:rsid w:val="009C390E"/>
    <w:rsid w:val="009C3A4A"/>
    <w:rsid w:val="009C3B74"/>
    <w:rsid w:val="009C3C4C"/>
    <w:rsid w:val="009C3D13"/>
    <w:rsid w:val="009C41CF"/>
    <w:rsid w:val="009C4475"/>
    <w:rsid w:val="009C44E3"/>
    <w:rsid w:val="009C4583"/>
    <w:rsid w:val="009C4769"/>
    <w:rsid w:val="009C4BE2"/>
    <w:rsid w:val="009C4CF0"/>
    <w:rsid w:val="009C4DCC"/>
    <w:rsid w:val="009C51D4"/>
    <w:rsid w:val="009C5367"/>
    <w:rsid w:val="009C55E7"/>
    <w:rsid w:val="009C55FC"/>
    <w:rsid w:val="009C5634"/>
    <w:rsid w:val="009C582C"/>
    <w:rsid w:val="009C6384"/>
    <w:rsid w:val="009C6637"/>
    <w:rsid w:val="009C6E78"/>
    <w:rsid w:val="009C7368"/>
    <w:rsid w:val="009C74C0"/>
    <w:rsid w:val="009C7696"/>
    <w:rsid w:val="009D05E5"/>
    <w:rsid w:val="009D0EDE"/>
    <w:rsid w:val="009D1009"/>
    <w:rsid w:val="009D10C4"/>
    <w:rsid w:val="009D119F"/>
    <w:rsid w:val="009D15B3"/>
    <w:rsid w:val="009D291F"/>
    <w:rsid w:val="009D2E55"/>
    <w:rsid w:val="009D328A"/>
    <w:rsid w:val="009D3700"/>
    <w:rsid w:val="009D385D"/>
    <w:rsid w:val="009D3A48"/>
    <w:rsid w:val="009D3C61"/>
    <w:rsid w:val="009D3FDD"/>
    <w:rsid w:val="009D3FEA"/>
    <w:rsid w:val="009D43A7"/>
    <w:rsid w:val="009D448F"/>
    <w:rsid w:val="009D46A1"/>
    <w:rsid w:val="009D4B41"/>
    <w:rsid w:val="009D4DEB"/>
    <w:rsid w:val="009D4E25"/>
    <w:rsid w:val="009D4F84"/>
    <w:rsid w:val="009D5040"/>
    <w:rsid w:val="009D5539"/>
    <w:rsid w:val="009D622E"/>
    <w:rsid w:val="009D625F"/>
    <w:rsid w:val="009D64BD"/>
    <w:rsid w:val="009D6666"/>
    <w:rsid w:val="009D673A"/>
    <w:rsid w:val="009D6795"/>
    <w:rsid w:val="009D7798"/>
    <w:rsid w:val="009D7C39"/>
    <w:rsid w:val="009E02C8"/>
    <w:rsid w:val="009E0B97"/>
    <w:rsid w:val="009E0FF1"/>
    <w:rsid w:val="009E118B"/>
    <w:rsid w:val="009E1498"/>
    <w:rsid w:val="009E195D"/>
    <w:rsid w:val="009E1EE1"/>
    <w:rsid w:val="009E1FC5"/>
    <w:rsid w:val="009E2551"/>
    <w:rsid w:val="009E2E89"/>
    <w:rsid w:val="009E3638"/>
    <w:rsid w:val="009E390D"/>
    <w:rsid w:val="009E3A38"/>
    <w:rsid w:val="009E3DA8"/>
    <w:rsid w:val="009E4106"/>
    <w:rsid w:val="009E48BA"/>
    <w:rsid w:val="009E4906"/>
    <w:rsid w:val="009E4B53"/>
    <w:rsid w:val="009E4CA9"/>
    <w:rsid w:val="009E5486"/>
    <w:rsid w:val="009E5F7C"/>
    <w:rsid w:val="009E609E"/>
    <w:rsid w:val="009E6651"/>
    <w:rsid w:val="009E679B"/>
    <w:rsid w:val="009E6E7A"/>
    <w:rsid w:val="009E7017"/>
    <w:rsid w:val="009E7157"/>
    <w:rsid w:val="009E7C0E"/>
    <w:rsid w:val="009E7CB5"/>
    <w:rsid w:val="009E7E99"/>
    <w:rsid w:val="009F0804"/>
    <w:rsid w:val="009F081C"/>
    <w:rsid w:val="009F0963"/>
    <w:rsid w:val="009F0B39"/>
    <w:rsid w:val="009F1596"/>
    <w:rsid w:val="009F182A"/>
    <w:rsid w:val="009F18FB"/>
    <w:rsid w:val="009F1C9B"/>
    <w:rsid w:val="009F1D95"/>
    <w:rsid w:val="009F1E76"/>
    <w:rsid w:val="009F248C"/>
    <w:rsid w:val="009F2683"/>
    <w:rsid w:val="009F2698"/>
    <w:rsid w:val="009F2E5A"/>
    <w:rsid w:val="009F3096"/>
    <w:rsid w:val="009F31A6"/>
    <w:rsid w:val="009F37E2"/>
    <w:rsid w:val="009F3BAF"/>
    <w:rsid w:val="009F3C13"/>
    <w:rsid w:val="009F3DCA"/>
    <w:rsid w:val="009F41BC"/>
    <w:rsid w:val="009F42BC"/>
    <w:rsid w:val="009F455B"/>
    <w:rsid w:val="009F4AB0"/>
    <w:rsid w:val="009F4BC0"/>
    <w:rsid w:val="009F4BC9"/>
    <w:rsid w:val="009F4F0C"/>
    <w:rsid w:val="009F5094"/>
    <w:rsid w:val="009F5F85"/>
    <w:rsid w:val="009F6B75"/>
    <w:rsid w:val="009F6F75"/>
    <w:rsid w:val="009F72F3"/>
    <w:rsid w:val="009F73B8"/>
    <w:rsid w:val="009F756B"/>
    <w:rsid w:val="009F76AD"/>
    <w:rsid w:val="009F79A2"/>
    <w:rsid w:val="009F7D6E"/>
    <w:rsid w:val="009F7DF3"/>
    <w:rsid w:val="00A0003A"/>
    <w:rsid w:val="00A003A6"/>
    <w:rsid w:val="00A003E3"/>
    <w:rsid w:val="00A00EF1"/>
    <w:rsid w:val="00A010E0"/>
    <w:rsid w:val="00A0183B"/>
    <w:rsid w:val="00A018B7"/>
    <w:rsid w:val="00A01E5E"/>
    <w:rsid w:val="00A022EB"/>
    <w:rsid w:val="00A02434"/>
    <w:rsid w:val="00A028B8"/>
    <w:rsid w:val="00A029D5"/>
    <w:rsid w:val="00A02B93"/>
    <w:rsid w:val="00A03359"/>
    <w:rsid w:val="00A04078"/>
    <w:rsid w:val="00A044A5"/>
    <w:rsid w:val="00A04A53"/>
    <w:rsid w:val="00A04BA6"/>
    <w:rsid w:val="00A04D8B"/>
    <w:rsid w:val="00A04D93"/>
    <w:rsid w:val="00A0592D"/>
    <w:rsid w:val="00A05B27"/>
    <w:rsid w:val="00A05FF6"/>
    <w:rsid w:val="00A0605C"/>
    <w:rsid w:val="00A0671E"/>
    <w:rsid w:val="00A0693A"/>
    <w:rsid w:val="00A06C85"/>
    <w:rsid w:val="00A06F84"/>
    <w:rsid w:val="00A06FC4"/>
    <w:rsid w:val="00A07457"/>
    <w:rsid w:val="00A074E3"/>
    <w:rsid w:val="00A077CC"/>
    <w:rsid w:val="00A07AB0"/>
    <w:rsid w:val="00A10506"/>
    <w:rsid w:val="00A1068B"/>
    <w:rsid w:val="00A10AAB"/>
    <w:rsid w:val="00A10C51"/>
    <w:rsid w:val="00A11A45"/>
    <w:rsid w:val="00A11B89"/>
    <w:rsid w:val="00A11CEF"/>
    <w:rsid w:val="00A12528"/>
    <w:rsid w:val="00A1276A"/>
    <w:rsid w:val="00A128AE"/>
    <w:rsid w:val="00A13A1A"/>
    <w:rsid w:val="00A13A99"/>
    <w:rsid w:val="00A13F16"/>
    <w:rsid w:val="00A146C4"/>
    <w:rsid w:val="00A14AFB"/>
    <w:rsid w:val="00A14B96"/>
    <w:rsid w:val="00A14DD0"/>
    <w:rsid w:val="00A1544C"/>
    <w:rsid w:val="00A155FA"/>
    <w:rsid w:val="00A15699"/>
    <w:rsid w:val="00A15B02"/>
    <w:rsid w:val="00A16075"/>
    <w:rsid w:val="00A160C6"/>
    <w:rsid w:val="00A165CC"/>
    <w:rsid w:val="00A16799"/>
    <w:rsid w:val="00A16A27"/>
    <w:rsid w:val="00A1751F"/>
    <w:rsid w:val="00A175AD"/>
    <w:rsid w:val="00A1787F"/>
    <w:rsid w:val="00A20292"/>
    <w:rsid w:val="00A205C7"/>
    <w:rsid w:val="00A20CF0"/>
    <w:rsid w:val="00A20E33"/>
    <w:rsid w:val="00A21022"/>
    <w:rsid w:val="00A2127B"/>
    <w:rsid w:val="00A213CF"/>
    <w:rsid w:val="00A21577"/>
    <w:rsid w:val="00A21596"/>
    <w:rsid w:val="00A215B6"/>
    <w:rsid w:val="00A216A6"/>
    <w:rsid w:val="00A2176A"/>
    <w:rsid w:val="00A217B1"/>
    <w:rsid w:val="00A21CA9"/>
    <w:rsid w:val="00A21CE5"/>
    <w:rsid w:val="00A22352"/>
    <w:rsid w:val="00A22396"/>
    <w:rsid w:val="00A22DCB"/>
    <w:rsid w:val="00A2306E"/>
    <w:rsid w:val="00A232B4"/>
    <w:rsid w:val="00A24074"/>
    <w:rsid w:val="00A2436D"/>
    <w:rsid w:val="00A245A3"/>
    <w:rsid w:val="00A2498C"/>
    <w:rsid w:val="00A24D94"/>
    <w:rsid w:val="00A2516B"/>
    <w:rsid w:val="00A25ADE"/>
    <w:rsid w:val="00A25B88"/>
    <w:rsid w:val="00A2609B"/>
    <w:rsid w:val="00A260CD"/>
    <w:rsid w:val="00A26863"/>
    <w:rsid w:val="00A26A33"/>
    <w:rsid w:val="00A275CD"/>
    <w:rsid w:val="00A27FE2"/>
    <w:rsid w:val="00A27FEC"/>
    <w:rsid w:val="00A30258"/>
    <w:rsid w:val="00A30A17"/>
    <w:rsid w:val="00A30E25"/>
    <w:rsid w:val="00A3186B"/>
    <w:rsid w:val="00A3192C"/>
    <w:rsid w:val="00A32110"/>
    <w:rsid w:val="00A32539"/>
    <w:rsid w:val="00A327A9"/>
    <w:rsid w:val="00A328AE"/>
    <w:rsid w:val="00A32D36"/>
    <w:rsid w:val="00A3341D"/>
    <w:rsid w:val="00A33509"/>
    <w:rsid w:val="00A34907"/>
    <w:rsid w:val="00A351AE"/>
    <w:rsid w:val="00A35568"/>
    <w:rsid w:val="00A35707"/>
    <w:rsid w:val="00A357E0"/>
    <w:rsid w:val="00A35A32"/>
    <w:rsid w:val="00A35DD2"/>
    <w:rsid w:val="00A35F13"/>
    <w:rsid w:val="00A37098"/>
    <w:rsid w:val="00A37443"/>
    <w:rsid w:val="00A376FC"/>
    <w:rsid w:val="00A37729"/>
    <w:rsid w:val="00A37A30"/>
    <w:rsid w:val="00A37B7B"/>
    <w:rsid w:val="00A400EA"/>
    <w:rsid w:val="00A41174"/>
    <w:rsid w:val="00A4159C"/>
    <w:rsid w:val="00A41783"/>
    <w:rsid w:val="00A41FA8"/>
    <w:rsid w:val="00A42514"/>
    <w:rsid w:val="00A42580"/>
    <w:rsid w:val="00A42721"/>
    <w:rsid w:val="00A429A8"/>
    <w:rsid w:val="00A43D13"/>
    <w:rsid w:val="00A44011"/>
    <w:rsid w:val="00A44145"/>
    <w:rsid w:val="00A4419E"/>
    <w:rsid w:val="00A4450D"/>
    <w:rsid w:val="00A44529"/>
    <w:rsid w:val="00A44F39"/>
    <w:rsid w:val="00A453C2"/>
    <w:rsid w:val="00A4584D"/>
    <w:rsid w:val="00A45DBF"/>
    <w:rsid w:val="00A45FA9"/>
    <w:rsid w:val="00A460DE"/>
    <w:rsid w:val="00A46156"/>
    <w:rsid w:val="00A4689E"/>
    <w:rsid w:val="00A46AB5"/>
    <w:rsid w:val="00A46E79"/>
    <w:rsid w:val="00A46E95"/>
    <w:rsid w:val="00A46F4E"/>
    <w:rsid w:val="00A475F3"/>
    <w:rsid w:val="00A47620"/>
    <w:rsid w:val="00A477AC"/>
    <w:rsid w:val="00A47A57"/>
    <w:rsid w:val="00A47C59"/>
    <w:rsid w:val="00A50066"/>
    <w:rsid w:val="00A5029B"/>
    <w:rsid w:val="00A502EA"/>
    <w:rsid w:val="00A504A1"/>
    <w:rsid w:val="00A50B97"/>
    <w:rsid w:val="00A50DCC"/>
    <w:rsid w:val="00A5163F"/>
    <w:rsid w:val="00A518F7"/>
    <w:rsid w:val="00A51C1C"/>
    <w:rsid w:val="00A51E06"/>
    <w:rsid w:val="00A51E77"/>
    <w:rsid w:val="00A52613"/>
    <w:rsid w:val="00A53107"/>
    <w:rsid w:val="00A53624"/>
    <w:rsid w:val="00A53985"/>
    <w:rsid w:val="00A53EED"/>
    <w:rsid w:val="00A543F1"/>
    <w:rsid w:val="00A5478E"/>
    <w:rsid w:val="00A54B99"/>
    <w:rsid w:val="00A54BA9"/>
    <w:rsid w:val="00A5529E"/>
    <w:rsid w:val="00A55B41"/>
    <w:rsid w:val="00A56090"/>
    <w:rsid w:val="00A56DD2"/>
    <w:rsid w:val="00A57419"/>
    <w:rsid w:val="00A57B35"/>
    <w:rsid w:val="00A57BA1"/>
    <w:rsid w:val="00A57C08"/>
    <w:rsid w:val="00A601DB"/>
    <w:rsid w:val="00A6085B"/>
    <w:rsid w:val="00A612F8"/>
    <w:rsid w:val="00A61903"/>
    <w:rsid w:val="00A61C79"/>
    <w:rsid w:val="00A624F3"/>
    <w:rsid w:val="00A62610"/>
    <w:rsid w:val="00A62800"/>
    <w:rsid w:val="00A62AE5"/>
    <w:rsid w:val="00A62DF0"/>
    <w:rsid w:val="00A62F60"/>
    <w:rsid w:val="00A63452"/>
    <w:rsid w:val="00A6358A"/>
    <w:rsid w:val="00A63714"/>
    <w:rsid w:val="00A63879"/>
    <w:rsid w:val="00A6391D"/>
    <w:rsid w:val="00A63B18"/>
    <w:rsid w:val="00A63C8A"/>
    <w:rsid w:val="00A643D5"/>
    <w:rsid w:val="00A64991"/>
    <w:rsid w:val="00A64A1A"/>
    <w:rsid w:val="00A67237"/>
    <w:rsid w:val="00A67347"/>
    <w:rsid w:val="00A674CE"/>
    <w:rsid w:val="00A67815"/>
    <w:rsid w:val="00A70780"/>
    <w:rsid w:val="00A708AD"/>
    <w:rsid w:val="00A709F6"/>
    <w:rsid w:val="00A71317"/>
    <w:rsid w:val="00A718B5"/>
    <w:rsid w:val="00A71909"/>
    <w:rsid w:val="00A71CBD"/>
    <w:rsid w:val="00A723AE"/>
    <w:rsid w:val="00A7285D"/>
    <w:rsid w:val="00A72DE6"/>
    <w:rsid w:val="00A72F3D"/>
    <w:rsid w:val="00A72F51"/>
    <w:rsid w:val="00A73357"/>
    <w:rsid w:val="00A73983"/>
    <w:rsid w:val="00A73B65"/>
    <w:rsid w:val="00A73F53"/>
    <w:rsid w:val="00A73FCE"/>
    <w:rsid w:val="00A74090"/>
    <w:rsid w:val="00A74690"/>
    <w:rsid w:val="00A747FB"/>
    <w:rsid w:val="00A74A1F"/>
    <w:rsid w:val="00A74D15"/>
    <w:rsid w:val="00A753FF"/>
    <w:rsid w:val="00A75F9A"/>
    <w:rsid w:val="00A761C1"/>
    <w:rsid w:val="00A764DC"/>
    <w:rsid w:val="00A765FF"/>
    <w:rsid w:val="00A767F6"/>
    <w:rsid w:val="00A76C87"/>
    <w:rsid w:val="00A76CD2"/>
    <w:rsid w:val="00A77C79"/>
    <w:rsid w:val="00A77F3B"/>
    <w:rsid w:val="00A80250"/>
    <w:rsid w:val="00A802AF"/>
    <w:rsid w:val="00A80A73"/>
    <w:rsid w:val="00A810CF"/>
    <w:rsid w:val="00A8122B"/>
    <w:rsid w:val="00A819D1"/>
    <w:rsid w:val="00A81E53"/>
    <w:rsid w:val="00A82120"/>
    <w:rsid w:val="00A828C8"/>
    <w:rsid w:val="00A82CA7"/>
    <w:rsid w:val="00A82D6F"/>
    <w:rsid w:val="00A82E43"/>
    <w:rsid w:val="00A83299"/>
    <w:rsid w:val="00A8352E"/>
    <w:rsid w:val="00A83EF7"/>
    <w:rsid w:val="00A83FC4"/>
    <w:rsid w:val="00A84185"/>
    <w:rsid w:val="00A84EF4"/>
    <w:rsid w:val="00A84F6D"/>
    <w:rsid w:val="00A855A9"/>
    <w:rsid w:val="00A85CFD"/>
    <w:rsid w:val="00A86004"/>
    <w:rsid w:val="00A860C8"/>
    <w:rsid w:val="00A86767"/>
    <w:rsid w:val="00A86A04"/>
    <w:rsid w:val="00A86C91"/>
    <w:rsid w:val="00A871B8"/>
    <w:rsid w:val="00A873A5"/>
    <w:rsid w:val="00A87503"/>
    <w:rsid w:val="00A8797F"/>
    <w:rsid w:val="00A87B15"/>
    <w:rsid w:val="00A901F9"/>
    <w:rsid w:val="00A9024E"/>
    <w:rsid w:val="00A90485"/>
    <w:rsid w:val="00A90889"/>
    <w:rsid w:val="00A91386"/>
    <w:rsid w:val="00A91536"/>
    <w:rsid w:val="00A91605"/>
    <w:rsid w:val="00A91B2E"/>
    <w:rsid w:val="00A9236E"/>
    <w:rsid w:val="00A92564"/>
    <w:rsid w:val="00A92F4B"/>
    <w:rsid w:val="00A932E1"/>
    <w:rsid w:val="00A93765"/>
    <w:rsid w:val="00A93866"/>
    <w:rsid w:val="00A945BE"/>
    <w:rsid w:val="00A94AEA"/>
    <w:rsid w:val="00A956E7"/>
    <w:rsid w:val="00A9581D"/>
    <w:rsid w:val="00A95DC4"/>
    <w:rsid w:val="00A95FCC"/>
    <w:rsid w:val="00A961A6"/>
    <w:rsid w:val="00A96334"/>
    <w:rsid w:val="00A965ED"/>
    <w:rsid w:val="00A96DAF"/>
    <w:rsid w:val="00A97600"/>
    <w:rsid w:val="00A9779B"/>
    <w:rsid w:val="00A97DED"/>
    <w:rsid w:val="00AA0129"/>
    <w:rsid w:val="00AA07A1"/>
    <w:rsid w:val="00AA09A5"/>
    <w:rsid w:val="00AA0BD8"/>
    <w:rsid w:val="00AA14A9"/>
    <w:rsid w:val="00AA195A"/>
    <w:rsid w:val="00AA20E8"/>
    <w:rsid w:val="00AA2D6C"/>
    <w:rsid w:val="00AA2ECA"/>
    <w:rsid w:val="00AA3CDE"/>
    <w:rsid w:val="00AA408E"/>
    <w:rsid w:val="00AA46C5"/>
    <w:rsid w:val="00AA4C88"/>
    <w:rsid w:val="00AA4EFA"/>
    <w:rsid w:val="00AA4FDD"/>
    <w:rsid w:val="00AA5365"/>
    <w:rsid w:val="00AA6100"/>
    <w:rsid w:val="00AA6471"/>
    <w:rsid w:val="00AA65C3"/>
    <w:rsid w:val="00AA66B5"/>
    <w:rsid w:val="00AA6C22"/>
    <w:rsid w:val="00AA6D12"/>
    <w:rsid w:val="00AA7F5B"/>
    <w:rsid w:val="00AB0030"/>
    <w:rsid w:val="00AB0159"/>
    <w:rsid w:val="00AB041E"/>
    <w:rsid w:val="00AB04B8"/>
    <w:rsid w:val="00AB0BF7"/>
    <w:rsid w:val="00AB1163"/>
    <w:rsid w:val="00AB136F"/>
    <w:rsid w:val="00AB167B"/>
    <w:rsid w:val="00AB18AB"/>
    <w:rsid w:val="00AB1B50"/>
    <w:rsid w:val="00AB23A9"/>
    <w:rsid w:val="00AB25E7"/>
    <w:rsid w:val="00AB3016"/>
    <w:rsid w:val="00AB3F12"/>
    <w:rsid w:val="00AB41DA"/>
    <w:rsid w:val="00AB4415"/>
    <w:rsid w:val="00AB44A4"/>
    <w:rsid w:val="00AB450D"/>
    <w:rsid w:val="00AB4541"/>
    <w:rsid w:val="00AB4599"/>
    <w:rsid w:val="00AB4616"/>
    <w:rsid w:val="00AB47C3"/>
    <w:rsid w:val="00AB57A0"/>
    <w:rsid w:val="00AB6050"/>
    <w:rsid w:val="00AB6090"/>
    <w:rsid w:val="00AB629F"/>
    <w:rsid w:val="00AB6400"/>
    <w:rsid w:val="00AB6581"/>
    <w:rsid w:val="00AB6C6E"/>
    <w:rsid w:val="00AB6D12"/>
    <w:rsid w:val="00AB6DC2"/>
    <w:rsid w:val="00AB6DE6"/>
    <w:rsid w:val="00AB7413"/>
    <w:rsid w:val="00AB7A2E"/>
    <w:rsid w:val="00AB7D55"/>
    <w:rsid w:val="00AC0328"/>
    <w:rsid w:val="00AC03B6"/>
    <w:rsid w:val="00AC0586"/>
    <w:rsid w:val="00AC0675"/>
    <w:rsid w:val="00AC0F28"/>
    <w:rsid w:val="00AC144C"/>
    <w:rsid w:val="00AC1841"/>
    <w:rsid w:val="00AC198C"/>
    <w:rsid w:val="00AC1A02"/>
    <w:rsid w:val="00AC1B1F"/>
    <w:rsid w:val="00AC210A"/>
    <w:rsid w:val="00AC22DB"/>
    <w:rsid w:val="00AC2AA0"/>
    <w:rsid w:val="00AC2E36"/>
    <w:rsid w:val="00AC32B0"/>
    <w:rsid w:val="00AC367F"/>
    <w:rsid w:val="00AC37DB"/>
    <w:rsid w:val="00AC39DB"/>
    <w:rsid w:val="00AC3E78"/>
    <w:rsid w:val="00AC3E9E"/>
    <w:rsid w:val="00AC3EBD"/>
    <w:rsid w:val="00AC4DCF"/>
    <w:rsid w:val="00AC55D3"/>
    <w:rsid w:val="00AC57AB"/>
    <w:rsid w:val="00AC5A39"/>
    <w:rsid w:val="00AC6465"/>
    <w:rsid w:val="00AC6906"/>
    <w:rsid w:val="00AC69A9"/>
    <w:rsid w:val="00AC6C7A"/>
    <w:rsid w:val="00AC75FA"/>
    <w:rsid w:val="00AC7A70"/>
    <w:rsid w:val="00AC7CE4"/>
    <w:rsid w:val="00AD0309"/>
    <w:rsid w:val="00AD0643"/>
    <w:rsid w:val="00AD0703"/>
    <w:rsid w:val="00AD07D3"/>
    <w:rsid w:val="00AD0CBB"/>
    <w:rsid w:val="00AD1166"/>
    <w:rsid w:val="00AD1694"/>
    <w:rsid w:val="00AD183F"/>
    <w:rsid w:val="00AD1C08"/>
    <w:rsid w:val="00AD1CA3"/>
    <w:rsid w:val="00AD1F8F"/>
    <w:rsid w:val="00AD2029"/>
    <w:rsid w:val="00AD2620"/>
    <w:rsid w:val="00AD2711"/>
    <w:rsid w:val="00AD27FF"/>
    <w:rsid w:val="00AD28F3"/>
    <w:rsid w:val="00AD36A2"/>
    <w:rsid w:val="00AD3748"/>
    <w:rsid w:val="00AD3813"/>
    <w:rsid w:val="00AD390C"/>
    <w:rsid w:val="00AD3A40"/>
    <w:rsid w:val="00AD3C9F"/>
    <w:rsid w:val="00AD4079"/>
    <w:rsid w:val="00AD4401"/>
    <w:rsid w:val="00AD4558"/>
    <w:rsid w:val="00AD4639"/>
    <w:rsid w:val="00AD4D3A"/>
    <w:rsid w:val="00AD4F3D"/>
    <w:rsid w:val="00AD4FDB"/>
    <w:rsid w:val="00AD546A"/>
    <w:rsid w:val="00AD5EC0"/>
    <w:rsid w:val="00AD68ED"/>
    <w:rsid w:val="00AD79DA"/>
    <w:rsid w:val="00AD7DBB"/>
    <w:rsid w:val="00AE087D"/>
    <w:rsid w:val="00AE0968"/>
    <w:rsid w:val="00AE0CA6"/>
    <w:rsid w:val="00AE1021"/>
    <w:rsid w:val="00AE10FF"/>
    <w:rsid w:val="00AE1797"/>
    <w:rsid w:val="00AE1866"/>
    <w:rsid w:val="00AE19A5"/>
    <w:rsid w:val="00AE1C9E"/>
    <w:rsid w:val="00AE1ED1"/>
    <w:rsid w:val="00AE2505"/>
    <w:rsid w:val="00AE25F1"/>
    <w:rsid w:val="00AE2931"/>
    <w:rsid w:val="00AE29EB"/>
    <w:rsid w:val="00AE30B8"/>
    <w:rsid w:val="00AE3204"/>
    <w:rsid w:val="00AE3901"/>
    <w:rsid w:val="00AE398D"/>
    <w:rsid w:val="00AE41D8"/>
    <w:rsid w:val="00AE4231"/>
    <w:rsid w:val="00AE425E"/>
    <w:rsid w:val="00AE4567"/>
    <w:rsid w:val="00AE4D9D"/>
    <w:rsid w:val="00AE4E25"/>
    <w:rsid w:val="00AE4FAE"/>
    <w:rsid w:val="00AE505B"/>
    <w:rsid w:val="00AE549B"/>
    <w:rsid w:val="00AE5BFF"/>
    <w:rsid w:val="00AE5F38"/>
    <w:rsid w:val="00AE5FAE"/>
    <w:rsid w:val="00AE5FCC"/>
    <w:rsid w:val="00AE607A"/>
    <w:rsid w:val="00AE67A9"/>
    <w:rsid w:val="00AE6AC4"/>
    <w:rsid w:val="00AE6C0C"/>
    <w:rsid w:val="00AE7075"/>
    <w:rsid w:val="00AE79A9"/>
    <w:rsid w:val="00AE7B9B"/>
    <w:rsid w:val="00AF00C7"/>
    <w:rsid w:val="00AF0857"/>
    <w:rsid w:val="00AF0F25"/>
    <w:rsid w:val="00AF114D"/>
    <w:rsid w:val="00AF1499"/>
    <w:rsid w:val="00AF1517"/>
    <w:rsid w:val="00AF1EB8"/>
    <w:rsid w:val="00AF239B"/>
    <w:rsid w:val="00AF24A1"/>
    <w:rsid w:val="00AF24DA"/>
    <w:rsid w:val="00AF257A"/>
    <w:rsid w:val="00AF2AAF"/>
    <w:rsid w:val="00AF2BD8"/>
    <w:rsid w:val="00AF2DD8"/>
    <w:rsid w:val="00AF2E60"/>
    <w:rsid w:val="00AF2EDE"/>
    <w:rsid w:val="00AF317A"/>
    <w:rsid w:val="00AF32F1"/>
    <w:rsid w:val="00AF33E4"/>
    <w:rsid w:val="00AF3798"/>
    <w:rsid w:val="00AF3DCC"/>
    <w:rsid w:val="00AF4DCD"/>
    <w:rsid w:val="00AF4E10"/>
    <w:rsid w:val="00AF4E6A"/>
    <w:rsid w:val="00AF4ECA"/>
    <w:rsid w:val="00AF57B4"/>
    <w:rsid w:val="00AF588A"/>
    <w:rsid w:val="00AF5CCD"/>
    <w:rsid w:val="00AF63E6"/>
    <w:rsid w:val="00AF6422"/>
    <w:rsid w:val="00AF6940"/>
    <w:rsid w:val="00AF6DDE"/>
    <w:rsid w:val="00AF728C"/>
    <w:rsid w:val="00AF7391"/>
    <w:rsid w:val="00AF7A44"/>
    <w:rsid w:val="00AF7B53"/>
    <w:rsid w:val="00B0007B"/>
    <w:rsid w:val="00B00481"/>
    <w:rsid w:val="00B006B0"/>
    <w:rsid w:val="00B00876"/>
    <w:rsid w:val="00B00FE7"/>
    <w:rsid w:val="00B0123D"/>
    <w:rsid w:val="00B016B1"/>
    <w:rsid w:val="00B01A0E"/>
    <w:rsid w:val="00B01B15"/>
    <w:rsid w:val="00B01EA5"/>
    <w:rsid w:val="00B01ED0"/>
    <w:rsid w:val="00B0236F"/>
    <w:rsid w:val="00B02556"/>
    <w:rsid w:val="00B02ABF"/>
    <w:rsid w:val="00B03511"/>
    <w:rsid w:val="00B03834"/>
    <w:rsid w:val="00B03952"/>
    <w:rsid w:val="00B03BD9"/>
    <w:rsid w:val="00B0439E"/>
    <w:rsid w:val="00B0466E"/>
    <w:rsid w:val="00B0493B"/>
    <w:rsid w:val="00B0501F"/>
    <w:rsid w:val="00B0502B"/>
    <w:rsid w:val="00B05436"/>
    <w:rsid w:val="00B054BD"/>
    <w:rsid w:val="00B0556A"/>
    <w:rsid w:val="00B057B9"/>
    <w:rsid w:val="00B059C7"/>
    <w:rsid w:val="00B0641A"/>
    <w:rsid w:val="00B065CA"/>
    <w:rsid w:val="00B066D4"/>
    <w:rsid w:val="00B06D0C"/>
    <w:rsid w:val="00B07121"/>
    <w:rsid w:val="00B07571"/>
    <w:rsid w:val="00B076A4"/>
    <w:rsid w:val="00B077C9"/>
    <w:rsid w:val="00B07989"/>
    <w:rsid w:val="00B07A8B"/>
    <w:rsid w:val="00B07AFB"/>
    <w:rsid w:val="00B10124"/>
    <w:rsid w:val="00B11926"/>
    <w:rsid w:val="00B11CA2"/>
    <w:rsid w:val="00B12361"/>
    <w:rsid w:val="00B12555"/>
    <w:rsid w:val="00B127AB"/>
    <w:rsid w:val="00B12A8B"/>
    <w:rsid w:val="00B13051"/>
    <w:rsid w:val="00B1333E"/>
    <w:rsid w:val="00B13353"/>
    <w:rsid w:val="00B138C1"/>
    <w:rsid w:val="00B138F7"/>
    <w:rsid w:val="00B13965"/>
    <w:rsid w:val="00B13A9A"/>
    <w:rsid w:val="00B13B37"/>
    <w:rsid w:val="00B13CAB"/>
    <w:rsid w:val="00B141B1"/>
    <w:rsid w:val="00B1492C"/>
    <w:rsid w:val="00B14A09"/>
    <w:rsid w:val="00B15414"/>
    <w:rsid w:val="00B1548A"/>
    <w:rsid w:val="00B163E0"/>
    <w:rsid w:val="00B16572"/>
    <w:rsid w:val="00B16A92"/>
    <w:rsid w:val="00B178EE"/>
    <w:rsid w:val="00B17901"/>
    <w:rsid w:val="00B17C1D"/>
    <w:rsid w:val="00B2063E"/>
    <w:rsid w:val="00B20B81"/>
    <w:rsid w:val="00B20D2B"/>
    <w:rsid w:val="00B20DF4"/>
    <w:rsid w:val="00B20DFC"/>
    <w:rsid w:val="00B2101F"/>
    <w:rsid w:val="00B21642"/>
    <w:rsid w:val="00B21A8C"/>
    <w:rsid w:val="00B21AF1"/>
    <w:rsid w:val="00B21E61"/>
    <w:rsid w:val="00B22203"/>
    <w:rsid w:val="00B22474"/>
    <w:rsid w:val="00B22689"/>
    <w:rsid w:val="00B226DD"/>
    <w:rsid w:val="00B2297A"/>
    <w:rsid w:val="00B22A89"/>
    <w:rsid w:val="00B22ED2"/>
    <w:rsid w:val="00B2302C"/>
    <w:rsid w:val="00B230C3"/>
    <w:rsid w:val="00B23354"/>
    <w:rsid w:val="00B23E2F"/>
    <w:rsid w:val="00B23E49"/>
    <w:rsid w:val="00B2420E"/>
    <w:rsid w:val="00B24346"/>
    <w:rsid w:val="00B247C5"/>
    <w:rsid w:val="00B24855"/>
    <w:rsid w:val="00B24A49"/>
    <w:rsid w:val="00B250CA"/>
    <w:rsid w:val="00B254A4"/>
    <w:rsid w:val="00B255F5"/>
    <w:rsid w:val="00B25CA8"/>
    <w:rsid w:val="00B25F0F"/>
    <w:rsid w:val="00B2605C"/>
    <w:rsid w:val="00B266EB"/>
    <w:rsid w:val="00B26754"/>
    <w:rsid w:val="00B26F4A"/>
    <w:rsid w:val="00B2740D"/>
    <w:rsid w:val="00B27837"/>
    <w:rsid w:val="00B27A76"/>
    <w:rsid w:val="00B27AAA"/>
    <w:rsid w:val="00B27AAD"/>
    <w:rsid w:val="00B27BDB"/>
    <w:rsid w:val="00B307FB"/>
    <w:rsid w:val="00B30E38"/>
    <w:rsid w:val="00B30FC6"/>
    <w:rsid w:val="00B313E3"/>
    <w:rsid w:val="00B31E41"/>
    <w:rsid w:val="00B31EC6"/>
    <w:rsid w:val="00B32754"/>
    <w:rsid w:val="00B32E34"/>
    <w:rsid w:val="00B32E82"/>
    <w:rsid w:val="00B32F38"/>
    <w:rsid w:val="00B3300C"/>
    <w:rsid w:val="00B33033"/>
    <w:rsid w:val="00B334BE"/>
    <w:rsid w:val="00B336E2"/>
    <w:rsid w:val="00B33740"/>
    <w:rsid w:val="00B3387F"/>
    <w:rsid w:val="00B338B0"/>
    <w:rsid w:val="00B33A8A"/>
    <w:rsid w:val="00B34254"/>
    <w:rsid w:val="00B343DA"/>
    <w:rsid w:val="00B34503"/>
    <w:rsid w:val="00B34535"/>
    <w:rsid w:val="00B34BF1"/>
    <w:rsid w:val="00B35006"/>
    <w:rsid w:val="00B354AA"/>
    <w:rsid w:val="00B357C3"/>
    <w:rsid w:val="00B3594B"/>
    <w:rsid w:val="00B359F0"/>
    <w:rsid w:val="00B35A2A"/>
    <w:rsid w:val="00B36DAE"/>
    <w:rsid w:val="00B37513"/>
    <w:rsid w:val="00B3757E"/>
    <w:rsid w:val="00B375D7"/>
    <w:rsid w:val="00B404E3"/>
    <w:rsid w:val="00B40518"/>
    <w:rsid w:val="00B405D3"/>
    <w:rsid w:val="00B406B8"/>
    <w:rsid w:val="00B40EF8"/>
    <w:rsid w:val="00B40FC9"/>
    <w:rsid w:val="00B414A9"/>
    <w:rsid w:val="00B4155A"/>
    <w:rsid w:val="00B41850"/>
    <w:rsid w:val="00B41B9F"/>
    <w:rsid w:val="00B41C50"/>
    <w:rsid w:val="00B42597"/>
    <w:rsid w:val="00B42A9F"/>
    <w:rsid w:val="00B42CCF"/>
    <w:rsid w:val="00B43C3F"/>
    <w:rsid w:val="00B440ED"/>
    <w:rsid w:val="00B442EF"/>
    <w:rsid w:val="00B44888"/>
    <w:rsid w:val="00B448FB"/>
    <w:rsid w:val="00B449C0"/>
    <w:rsid w:val="00B44A5F"/>
    <w:rsid w:val="00B44C51"/>
    <w:rsid w:val="00B44EA6"/>
    <w:rsid w:val="00B45092"/>
    <w:rsid w:val="00B459FC"/>
    <w:rsid w:val="00B46283"/>
    <w:rsid w:val="00B46545"/>
    <w:rsid w:val="00B4660A"/>
    <w:rsid w:val="00B46643"/>
    <w:rsid w:val="00B46A5F"/>
    <w:rsid w:val="00B46BE5"/>
    <w:rsid w:val="00B46BED"/>
    <w:rsid w:val="00B46D64"/>
    <w:rsid w:val="00B46E39"/>
    <w:rsid w:val="00B471CD"/>
    <w:rsid w:val="00B4742B"/>
    <w:rsid w:val="00B47656"/>
    <w:rsid w:val="00B50277"/>
    <w:rsid w:val="00B508AC"/>
    <w:rsid w:val="00B508B1"/>
    <w:rsid w:val="00B509BF"/>
    <w:rsid w:val="00B50EB8"/>
    <w:rsid w:val="00B5127E"/>
    <w:rsid w:val="00B51379"/>
    <w:rsid w:val="00B513C4"/>
    <w:rsid w:val="00B513F3"/>
    <w:rsid w:val="00B51B05"/>
    <w:rsid w:val="00B51B65"/>
    <w:rsid w:val="00B52278"/>
    <w:rsid w:val="00B5257A"/>
    <w:rsid w:val="00B525A2"/>
    <w:rsid w:val="00B52AFD"/>
    <w:rsid w:val="00B52BDF"/>
    <w:rsid w:val="00B52E24"/>
    <w:rsid w:val="00B531D3"/>
    <w:rsid w:val="00B534D8"/>
    <w:rsid w:val="00B53CA4"/>
    <w:rsid w:val="00B53E6E"/>
    <w:rsid w:val="00B54CD4"/>
    <w:rsid w:val="00B55261"/>
    <w:rsid w:val="00B55686"/>
    <w:rsid w:val="00B558BA"/>
    <w:rsid w:val="00B559D9"/>
    <w:rsid w:val="00B55BC5"/>
    <w:rsid w:val="00B55C43"/>
    <w:rsid w:val="00B55C49"/>
    <w:rsid w:val="00B55E10"/>
    <w:rsid w:val="00B5602D"/>
    <w:rsid w:val="00B561F0"/>
    <w:rsid w:val="00B562E5"/>
    <w:rsid w:val="00B566D7"/>
    <w:rsid w:val="00B57591"/>
    <w:rsid w:val="00B579F9"/>
    <w:rsid w:val="00B57A33"/>
    <w:rsid w:val="00B57BFF"/>
    <w:rsid w:val="00B600F3"/>
    <w:rsid w:val="00B60543"/>
    <w:rsid w:val="00B607DA"/>
    <w:rsid w:val="00B607E0"/>
    <w:rsid w:val="00B60B54"/>
    <w:rsid w:val="00B60D9F"/>
    <w:rsid w:val="00B60E78"/>
    <w:rsid w:val="00B613EF"/>
    <w:rsid w:val="00B622F9"/>
    <w:rsid w:val="00B62351"/>
    <w:rsid w:val="00B62925"/>
    <w:rsid w:val="00B63D9B"/>
    <w:rsid w:val="00B63DA8"/>
    <w:rsid w:val="00B63DF2"/>
    <w:rsid w:val="00B6425F"/>
    <w:rsid w:val="00B647D3"/>
    <w:rsid w:val="00B64A9F"/>
    <w:rsid w:val="00B64AF5"/>
    <w:rsid w:val="00B65C42"/>
    <w:rsid w:val="00B65CE2"/>
    <w:rsid w:val="00B65E91"/>
    <w:rsid w:val="00B66031"/>
    <w:rsid w:val="00B662F4"/>
    <w:rsid w:val="00B666B8"/>
    <w:rsid w:val="00B66F2A"/>
    <w:rsid w:val="00B6789E"/>
    <w:rsid w:val="00B678E2"/>
    <w:rsid w:val="00B67C61"/>
    <w:rsid w:val="00B67D28"/>
    <w:rsid w:val="00B70432"/>
    <w:rsid w:val="00B70B54"/>
    <w:rsid w:val="00B70F38"/>
    <w:rsid w:val="00B7109A"/>
    <w:rsid w:val="00B71193"/>
    <w:rsid w:val="00B71608"/>
    <w:rsid w:val="00B71FB4"/>
    <w:rsid w:val="00B72387"/>
    <w:rsid w:val="00B7247E"/>
    <w:rsid w:val="00B72830"/>
    <w:rsid w:val="00B728AF"/>
    <w:rsid w:val="00B729F2"/>
    <w:rsid w:val="00B72B88"/>
    <w:rsid w:val="00B72BC0"/>
    <w:rsid w:val="00B734A8"/>
    <w:rsid w:val="00B73545"/>
    <w:rsid w:val="00B738EB"/>
    <w:rsid w:val="00B73CFB"/>
    <w:rsid w:val="00B73D09"/>
    <w:rsid w:val="00B73EE5"/>
    <w:rsid w:val="00B74319"/>
    <w:rsid w:val="00B74A13"/>
    <w:rsid w:val="00B74AEA"/>
    <w:rsid w:val="00B74CD6"/>
    <w:rsid w:val="00B755CE"/>
    <w:rsid w:val="00B75FA9"/>
    <w:rsid w:val="00B760DB"/>
    <w:rsid w:val="00B76AD7"/>
    <w:rsid w:val="00B770CD"/>
    <w:rsid w:val="00B7716B"/>
    <w:rsid w:val="00B77472"/>
    <w:rsid w:val="00B77626"/>
    <w:rsid w:val="00B77A46"/>
    <w:rsid w:val="00B77B71"/>
    <w:rsid w:val="00B77CAD"/>
    <w:rsid w:val="00B80086"/>
    <w:rsid w:val="00B804C4"/>
    <w:rsid w:val="00B80879"/>
    <w:rsid w:val="00B80884"/>
    <w:rsid w:val="00B808B3"/>
    <w:rsid w:val="00B80992"/>
    <w:rsid w:val="00B80A90"/>
    <w:rsid w:val="00B80B19"/>
    <w:rsid w:val="00B80FC5"/>
    <w:rsid w:val="00B81208"/>
    <w:rsid w:val="00B8128A"/>
    <w:rsid w:val="00B8144A"/>
    <w:rsid w:val="00B81534"/>
    <w:rsid w:val="00B816C1"/>
    <w:rsid w:val="00B81C7A"/>
    <w:rsid w:val="00B81F07"/>
    <w:rsid w:val="00B82146"/>
    <w:rsid w:val="00B823E6"/>
    <w:rsid w:val="00B826D6"/>
    <w:rsid w:val="00B82813"/>
    <w:rsid w:val="00B82838"/>
    <w:rsid w:val="00B82A75"/>
    <w:rsid w:val="00B82F89"/>
    <w:rsid w:val="00B83070"/>
    <w:rsid w:val="00B833E7"/>
    <w:rsid w:val="00B83554"/>
    <w:rsid w:val="00B836E2"/>
    <w:rsid w:val="00B83780"/>
    <w:rsid w:val="00B8398A"/>
    <w:rsid w:val="00B83AE6"/>
    <w:rsid w:val="00B83F2D"/>
    <w:rsid w:val="00B8447C"/>
    <w:rsid w:val="00B849A1"/>
    <w:rsid w:val="00B84AB0"/>
    <w:rsid w:val="00B84B9D"/>
    <w:rsid w:val="00B8547C"/>
    <w:rsid w:val="00B85569"/>
    <w:rsid w:val="00B85948"/>
    <w:rsid w:val="00B85E5B"/>
    <w:rsid w:val="00B86110"/>
    <w:rsid w:val="00B8636E"/>
    <w:rsid w:val="00B863B7"/>
    <w:rsid w:val="00B8662B"/>
    <w:rsid w:val="00B86A6F"/>
    <w:rsid w:val="00B86C61"/>
    <w:rsid w:val="00B86E7B"/>
    <w:rsid w:val="00B8756A"/>
    <w:rsid w:val="00B87785"/>
    <w:rsid w:val="00B87A02"/>
    <w:rsid w:val="00B90374"/>
    <w:rsid w:val="00B9075C"/>
    <w:rsid w:val="00B907E1"/>
    <w:rsid w:val="00B91402"/>
    <w:rsid w:val="00B9152F"/>
    <w:rsid w:val="00B923B0"/>
    <w:rsid w:val="00B923EF"/>
    <w:rsid w:val="00B92A29"/>
    <w:rsid w:val="00B93120"/>
    <w:rsid w:val="00B9365F"/>
    <w:rsid w:val="00B93830"/>
    <w:rsid w:val="00B9384A"/>
    <w:rsid w:val="00B93912"/>
    <w:rsid w:val="00B93C71"/>
    <w:rsid w:val="00B93D26"/>
    <w:rsid w:val="00B94270"/>
    <w:rsid w:val="00B95268"/>
    <w:rsid w:val="00B96068"/>
    <w:rsid w:val="00B9615F"/>
    <w:rsid w:val="00B9627B"/>
    <w:rsid w:val="00B96ED8"/>
    <w:rsid w:val="00B970D8"/>
    <w:rsid w:val="00B978CB"/>
    <w:rsid w:val="00B97DD8"/>
    <w:rsid w:val="00B97E8E"/>
    <w:rsid w:val="00BA0552"/>
    <w:rsid w:val="00BA05ED"/>
    <w:rsid w:val="00BA068F"/>
    <w:rsid w:val="00BA0D2A"/>
    <w:rsid w:val="00BA10A9"/>
    <w:rsid w:val="00BA12F0"/>
    <w:rsid w:val="00BA17E0"/>
    <w:rsid w:val="00BA1B37"/>
    <w:rsid w:val="00BA1DDC"/>
    <w:rsid w:val="00BA2776"/>
    <w:rsid w:val="00BA27F3"/>
    <w:rsid w:val="00BA2821"/>
    <w:rsid w:val="00BA2C2B"/>
    <w:rsid w:val="00BA302C"/>
    <w:rsid w:val="00BA323D"/>
    <w:rsid w:val="00BA3635"/>
    <w:rsid w:val="00BA39FA"/>
    <w:rsid w:val="00BA3D37"/>
    <w:rsid w:val="00BA3FE0"/>
    <w:rsid w:val="00BA403A"/>
    <w:rsid w:val="00BA4BA2"/>
    <w:rsid w:val="00BA521F"/>
    <w:rsid w:val="00BA5355"/>
    <w:rsid w:val="00BA5401"/>
    <w:rsid w:val="00BA5F76"/>
    <w:rsid w:val="00BA6541"/>
    <w:rsid w:val="00BA774A"/>
    <w:rsid w:val="00BA7BBC"/>
    <w:rsid w:val="00BB0001"/>
    <w:rsid w:val="00BB02D0"/>
    <w:rsid w:val="00BB039B"/>
    <w:rsid w:val="00BB094B"/>
    <w:rsid w:val="00BB11BF"/>
    <w:rsid w:val="00BB15A8"/>
    <w:rsid w:val="00BB23CD"/>
    <w:rsid w:val="00BB2741"/>
    <w:rsid w:val="00BB2A51"/>
    <w:rsid w:val="00BB2EB2"/>
    <w:rsid w:val="00BB31C5"/>
    <w:rsid w:val="00BB3E1B"/>
    <w:rsid w:val="00BB3FCC"/>
    <w:rsid w:val="00BB4329"/>
    <w:rsid w:val="00BB450F"/>
    <w:rsid w:val="00BB4783"/>
    <w:rsid w:val="00BB4D66"/>
    <w:rsid w:val="00BB4E09"/>
    <w:rsid w:val="00BB4EE7"/>
    <w:rsid w:val="00BB5396"/>
    <w:rsid w:val="00BB57FC"/>
    <w:rsid w:val="00BB5F2A"/>
    <w:rsid w:val="00BB5FFC"/>
    <w:rsid w:val="00BB6296"/>
    <w:rsid w:val="00BB6583"/>
    <w:rsid w:val="00BB65AF"/>
    <w:rsid w:val="00BB6AA6"/>
    <w:rsid w:val="00BB6C37"/>
    <w:rsid w:val="00BB6CB6"/>
    <w:rsid w:val="00BB7046"/>
    <w:rsid w:val="00BB7876"/>
    <w:rsid w:val="00BC00A1"/>
    <w:rsid w:val="00BC0398"/>
    <w:rsid w:val="00BC057C"/>
    <w:rsid w:val="00BC0710"/>
    <w:rsid w:val="00BC0C47"/>
    <w:rsid w:val="00BC0E8F"/>
    <w:rsid w:val="00BC1114"/>
    <w:rsid w:val="00BC111F"/>
    <w:rsid w:val="00BC1376"/>
    <w:rsid w:val="00BC1490"/>
    <w:rsid w:val="00BC1530"/>
    <w:rsid w:val="00BC1803"/>
    <w:rsid w:val="00BC1897"/>
    <w:rsid w:val="00BC1A0A"/>
    <w:rsid w:val="00BC2136"/>
    <w:rsid w:val="00BC262F"/>
    <w:rsid w:val="00BC269C"/>
    <w:rsid w:val="00BC290B"/>
    <w:rsid w:val="00BC2BE3"/>
    <w:rsid w:val="00BC2C83"/>
    <w:rsid w:val="00BC38A2"/>
    <w:rsid w:val="00BC45EF"/>
    <w:rsid w:val="00BC4615"/>
    <w:rsid w:val="00BC4753"/>
    <w:rsid w:val="00BC4F26"/>
    <w:rsid w:val="00BC4F3A"/>
    <w:rsid w:val="00BC4F45"/>
    <w:rsid w:val="00BC5847"/>
    <w:rsid w:val="00BC642B"/>
    <w:rsid w:val="00BC6CBE"/>
    <w:rsid w:val="00BC7021"/>
    <w:rsid w:val="00BC75DE"/>
    <w:rsid w:val="00BD071B"/>
    <w:rsid w:val="00BD0808"/>
    <w:rsid w:val="00BD0818"/>
    <w:rsid w:val="00BD1354"/>
    <w:rsid w:val="00BD1429"/>
    <w:rsid w:val="00BD1646"/>
    <w:rsid w:val="00BD23C9"/>
    <w:rsid w:val="00BD2484"/>
    <w:rsid w:val="00BD34D1"/>
    <w:rsid w:val="00BD34D5"/>
    <w:rsid w:val="00BD365F"/>
    <w:rsid w:val="00BD3CF8"/>
    <w:rsid w:val="00BD3D6E"/>
    <w:rsid w:val="00BD3FE1"/>
    <w:rsid w:val="00BD4262"/>
    <w:rsid w:val="00BD4286"/>
    <w:rsid w:val="00BD434C"/>
    <w:rsid w:val="00BD4906"/>
    <w:rsid w:val="00BD4E81"/>
    <w:rsid w:val="00BD553D"/>
    <w:rsid w:val="00BD57E6"/>
    <w:rsid w:val="00BD5E08"/>
    <w:rsid w:val="00BD5FF5"/>
    <w:rsid w:val="00BD60A4"/>
    <w:rsid w:val="00BD6D45"/>
    <w:rsid w:val="00BD74C6"/>
    <w:rsid w:val="00BD7CD2"/>
    <w:rsid w:val="00BE0210"/>
    <w:rsid w:val="00BE0257"/>
    <w:rsid w:val="00BE0523"/>
    <w:rsid w:val="00BE0BAC"/>
    <w:rsid w:val="00BE0D51"/>
    <w:rsid w:val="00BE0F56"/>
    <w:rsid w:val="00BE1277"/>
    <w:rsid w:val="00BE16C9"/>
    <w:rsid w:val="00BE18AD"/>
    <w:rsid w:val="00BE20B3"/>
    <w:rsid w:val="00BE2A32"/>
    <w:rsid w:val="00BE2C6D"/>
    <w:rsid w:val="00BE2CC2"/>
    <w:rsid w:val="00BE30B3"/>
    <w:rsid w:val="00BE3173"/>
    <w:rsid w:val="00BE33F6"/>
    <w:rsid w:val="00BE376A"/>
    <w:rsid w:val="00BE3D5A"/>
    <w:rsid w:val="00BE3F5C"/>
    <w:rsid w:val="00BE453F"/>
    <w:rsid w:val="00BE461E"/>
    <w:rsid w:val="00BE4BCC"/>
    <w:rsid w:val="00BE564E"/>
    <w:rsid w:val="00BE5A01"/>
    <w:rsid w:val="00BE6408"/>
    <w:rsid w:val="00BE6982"/>
    <w:rsid w:val="00BE6B60"/>
    <w:rsid w:val="00BE6C4D"/>
    <w:rsid w:val="00BE6EF8"/>
    <w:rsid w:val="00BE7030"/>
    <w:rsid w:val="00BE7215"/>
    <w:rsid w:val="00BE729B"/>
    <w:rsid w:val="00BE7543"/>
    <w:rsid w:val="00BE7614"/>
    <w:rsid w:val="00BE77C6"/>
    <w:rsid w:val="00BE7CB2"/>
    <w:rsid w:val="00BF0354"/>
    <w:rsid w:val="00BF0CB9"/>
    <w:rsid w:val="00BF1600"/>
    <w:rsid w:val="00BF1C28"/>
    <w:rsid w:val="00BF1D00"/>
    <w:rsid w:val="00BF20A1"/>
    <w:rsid w:val="00BF20F0"/>
    <w:rsid w:val="00BF253F"/>
    <w:rsid w:val="00BF2B91"/>
    <w:rsid w:val="00BF2BD3"/>
    <w:rsid w:val="00BF2D76"/>
    <w:rsid w:val="00BF3A88"/>
    <w:rsid w:val="00BF3AA3"/>
    <w:rsid w:val="00BF40C9"/>
    <w:rsid w:val="00BF41E7"/>
    <w:rsid w:val="00BF4687"/>
    <w:rsid w:val="00BF46BE"/>
    <w:rsid w:val="00BF4BFC"/>
    <w:rsid w:val="00BF4C0F"/>
    <w:rsid w:val="00BF4CA3"/>
    <w:rsid w:val="00BF5FA4"/>
    <w:rsid w:val="00BF6039"/>
    <w:rsid w:val="00BF6523"/>
    <w:rsid w:val="00BF685A"/>
    <w:rsid w:val="00BF6B2C"/>
    <w:rsid w:val="00BF6E2D"/>
    <w:rsid w:val="00BF6FFF"/>
    <w:rsid w:val="00BF7465"/>
    <w:rsid w:val="00BF7B4B"/>
    <w:rsid w:val="00BF7F71"/>
    <w:rsid w:val="00C00234"/>
    <w:rsid w:val="00C00385"/>
    <w:rsid w:val="00C003C8"/>
    <w:rsid w:val="00C00DB1"/>
    <w:rsid w:val="00C00EDE"/>
    <w:rsid w:val="00C0124A"/>
    <w:rsid w:val="00C01583"/>
    <w:rsid w:val="00C0221D"/>
    <w:rsid w:val="00C023F8"/>
    <w:rsid w:val="00C02451"/>
    <w:rsid w:val="00C03197"/>
    <w:rsid w:val="00C0339E"/>
    <w:rsid w:val="00C034EF"/>
    <w:rsid w:val="00C03822"/>
    <w:rsid w:val="00C03837"/>
    <w:rsid w:val="00C039ED"/>
    <w:rsid w:val="00C03BFF"/>
    <w:rsid w:val="00C03C6E"/>
    <w:rsid w:val="00C04144"/>
    <w:rsid w:val="00C042A1"/>
    <w:rsid w:val="00C045AE"/>
    <w:rsid w:val="00C046C2"/>
    <w:rsid w:val="00C04EDD"/>
    <w:rsid w:val="00C04F32"/>
    <w:rsid w:val="00C05064"/>
    <w:rsid w:val="00C05139"/>
    <w:rsid w:val="00C054B2"/>
    <w:rsid w:val="00C055EA"/>
    <w:rsid w:val="00C05B10"/>
    <w:rsid w:val="00C05E83"/>
    <w:rsid w:val="00C060B9"/>
    <w:rsid w:val="00C06303"/>
    <w:rsid w:val="00C06685"/>
    <w:rsid w:val="00C06D1D"/>
    <w:rsid w:val="00C0710A"/>
    <w:rsid w:val="00C0712E"/>
    <w:rsid w:val="00C07445"/>
    <w:rsid w:val="00C07A3E"/>
    <w:rsid w:val="00C07BA3"/>
    <w:rsid w:val="00C07BBD"/>
    <w:rsid w:val="00C07C5C"/>
    <w:rsid w:val="00C10078"/>
    <w:rsid w:val="00C1025D"/>
    <w:rsid w:val="00C1040F"/>
    <w:rsid w:val="00C10D70"/>
    <w:rsid w:val="00C10D9C"/>
    <w:rsid w:val="00C10F58"/>
    <w:rsid w:val="00C11074"/>
    <w:rsid w:val="00C1134F"/>
    <w:rsid w:val="00C1158F"/>
    <w:rsid w:val="00C1196E"/>
    <w:rsid w:val="00C11A79"/>
    <w:rsid w:val="00C12D70"/>
    <w:rsid w:val="00C12EEC"/>
    <w:rsid w:val="00C136B7"/>
    <w:rsid w:val="00C142E8"/>
    <w:rsid w:val="00C142F8"/>
    <w:rsid w:val="00C143CD"/>
    <w:rsid w:val="00C144BD"/>
    <w:rsid w:val="00C14F1F"/>
    <w:rsid w:val="00C15110"/>
    <w:rsid w:val="00C151A8"/>
    <w:rsid w:val="00C153AC"/>
    <w:rsid w:val="00C1589A"/>
    <w:rsid w:val="00C15EA7"/>
    <w:rsid w:val="00C160CB"/>
    <w:rsid w:val="00C165A5"/>
    <w:rsid w:val="00C166B2"/>
    <w:rsid w:val="00C166C8"/>
    <w:rsid w:val="00C177EC"/>
    <w:rsid w:val="00C179EB"/>
    <w:rsid w:val="00C17BB8"/>
    <w:rsid w:val="00C200E2"/>
    <w:rsid w:val="00C20232"/>
    <w:rsid w:val="00C204E0"/>
    <w:rsid w:val="00C20C57"/>
    <w:rsid w:val="00C212D8"/>
    <w:rsid w:val="00C21E49"/>
    <w:rsid w:val="00C21E78"/>
    <w:rsid w:val="00C21EF0"/>
    <w:rsid w:val="00C2220D"/>
    <w:rsid w:val="00C2266D"/>
    <w:rsid w:val="00C227E4"/>
    <w:rsid w:val="00C22843"/>
    <w:rsid w:val="00C22869"/>
    <w:rsid w:val="00C2298A"/>
    <w:rsid w:val="00C22D11"/>
    <w:rsid w:val="00C22F6E"/>
    <w:rsid w:val="00C233F9"/>
    <w:rsid w:val="00C23900"/>
    <w:rsid w:val="00C23B14"/>
    <w:rsid w:val="00C23F6E"/>
    <w:rsid w:val="00C24748"/>
    <w:rsid w:val="00C24A39"/>
    <w:rsid w:val="00C24C6A"/>
    <w:rsid w:val="00C24E2A"/>
    <w:rsid w:val="00C25040"/>
    <w:rsid w:val="00C252D2"/>
    <w:rsid w:val="00C25409"/>
    <w:rsid w:val="00C254B8"/>
    <w:rsid w:val="00C25E2E"/>
    <w:rsid w:val="00C25E68"/>
    <w:rsid w:val="00C267A8"/>
    <w:rsid w:val="00C268AE"/>
    <w:rsid w:val="00C26EFC"/>
    <w:rsid w:val="00C271A8"/>
    <w:rsid w:val="00C2794E"/>
    <w:rsid w:val="00C27ACF"/>
    <w:rsid w:val="00C27C36"/>
    <w:rsid w:val="00C27CA7"/>
    <w:rsid w:val="00C27EEF"/>
    <w:rsid w:val="00C307C0"/>
    <w:rsid w:val="00C307CD"/>
    <w:rsid w:val="00C307DB"/>
    <w:rsid w:val="00C30EE6"/>
    <w:rsid w:val="00C31176"/>
    <w:rsid w:val="00C313E6"/>
    <w:rsid w:val="00C31DE8"/>
    <w:rsid w:val="00C3215C"/>
    <w:rsid w:val="00C321DB"/>
    <w:rsid w:val="00C327C3"/>
    <w:rsid w:val="00C32821"/>
    <w:rsid w:val="00C328E4"/>
    <w:rsid w:val="00C32A90"/>
    <w:rsid w:val="00C32C6C"/>
    <w:rsid w:val="00C32DC3"/>
    <w:rsid w:val="00C32E37"/>
    <w:rsid w:val="00C32F2C"/>
    <w:rsid w:val="00C33122"/>
    <w:rsid w:val="00C331B5"/>
    <w:rsid w:val="00C336F2"/>
    <w:rsid w:val="00C33B55"/>
    <w:rsid w:val="00C33D66"/>
    <w:rsid w:val="00C34462"/>
    <w:rsid w:val="00C346C8"/>
    <w:rsid w:val="00C349A0"/>
    <w:rsid w:val="00C35295"/>
    <w:rsid w:val="00C35309"/>
    <w:rsid w:val="00C358B9"/>
    <w:rsid w:val="00C35BF2"/>
    <w:rsid w:val="00C35CC8"/>
    <w:rsid w:val="00C3634A"/>
    <w:rsid w:val="00C36596"/>
    <w:rsid w:val="00C36682"/>
    <w:rsid w:val="00C369C5"/>
    <w:rsid w:val="00C36FAE"/>
    <w:rsid w:val="00C374B0"/>
    <w:rsid w:val="00C379B1"/>
    <w:rsid w:val="00C37B40"/>
    <w:rsid w:val="00C4026C"/>
    <w:rsid w:val="00C40377"/>
    <w:rsid w:val="00C40451"/>
    <w:rsid w:val="00C40658"/>
    <w:rsid w:val="00C40A94"/>
    <w:rsid w:val="00C40C82"/>
    <w:rsid w:val="00C40CB8"/>
    <w:rsid w:val="00C41645"/>
    <w:rsid w:val="00C41AFC"/>
    <w:rsid w:val="00C423B5"/>
    <w:rsid w:val="00C425B9"/>
    <w:rsid w:val="00C425DD"/>
    <w:rsid w:val="00C429E1"/>
    <w:rsid w:val="00C43584"/>
    <w:rsid w:val="00C43678"/>
    <w:rsid w:val="00C43ACA"/>
    <w:rsid w:val="00C43B67"/>
    <w:rsid w:val="00C4426E"/>
    <w:rsid w:val="00C446DC"/>
    <w:rsid w:val="00C44724"/>
    <w:rsid w:val="00C447C0"/>
    <w:rsid w:val="00C447E2"/>
    <w:rsid w:val="00C448D1"/>
    <w:rsid w:val="00C44B2C"/>
    <w:rsid w:val="00C44D35"/>
    <w:rsid w:val="00C44D50"/>
    <w:rsid w:val="00C44E14"/>
    <w:rsid w:val="00C45137"/>
    <w:rsid w:val="00C45878"/>
    <w:rsid w:val="00C45FD9"/>
    <w:rsid w:val="00C45FDB"/>
    <w:rsid w:val="00C45FFB"/>
    <w:rsid w:val="00C46DC7"/>
    <w:rsid w:val="00C46FF3"/>
    <w:rsid w:val="00C47573"/>
    <w:rsid w:val="00C47831"/>
    <w:rsid w:val="00C50181"/>
    <w:rsid w:val="00C50507"/>
    <w:rsid w:val="00C50645"/>
    <w:rsid w:val="00C50DC8"/>
    <w:rsid w:val="00C51004"/>
    <w:rsid w:val="00C5148E"/>
    <w:rsid w:val="00C5203A"/>
    <w:rsid w:val="00C5262F"/>
    <w:rsid w:val="00C52B5C"/>
    <w:rsid w:val="00C52DFE"/>
    <w:rsid w:val="00C52F15"/>
    <w:rsid w:val="00C53433"/>
    <w:rsid w:val="00C53865"/>
    <w:rsid w:val="00C53CE3"/>
    <w:rsid w:val="00C53E72"/>
    <w:rsid w:val="00C53F93"/>
    <w:rsid w:val="00C540B9"/>
    <w:rsid w:val="00C544D5"/>
    <w:rsid w:val="00C54575"/>
    <w:rsid w:val="00C54A9A"/>
    <w:rsid w:val="00C54DA6"/>
    <w:rsid w:val="00C5517E"/>
    <w:rsid w:val="00C55679"/>
    <w:rsid w:val="00C55722"/>
    <w:rsid w:val="00C558A1"/>
    <w:rsid w:val="00C55B25"/>
    <w:rsid w:val="00C574B0"/>
    <w:rsid w:val="00C576F5"/>
    <w:rsid w:val="00C577DA"/>
    <w:rsid w:val="00C57BB9"/>
    <w:rsid w:val="00C57EC9"/>
    <w:rsid w:val="00C60A4D"/>
    <w:rsid w:val="00C60AD8"/>
    <w:rsid w:val="00C60B0F"/>
    <w:rsid w:val="00C6108F"/>
    <w:rsid w:val="00C61504"/>
    <w:rsid w:val="00C61D3E"/>
    <w:rsid w:val="00C62061"/>
    <w:rsid w:val="00C624E7"/>
    <w:rsid w:val="00C633EB"/>
    <w:rsid w:val="00C648EA"/>
    <w:rsid w:val="00C64ADA"/>
    <w:rsid w:val="00C64B24"/>
    <w:rsid w:val="00C65103"/>
    <w:rsid w:val="00C652AC"/>
    <w:rsid w:val="00C65DF0"/>
    <w:rsid w:val="00C65EE7"/>
    <w:rsid w:val="00C6647C"/>
    <w:rsid w:val="00C66816"/>
    <w:rsid w:val="00C6683B"/>
    <w:rsid w:val="00C66848"/>
    <w:rsid w:val="00C66A80"/>
    <w:rsid w:val="00C66C0E"/>
    <w:rsid w:val="00C6761E"/>
    <w:rsid w:val="00C677B3"/>
    <w:rsid w:val="00C677F7"/>
    <w:rsid w:val="00C67EE8"/>
    <w:rsid w:val="00C7028C"/>
    <w:rsid w:val="00C7066A"/>
    <w:rsid w:val="00C714D0"/>
    <w:rsid w:val="00C71687"/>
    <w:rsid w:val="00C71C43"/>
    <w:rsid w:val="00C72DBE"/>
    <w:rsid w:val="00C7393F"/>
    <w:rsid w:val="00C743C7"/>
    <w:rsid w:val="00C74945"/>
    <w:rsid w:val="00C75202"/>
    <w:rsid w:val="00C75E27"/>
    <w:rsid w:val="00C75F06"/>
    <w:rsid w:val="00C764A2"/>
    <w:rsid w:val="00C765C1"/>
    <w:rsid w:val="00C77018"/>
    <w:rsid w:val="00C77107"/>
    <w:rsid w:val="00C77315"/>
    <w:rsid w:val="00C77558"/>
    <w:rsid w:val="00C77780"/>
    <w:rsid w:val="00C80303"/>
    <w:rsid w:val="00C80969"/>
    <w:rsid w:val="00C8098D"/>
    <w:rsid w:val="00C80B68"/>
    <w:rsid w:val="00C80CBB"/>
    <w:rsid w:val="00C80CCC"/>
    <w:rsid w:val="00C8141E"/>
    <w:rsid w:val="00C8160A"/>
    <w:rsid w:val="00C81828"/>
    <w:rsid w:val="00C818C1"/>
    <w:rsid w:val="00C81F2E"/>
    <w:rsid w:val="00C826EC"/>
    <w:rsid w:val="00C82ACF"/>
    <w:rsid w:val="00C82E95"/>
    <w:rsid w:val="00C8359B"/>
    <w:rsid w:val="00C83AF4"/>
    <w:rsid w:val="00C845AF"/>
    <w:rsid w:val="00C847DD"/>
    <w:rsid w:val="00C84807"/>
    <w:rsid w:val="00C84C07"/>
    <w:rsid w:val="00C84EB3"/>
    <w:rsid w:val="00C84F28"/>
    <w:rsid w:val="00C85E1E"/>
    <w:rsid w:val="00C8664A"/>
    <w:rsid w:val="00C869FE"/>
    <w:rsid w:val="00C86BAE"/>
    <w:rsid w:val="00C871BC"/>
    <w:rsid w:val="00C87614"/>
    <w:rsid w:val="00C87656"/>
    <w:rsid w:val="00C8765B"/>
    <w:rsid w:val="00C87698"/>
    <w:rsid w:val="00C90421"/>
    <w:rsid w:val="00C90480"/>
    <w:rsid w:val="00C910D6"/>
    <w:rsid w:val="00C91474"/>
    <w:rsid w:val="00C91838"/>
    <w:rsid w:val="00C921A4"/>
    <w:rsid w:val="00C92511"/>
    <w:rsid w:val="00C93030"/>
    <w:rsid w:val="00C93292"/>
    <w:rsid w:val="00C9347E"/>
    <w:rsid w:val="00C9386E"/>
    <w:rsid w:val="00C93EEA"/>
    <w:rsid w:val="00C950FE"/>
    <w:rsid w:val="00C9513F"/>
    <w:rsid w:val="00C95A59"/>
    <w:rsid w:val="00C9670F"/>
    <w:rsid w:val="00C96768"/>
    <w:rsid w:val="00C96787"/>
    <w:rsid w:val="00C96ADD"/>
    <w:rsid w:val="00C96DA2"/>
    <w:rsid w:val="00C96FFA"/>
    <w:rsid w:val="00C9727C"/>
    <w:rsid w:val="00C97A7A"/>
    <w:rsid w:val="00CA05A1"/>
    <w:rsid w:val="00CA06D7"/>
    <w:rsid w:val="00CA0D24"/>
    <w:rsid w:val="00CA102F"/>
    <w:rsid w:val="00CA1073"/>
    <w:rsid w:val="00CA19F6"/>
    <w:rsid w:val="00CA255D"/>
    <w:rsid w:val="00CA26FF"/>
    <w:rsid w:val="00CA2905"/>
    <w:rsid w:val="00CA2A5B"/>
    <w:rsid w:val="00CA2AF8"/>
    <w:rsid w:val="00CA2CEF"/>
    <w:rsid w:val="00CA2ECA"/>
    <w:rsid w:val="00CA3D1B"/>
    <w:rsid w:val="00CA47A8"/>
    <w:rsid w:val="00CA4A1D"/>
    <w:rsid w:val="00CA4C77"/>
    <w:rsid w:val="00CA4D66"/>
    <w:rsid w:val="00CA4E55"/>
    <w:rsid w:val="00CA586E"/>
    <w:rsid w:val="00CA5973"/>
    <w:rsid w:val="00CA59E5"/>
    <w:rsid w:val="00CA681A"/>
    <w:rsid w:val="00CA6936"/>
    <w:rsid w:val="00CA6A2F"/>
    <w:rsid w:val="00CA6CF1"/>
    <w:rsid w:val="00CA70A0"/>
    <w:rsid w:val="00CA722A"/>
    <w:rsid w:val="00CA7D92"/>
    <w:rsid w:val="00CA7E00"/>
    <w:rsid w:val="00CA7ED5"/>
    <w:rsid w:val="00CB02E4"/>
    <w:rsid w:val="00CB05B6"/>
    <w:rsid w:val="00CB0C98"/>
    <w:rsid w:val="00CB0E53"/>
    <w:rsid w:val="00CB220F"/>
    <w:rsid w:val="00CB2A65"/>
    <w:rsid w:val="00CB3116"/>
    <w:rsid w:val="00CB3377"/>
    <w:rsid w:val="00CB393E"/>
    <w:rsid w:val="00CB4044"/>
    <w:rsid w:val="00CB49D4"/>
    <w:rsid w:val="00CB524C"/>
    <w:rsid w:val="00CB585E"/>
    <w:rsid w:val="00CB65A8"/>
    <w:rsid w:val="00CB69EA"/>
    <w:rsid w:val="00CB6ADF"/>
    <w:rsid w:val="00CB74CB"/>
    <w:rsid w:val="00CB77A9"/>
    <w:rsid w:val="00CB7B97"/>
    <w:rsid w:val="00CB7E5D"/>
    <w:rsid w:val="00CB7FDA"/>
    <w:rsid w:val="00CC017A"/>
    <w:rsid w:val="00CC0724"/>
    <w:rsid w:val="00CC0856"/>
    <w:rsid w:val="00CC0881"/>
    <w:rsid w:val="00CC0D76"/>
    <w:rsid w:val="00CC1005"/>
    <w:rsid w:val="00CC1091"/>
    <w:rsid w:val="00CC1452"/>
    <w:rsid w:val="00CC14F6"/>
    <w:rsid w:val="00CC1813"/>
    <w:rsid w:val="00CC1A62"/>
    <w:rsid w:val="00CC1E9F"/>
    <w:rsid w:val="00CC1FCB"/>
    <w:rsid w:val="00CC20A2"/>
    <w:rsid w:val="00CC2281"/>
    <w:rsid w:val="00CC2BC3"/>
    <w:rsid w:val="00CC2C1B"/>
    <w:rsid w:val="00CC3156"/>
    <w:rsid w:val="00CC31A4"/>
    <w:rsid w:val="00CC3410"/>
    <w:rsid w:val="00CC4696"/>
    <w:rsid w:val="00CC47F5"/>
    <w:rsid w:val="00CC4CBC"/>
    <w:rsid w:val="00CC5361"/>
    <w:rsid w:val="00CC5B7A"/>
    <w:rsid w:val="00CC5E54"/>
    <w:rsid w:val="00CC61A3"/>
    <w:rsid w:val="00CC6DF8"/>
    <w:rsid w:val="00CC70B9"/>
    <w:rsid w:val="00CC72F9"/>
    <w:rsid w:val="00CC7380"/>
    <w:rsid w:val="00CC76A4"/>
    <w:rsid w:val="00CC7BD5"/>
    <w:rsid w:val="00CC7C7E"/>
    <w:rsid w:val="00CC7F0C"/>
    <w:rsid w:val="00CC7F81"/>
    <w:rsid w:val="00CC7FD0"/>
    <w:rsid w:val="00CD0686"/>
    <w:rsid w:val="00CD09F8"/>
    <w:rsid w:val="00CD0B56"/>
    <w:rsid w:val="00CD0E06"/>
    <w:rsid w:val="00CD1155"/>
    <w:rsid w:val="00CD1BA3"/>
    <w:rsid w:val="00CD2627"/>
    <w:rsid w:val="00CD26D0"/>
    <w:rsid w:val="00CD330A"/>
    <w:rsid w:val="00CD34A1"/>
    <w:rsid w:val="00CD36E4"/>
    <w:rsid w:val="00CD39D3"/>
    <w:rsid w:val="00CD3A58"/>
    <w:rsid w:val="00CD3D61"/>
    <w:rsid w:val="00CD3E37"/>
    <w:rsid w:val="00CD3EDA"/>
    <w:rsid w:val="00CD3FEB"/>
    <w:rsid w:val="00CD421D"/>
    <w:rsid w:val="00CD43BD"/>
    <w:rsid w:val="00CD4815"/>
    <w:rsid w:val="00CD4A17"/>
    <w:rsid w:val="00CD4BDE"/>
    <w:rsid w:val="00CD4D53"/>
    <w:rsid w:val="00CD548C"/>
    <w:rsid w:val="00CD5A87"/>
    <w:rsid w:val="00CD5C98"/>
    <w:rsid w:val="00CD6039"/>
    <w:rsid w:val="00CD6727"/>
    <w:rsid w:val="00CD742B"/>
    <w:rsid w:val="00CD7C2A"/>
    <w:rsid w:val="00CD7ED7"/>
    <w:rsid w:val="00CE03F0"/>
    <w:rsid w:val="00CE07CF"/>
    <w:rsid w:val="00CE0B28"/>
    <w:rsid w:val="00CE10D3"/>
    <w:rsid w:val="00CE1699"/>
    <w:rsid w:val="00CE18F4"/>
    <w:rsid w:val="00CE1C5E"/>
    <w:rsid w:val="00CE1F31"/>
    <w:rsid w:val="00CE234C"/>
    <w:rsid w:val="00CE25B1"/>
    <w:rsid w:val="00CE2B21"/>
    <w:rsid w:val="00CE37CB"/>
    <w:rsid w:val="00CE395B"/>
    <w:rsid w:val="00CE3C80"/>
    <w:rsid w:val="00CE5499"/>
    <w:rsid w:val="00CE569F"/>
    <w:rsid w:val="00CE5948"/>
    <w:rsid w:val="00CE5D0B"/>
    <w:rsid w:val="00CE5EA5"/>
    <w:rsid w:val="00CE5EEC"/>
    <w:rsid w:val="00CE62FC"/>
    <w:rsid w:val="00CE69BC"/>
    <w:rsid w:val="00CE6D3E"/>
    <w:rsid w:val="00CE71E8"/>
    <w:rsid w:val="00CE7435"/>
    <w:rsid w:val="00CE7643"/>
    <w:rsid w:val="00CF02BC"/>
    <w:rsid w:val="00CF05CB"/>
    <w:rsid w:val="00CF05E1"/>
    <w:rsid w:val="00CF0DDE"/>
    <w:rsid w:val="00CF0E76"/>
    <w:rsid w:val="00CF186A"/>
    <w:rsid w:val="00CF1FBE"/>
    <w:rsid w:val="00CF21C5"/>
    <w:rsid w:val="00CF25A2"/>
    <w:rsid w:val="00CF276D"/>
    <w:rsid w:val="00CF2A51"/>
    <w:rsid w:val="00CF2E80"/>
    <w:rsid w:val="00CF3122"/>
    <w:rsid w:val="00CF3DF9"/>
    <w:rsid w:val="00CF41D3"/>
    <w:rsid w:val="00CF44C5"/>
    <w:rsid w:val="00CF490B"/>
    <w:rsid w:val="00CF49A3"/>
    <w:rsid w:val="00CF4D92"/>
    <w:rsid w:val="00CF5288"/>
    <w:rsid w:val="00CF54B4"/>
    <w:rsid w:val="00CF5B86"/>
    <w:rsid w:val="00CF5C03"/>
    <w:rsid w:val="00CF5E44"/>
    <w:rsid w:val="00CF5E62"/>
    <w:rsid w:val="00CF6005"/>
    <w:rsid w:val="00CF603D"/>
    <w:rsid w:val="00CF673F"/>
    <w:rsid w:val="00CF6BA8"/>
    <w:rsid w:val="00CF6FBB"/>
    <w:rsid w:val="00CF7E84"/>
    <w:rsid w:val="00D0053A"/>
    <w:rsid w:val="00D00A2D"/>
    <w:rsid w:val="00D00A53"/>
    <w:rsid w:val="00D00B7A"/>
    <w:rsid w:val="00D00BF3"/>
    <w:rsid w:val="00D00FA7"/>
    <w:rsid w:val="00D0152D"/>
    <w:rsid w:val="00D0171F"/>
    <w:rsid w:val="00D019B7"/>
    <w:rsid w:val="00D01A82"/>
    <w:rsid w:val="00D020B0"/>
    <w:rsid w:val="00D02891"/>
    <w:rsid w:val="00D03044"/>
    <w:rsid w:val="00D03068"/>
    <w:rsid w:val="00D03358"/>
    <w:rsid w:val="00D033BF"/>
    <w:rsid w:val="00D03E7E"/>
    <w:rsid w:val="00D03F68"/>
    <w:rsid w:val="00D03FB7"/>
    <w:rsid w:val="00D04C9F"/>
    <w:rsid w:val="00D05802"/>
    <w:rsid w:val="00D05C9F"/>
    <w:rsid w:val="00D062BE"/>
    <w:rsid w:val="00D062FA"/>
    <w:rsid w:val="00D06520"/>
    <w:rsid w:val="00D06898"/>
    <w:rsid w:val="00D06ACC"/>
    <w:rsid w:val="00D07086"/>
    <w:rsid w:val="00D07A4E"/>
    <w:rsid w:val="00D10293"/>
    <w:rsid w:val="00D10A40"/>
    <w:rsid w:val="00D10C38"/>
    <w:rsid w:val="00D10F7D"/>
    <w:rsid w:val="00D110C1"/>
    <w:rsid w:val="00D1126B"/>
    <w:rsid w:val="00D112BF"/>
    <w:rsid w:val="00D1144C"/>
    <w:rsid w:val="00D11591"/>
    <w:rsid w:val="00D11DE1"/>
    <w:rsid w:val="00D12B05"/>
    <w:rsid w:val="00D140C7"/>
    <w:rsid w:val="00D147AB"/>
    <w:rsid w:val="00D14C7D"/>
    <w:rsid w:val="00D15637"/>
    <w:rsid w:val="00D15F88"/>
    <w:rsid w:val="00D162F2"/>
    <w:rsid w:val="00D16309"/>
    <w:rsid w:val="00D1648D"/>
    <w:rsid w:val="00D16B17"/>
    <w:rsid w:val="00D16B92"/>
    <w:rsid w:val="00D172D1"/>
    <w:rsid w:val="00D177E0"/>
    <w:rsid w:val="00D17897"/>
    <w:rsid w:val="00D17AD0"/>
    <w:rsid w:val="00D200DC"/>
    <w:rsid w:val="00D201B6"/>
    <w:rsid w:val="00D20341"/>
    <w:rsid w:val="00D20824"/>
    <w:rsid w:val="00D20A88"/>
    <w:rsid w:val="00D20AC3"/>
    <w:rsid w:val="00D21770"/>
    <w:rsid w:val="00D21D2E"/>
    <w:rsid w:val="00D21F58"/>
    <w:rsid w:val="00D22120"/>
    <w:rsid w:val="00D221E3"/>
    <w:rsid w:val="00D2245D"/>
    <w:rsid w:val="00D227D2"/>
    <w:rsid w:val="00D22878"/>
    <w:rsid w:val="00D22E26"/>
    <w:rsid w:val="00D22E4F"/>
    <w:rsid w:val="00D23454"/>
    <w:rsid w:val="00D23619"/>
    <w:rsid w:val="00D23628"/>
    <w:rsid w:val="00D23714"/>
    <w:rsid w:val="00D238AC"/>
    <w:rsid w:val="00D2395A"/>
    <w:rsid w:val="00D23CAC"/>
    <w:rsid w:val="00D23D11"/>
    <w:rsid w:val="00D241C1"/>
    <w:rsid w:val="00D241ED"/>
    <w:rsid w:val="00D24498"/>
    <w:rsid w:val="00D24681"/>
    <w:rsid w:val="00D24C0F"/>
    <w:rsid w:val="00D24E99"/>
    <w:rsid w:val="00D251A8"/>
    <w:rsid w:val="00D25C7D"/>
    <w:rsid w:val="00D25D3B"/>
    <w:rsid w:val="00D26525"/>
    <w:rsid w:val="00D26853"/>
    <w:rsid w:val="00D26B56"/>
    <w:rsid w:val="00D26DA7"/>
    <w:rsid w:val="00D26E84"/>
    <w:rsid w:val="00D27541"/>
    <w:rsid w:val="00D308BC"/>
    <w:rsid w:val="00D3091B"/>
    <w:rsid w:val="00D3098E"/>
    <w:rsid w:val="00D31261"/>
    <w:rsid w:val="00D3188E"/>
    <w:rsid w:val="00D318D2"/>
    <w:rsid w:val="00D31AA9"/>
    <w:rsid w:val="00D3263D"/>
    <w:rsid w:val="00D32C94"/>
    <w:rsid w:val="00D32C9C"/>
    <w:rsid w:val="00D33174"/>
    <w:rsid w:val="00D332C9"/>
    <w:rsid w:val="00D332EC"/>
    <w:rsid w:val="00D339C1"/>
    <w:rsid w:val="00D33AA5"/>
    <w:rsid w:val="00D33BA5"/>
    <w:rsid w:val="00D33D20"/>
    <w:rsid w:val="00D33FF7"/>
    <w:rsid w:val="00D3450B"/>
    <w:rsid w:val="00D34803"/>
    <w:rsid w:val="00D34906"/>
    <w:rsid w:val="00D34C5D"/>
    <w:rsid w:val="00D34D84"/>
    <w:rsid w:val="00D35091"/>
    <w:rsid w:val="00D35101"/>
    <w:rsid w:val="00D3572D"/>
    <w:rsid w:val="00D35AB8"/>
    <w:rsid w:val="00D35B4A"/>
    <w:rsid w:val="00D3633A"/>
    <w:rsid w:val="00D364D2"/>
    <w:rsid w:val="00D36765"/>
    <w:rsid w:val="00D36798"/>
    <w:rsid w:val="00D3722D"/>
    <w:rsid w:val="00D377C0"/>
    <w:rsid w:val="00D37AC9"/>
    <w:rsid w:val="00D37C0D"/>
    <w:rsid w:val="00D37EB1"/>
    <w:rsid w:val="00D40334"/>
    <w:rsid w:val="00D40727"/>
    <w:rsid w:val="00D407F4"/>
    <w:rsid w:val="00D4119C"/>
    <w:rsid w:val="00D4122B"/>
    <w:rsid w:val="00D41B8C"/>
    <w:rsid w:val="00D41BA4"/>
    <w:rsid w:val="00D41CD4"/>
    <w:rsid w:val="00D41DC3"/>
    <w:rsid w:val="00D41E85"/>
    <w:rsid w:val="00D42632"/>
    <w:rsid w:val="00D42690"/>
    <w:rsid w:val="00D42A23"/>
    <w:rsid w:val="00D42FE1"/>
    <w:rsid w:val="00D4360C"/>
    <w:rsid w:val="00D43CDE"/>
    <w:rsid w:val="00D442F6"/>
    <w:rsid w:val="00D44711"/>
    <w:rsid w:val="00D44926"/>
    <w:rsid w:val="00D44A7F"/>
    <w:rsid w:val="00D452B1"/>
    <w:rsid w:val="00D45462"/>
    <w:rsid w:val="00D4579B"/>
    <w:rsid w:val="00D4614F"/>
    <w:rsid w:val="00D46957"/>
    <w:rsid w:val="00D46998"/>
    <w:rsid w:val="00D46BD5"/>
    <w:rsid w:val="00D47A15"/>
    <w:rsid w:val="00D47C47"/>
    <w:rsid w:val="00D47CEE"/>
    <w:rsid w:val="00D47EE3"/>
    <w:rsid w:val="00D5107C"/>
    <w:rsid w:val="00D5109C"/>
    <w:rsid w:val="00D511AA"/>
    <w:rsid w:val="00D519DD"/>
    <w:rsid w:val="00D51CDD"/>
    <w:rsid w:val="00D52004"/>
    <w:rsid w:val="00D52032"/>
    <w:rsid w:val="00D5232D"/>
    <w:rsid w:val="00D524B4"/>
    <w:rsid w:val="00D52536"/>
    <w:rsid w:val="00D52586"/>
    <w:rsid w:val="00D52597"/>
    <w:rsid w:val="00D525DB"/>
    <w:rsid w:val="00D52C64"/>
    <w:rsid w:val="00D52CEA"/>
    <w:rsid w:val="00D52E2F"/>
    <w:rsid w:val="00D54310"/>
    <w:rsid w:val="00D545FB"/>
    <w:rsid w:val="00D5531C"/>
    <w:rsid w:val="00D554D3"/>
    <w:rsid w:val="00D55850"/>
    <w:rsid w:val="00D5678F"/>
    <w:rsid w:val="00D57D3B"/>
    <w:rsid w:val="00D57DB2"/>
    <w:rsid w:val="00D60274"/>
    <w:rsid w:val="00D607C9"/>
    <w:rsid w:val="00D609D4"/>
    <w:rsid w:val="00D60CB6"/>
    <w:rsid w:val="00D6121D"/>
    <w:rsid w:val="00D61237"/>
    <w:rsid w:val="00D6158C"/>
    <w:rsid w:val="00D6168A"/>
    <w:rsid w:val="00D6168D"/>
    <w:rsid w:val="00D61CA0"/>
    <w:rsid w:val="00D62185"/>
    <w:rsid w:val="00D628C9"/>
    <w:rsid w:val="00D628E6"/>
    <w:rsid w:val="00D62967"/>
    <w:rsid w:val="00D6297C"/>
    <w:rsid w:val="00D62A3C"/>
    <w:rsid w:val="00D62C48"/>
    <w:rsid w:val="00D62D5A"/>
    <w:rsid w:val="00D63517"/>
    <w:rsid w:val="00D6361E"/>
    <w:rsid w:val="00D638E9"/>
    <w:rsid w:val="00D63A58"/>
    <w:rsid w:val="00D63ADE"/>
    <w:rsid w:val="00D63E6E"/>
    <w:rsid w:val="00D641DE"/>
    <w:rsid w:val="00D6441C"/>
    <w:rsid w:val="00D6473F"/>
    <w:rsid w:val="00D64DD9"/>
    <w:rsid w:val="00D65441"/>
    <w:rsid w:val="00D65687"/>
    <w:rsid w:val="00D65DFE"/>
    <w:rsid w:val="00D65E6C"/>
    <w:rsid w:val="00D65F2B"/>
    <w:rsid w:val="00D65FAC"/>
    <w:rsid w:val="00D669F2"/>
    <w:rsid w:val="00D66A68"/>
    <w:rsid w:val="00D66E04"/>
    <w:rsid w:val="00D66E1E"/>
    <w:rsid w:val="00D67241"/>
    <w:rsid w:val="00D6725E"/>
    <w:rsid w:val="00D6726D"/>
    <w:rsid w:val="00D67642"/>
    <w:rsid w:val="00D67F60"/>
    <w:rsid w:val="00D701CB"/>
    <w:rsid w:val="00D70366"/>
    <w:rsid w:val="00D7057E"/>
    <w:rsid w:val="00D70702"/>
    <w:rsid w:val="00D70903"/>
    <w:rsid w:val="00D709A6"/>
    <w:rsid w:val="00D709AA"/>
    <w:rsid w:val="00D70EAD"/>
    <w:rsid w:val="00D716B4"/>
    <w:rsid w:val="00D7191B"/>
    <w:rsid w:val="00D726BB"/>
    <w:rsid w:val="00D72BB5"/>
    <w:rsid w:val="00D72F15"/>
    <w:rsid w:val="00D73425"/>
    <w:rsid w:val="00D73555"/>
    <w:rsid w:val="00D73B67"/>
    <w:rsid w:val="00D74DF3"/>
    <w:rsid w:val="00D750DD"/>
    <w:rsid w:val="00D751B8"/>
    <w:rsid w:val="00D751FC"/>
    <w:rsid w:val="00D756A7"/>
    <w:rsid w:val="00D75F70"/>
    <w:rsid w:val="00D7660B"/>
    <w:rsid w:val="00D76678"/>
    <w:rsid w:val="00D76ED9"/>
    <w:rsid w:val="00D77587"/>
    <w:rsid w:val="00D776B7"/>
    <w:rsid w:val="00D77744"/>
    <w:rsid w:val="00D80176"/>
    <w:rsid w:val="00D801C0"/>
    <w:rsid w:val="00D80E9C"/>
    <w:rsid w:val="00D815C3"/>
    <w:rsid w:val="00D81911"/>
    <w:rsid w:val="00D81F0E"/>
    <w:rsid w:val="00D822D4"/>
    <w:rsid w:val="00D8251E"/>
    <w:rsid w:val="00D83492"/>
    <w:rsid w:val="00D8377A"/>
    <w:rsid w:val="00D838FB"/>
    <w:rsid w:val="00D84131"/>
    <w:rsid w:val="00D84501"/>
    <w:rsid w:val="00D84875"/>
    <w:rsid w:val="00D84D92"/>
    <w:rsid w:val="00D85495"/>
    <w:rsid w:val="00D85633"/>
    <w:rsid w:val="00D85675"/>
    <w:rsid w:val="00D85BDE"/>
    <w:rsid w:val="00D8663B"/>
    <w:rsid w:val="00D8697D"/>
    <w:rsid w:val="00D86C41"/>
    <w:rsid w:val="00D87288"/>
    <w:rsid w:val="00D872F0"/>
    <w:rsid w:val="00D8760D"/>
    <w:rsid w:val="00D879AF"/>
    <w:rsid w:val="00D90357"/>
    <w:rsid w:val="00D908E9"/>
    <w:rsid w:val="00D90B51"/>
    <w:rsid w:val="00D90CA3"/>
    <w:rsid w:val="00D90D10"/>
    <w:rsid w:val="00D91023"/>
    <w:rsid w:val="00D915CE"/>
    <w:rsid w:val="00D918AE"/>
    <w:rsid w:val="00D92151"/>
    <w:rsid w:val="00D92372"/>
    <w:rsid w:val="00D92576"/>
    <w:rsid w:val="00D9276E"/>
    <w:rsid w:val="00D92CDE"/>
    <w:rsid w:val="00D92EA8"/>
    <w:rsid w:val="00D93697"/>
    <w:rsid w:val="00D936D2"/>
    <w:rsid w:val="00D936E8"/>
    <w:rsid w:val="00D93F4D"/>
    <w:rsid w:val="00D9445E"/>
    <w:rsid w:val="00D94A95"/>
    <w:rsid w:val="00D95044"/>
    <w:rsid w:val="00D95693"/>
    <w:rsid w:val="00D95EB0"/>
    <w:rsid w:val="00D95F0E"/>
    <w:rsid w:val="00D96172"/>
    <w:rsid w:val="00D96FE5"/>
    <w:rsid w:val="00D9724E"/>
    <w:rsid w:val="00D97346"/>
    <w:rsid w:val="00D97472"/>
    <w:rsid w:val="00DA03A1"/>
    <w:rsid w:val="00DA04E7"/>
    <w:rsid w:val="00DA051C"/>
    <w:rsid w:val="00DA0652"/>
    <w:rsid w:val="00DA0BDB"/>
    <w:rsid w:val="00DA145E"/>
    <w:rsid w:val="00DA29EE"/>
    <w:rsid w:val="00DA2D05"/>
    <w:rsid w:val="00DA2D07"/>
    <w:rsid w:val="00DA2EE8"/>
    <w:rsid w:val="00DA3686"/>
    <w:rsid w:val="00DA3BA4"/>
    <w:rsid w:val="00DA4299"/>
    <w:rsid w:val="00DA42B0"/>
    <w:rsid w:val="00DA451E"/>
    <w:rsid w:val="00DA494A"/>
    <w:rsid w:val="00DA4951"/>
    <w:rsid w:val="00DA4B84"/>
    <w:rsid w:val="00DA543E"/>
    <w:rsid w:val="00DA587C"/>
    <w:rsid w:val="00DA6533"/>
    <w:rsid w:val="00DA67D3"/>
    <w:rsid w:val="00DA6D53"/>
    <w:rsid w:val="00DA6EB5"/>
    <w:rsid w:val="00DA6FC2"/>
    <w:rsid w:val="00DA7AED"/>
    <w:rsid w:val="00DA7B3F"/>
    <w:rsid w:val="00DB01ED"/>
    <w:rsid w:val="00DB03D2"/>
    <w:rsid w:val="00DB05F3"/>
    <w:rsid w:val="00DB0891"/>
    <w:rsid w:val="00DB09A7"/>
    <w:rsid w:val="00DB0F88"/>
    <w:rsid w:val="00DB1474"/>
    <w:rsid w:val="00DB1671"/>
    <w:rsid w:val="00DB1949"/>
    <w:rsid w:val="00DB26DB"/>
    <w:rsid w:val="00DB28CD"/>
    <w:rsid w:val="00DB28F4"/>
    <w:rsid w:val="00DB2A86"/>
    <w:rsid w:val="00DB3060"/>
    <w:rsid w:val="00DB30AA"/>
    <w:rsid w:val="00DB3117"/>
    <w:rsid w:val="00DB3D41"/>
    <w:rsid w:val="00DB3D94"/>
    <w:rsid w:val="00DB41D7"/>
    <w:rsid w:val="00DB4541"/>
    <w:rsid w:val="00DB4631"/>
    <w:rsid w:val="00DB4BB9"/>
    <w:rsid w:val="00DB4C32"/>
    <w:rsid w:val="00DB4C42"/>
    <w:rsid w:val="00DB4E5C"/>
    <w:rsid w:val="00DB5414"/>
    <w:rsid w:val="00DB576D"/>
    <w:rsid w:val="00DB6EEC"/>
    <w:rsid w:val="00DB6F5B"/>
    <w:rsid w:val="00DB718A"/>
    <w:rsid w:val="00DB777F"/>
    <w:rsid w:val="00DB7C65"/>
    <w:rsid w:val="00DC0048"/>
    <w:rsid w:val="00DC0201"/>
    <w:rsid w:val="00DC07B4"/>
    <w:rsid w:val="00DC0CC3"/>
    <w:rsid w:val="00DC154A"/>
    <w:rsid w:val="00DC1788"/>
    <w:rsid w:val="00DC1815"/>
    <w:rsid w:val="00DC1DAF"/>
    <w:rsid w:val="00DC21F7"/>
    <w:rsid w:val="00DC22D9"/>
    <w:rsid w:val="00DC2488"/>
    <w:rsid w:val="00DC2BBD"/>
    <w:rsid w:val="00DC3673"/>
    <w:rsid w:val="00DC3C8F"/>
    <w:rsid w:val="00DC3E57"/>
    <w:rsid w:val="00DC4B07"/>
    <w:rsid w:val="00DC4C7B"/>
    <w:rsid w:val="00DC5839"/>
    <w:rsid w:val="00DC58AD"/>
    <w:rsid w:val="00DC5A65"/>
    <w:rsid w:val="00DC5E4A"/>
    <w:rsid w:val="00DC6109"/>
    <w:rsid w:val="00DC6515"/>
    <w:rsid w:val="00DC6D5D"/>
    <w:rsid w:val="00DC7200"/>
    <w:rsid w:val="00DC754F"/>
    <w:rsid w:val="00DC7A79"/>
    <w:rsid w:val="00DD01EB"/>
    <w:rsid w:val="00DD0488"/>
    <w:rsid w:val="00DD0E39"/>
    <w:rsid w:val="00DD1003"/>
    <w:rsid w:val="00DD1963"/>
    <w:rsid w:val="00DD19D0"/>
    <w:rsid w:val="00DD1FB1"/>
    <w:rsid w:val="00DD2B87"/>
    <w:rsid w:val="00DD2DFC"/>
    <w:rsid w:val="00DD3210"/>
    <w:rsid w:val="00DD348A"/>
    <w:rsid w:val="00DD3495"/>
    <w:rsid w:val="00DD3A6B"/>
    <w:rsid w:val="00DD3B07"/>
    <w:rsid w:val="00DD3DF1"/>
    <w:rsid w:val="00DD4157"/>
    <w:rsid w:val="00DD4233"/>
    <w:rsid w:val="00DD44B9"/>
    <w:rsid w:val="00DD5412"/>
    <w:rsid w:val="00DD5418"/>
    <w:rsid w:val="00DD586F"/>
    <w:rsid w:val="00DD5CEE"/>
    <w:rsid w:val="00DD5FBD"/>
    <w:rsid w:val="00DD5FC0"/>
    <w:rsid w:val="00DD69D7"/>
    <w:rsid w:val="00DD7124"/>
    <w:rsid w:val="00DD72AA"/>
    <w:rsid w:val="00DD7663"/>
    <w:rsid w:val="00DD7E25"/>
    <w:rsid w:val="00DE00E6"/>
    <w:rsid w:val="00DE0328"/>
    <w:rsid w:val="00DE0566"/>
    <w:rsid w:val="00DE068D"/>
    <w:rsid w:val="00DE11EA"/>
    <w:rsid w:val="00DE15B8"/>
    <w:rsid w:val="00DE1630"/>
    <w:rsid w:val="00DE1E7E"/>
    <w:rsid w:val="00DE1F3D"/>
    <w:rsid w:val="00DE21D2"/>
    <w:rsid w:val="00DE26B3"/>
    <w:rsid w:val="00DE2837"/>
    <w:rsid w:val="00DE2C5C"/>
    <w:rsid w:val="00DE2C83"/>
    <w:rsid w:val="00DE30AE"/>
    <w:rsid w:val="00DE34D9"/>
    <w:rsid w:val="00DE4344"/>
    <w:rsid w:val="00DE4844"/>
    <w:rsid w:val="00DE522C"/>
    <w:rsid w:val="00DE5256"/>
    <w:rsid w:val="00DE55E3"/>
    <w:rsid w:val="00DE56B7"/>
    <w:rsid w:val="00DE5C99"/>
    <w:rsid w:val="00DE5DF0"/>
    <w:rsid w:val="00DE6614"/>
    <w:rsid w:val="00DE66A3"/>
    <w:rsid w:val="00DE670F"/>
    <w:rsid w:val="00DE6A50"/>
    <w:rsid w:val="00DE6CC0"/>
    <w:rsid w:val="00DE6D43"/>
    <w:rsid w:val="00DE750B"/>
    <w:rsid w:val="00DE76B4"/>
    <w:rsid w:val="00DE79F9"/>
    <w:rsid w:val="00DE7DF6"/>
    <w:rsid w:val="00DE7F66"/>
    <w:rsid w:val="00DF0238"/>
    <w:rsid w:val="00DF0258"/>
    <w:rsid w:val="00DF03E6"/>
    <w:rsid w:val="00DF07AB"/>
    <w:rsid w:val="00DF1024"/>
    <w:rsid w:val="00DF1052"/>
    <w:rsid w:val="00DF10DD"/>
    <w:rsid w:val="00DF1491"/>
    <w:rsid w:val="00DF1A6F"/>
    <w:rsid w:val="00DF1CB6"/>
    <w:rsid w:val="00DF1D6A"/>
    <w:rsid w:val="00DF2372"/>
    <w:rsid w:val="00DF23A9"/>
    <w:rsid w:val="00DF265C"/>
    <w:rsid w:val="00DF2CC2"/>
    <w:rsid w:val="00DF3277"/>
    <w:rsid w:val="00DF3425"/>
    <w:rsid w:val="00DF3DD3"/>
    <w:rsid w:val="00DF4D54"/>
    <w:rsid w:val="00DF4DC5"/>
    <w:rsid w:val="00DF4FA8"/>
    <w:rsid w:val="00DF5230"/>
    <w:rsid w:val="00DF533C"/>
    <w:rsid w:val="00DF5B12"/>
    <w:rsid w:val="00DF67B4"/>
    <w:rsid w:val="00DF67E5"/>
    <w:rsid w:val="00DF6FC5"/>
    <w:rsid w:val="00DF7ABB"/>
    <w:rsid w:val="00DF7B19"/>
    <w:rsid w:val="00DF7C42"/>
    <w:rsid w:val="00DF7FAB"/>
    <w:rsid w:val="00DF7FD7"/>
    <w:rsid w:val="00E00131"/>
    <w:rsid w:val="00E001B9"/>
    <w:rsid w:val="00E002EC"/>
    <w:rsid w:val="00E005C9"/>
    <w:rsid w:val="00E008CB"/>
    <w:rsid w:val="00E00D5E"/>
    <w:rsid w:val="00E01263"/>
    <w:rsid w:val="00E0152A"/>
    <w:rsid w:val="00E0176F"/>
    <w:rsid w:val="00E01A86"/>
    <w:rsid w:val="00E024AC"/>
    <w:rsid w:val="00E02C00"/>
    <w:rsid w:val="00E0309D"/>
    <w:rsid w:val="00E037FC"/>
    <w:rsid w:val="00E03926"/>
    <w:rsid w:val="00E03A52"/>
    <w:rsid w:val="00E03A77"/>
    <w:rsid w:val="00E03B34"/>
    <w:rsid w:val="00E03C1F"/>
    <w:rsid w:val="00E0469F"/>
    <w:rsid w:val="00E054BA"/>
    <w:rsid w:val="00E05960"/>
    <w:rsid w:val="00E0599E"/>
    <w:rsid w:val="00E05CA8"/>
    <w:rsid w:val="00E05FD5"/>
    <w:rsid w:val="00E06135"/>
    <w:rsid w:val="00E06703"/>
    <w:rsid w:val="00E06898"/>
    <w:rsid w:val="00E06AD5"/>
    <w:rsid w:val="00E06CB8"/>
    <w:rsid w:val="00E06D28"/>
    <w:rsid w:val="00E06DD8"/>
    <w:rsid w:val="00E06EB1"/>
    <w:rsid w:val="00E07611"/>
    <w:rsid w:val="00E0768A"/>
    <w:rsid w:val="00E10148"/>
    <w:rsid w:val="00E10379"/>
    <w:rsid w:val="00E10658"/>
    <w:rsid w:val="00E11BCD"/>
    <w:rsid w:val="00E11CB0"/>
    <w:rsid w:val="00E11D6C"/>
    <w:rsid w:val="00E126BD"/>
    <w:rsid w:val="00E12715"/>
    <w:rsid w:val="00E1295E"/>
    <w:rsid w:val="00E12A87"/>
    <w:rsid w:val="00E12C00"/>
    <w:rsid w:val="00E13E88"/>
    <w:rsid w:val="00E13EBD"/>
    <w:rsid w:val="00E13F31"/>
    <w:rsid w:val="00E14020"/>
    <w:rsid w:val="00E15135"/>
    <w:rsid w:val="00E155E2"/>
    <w:rsid w:val="00E1561E"/>
    <w:rsid w:val="00E15BC8"/>
    <w:rsid w:val="00E16151"/>
    <w:rsid w:val="00E163E3"/>
    <w:rsid w:val="00E16700"/>
    <w:rsid w:val="00E16B43"/>
    <w:rsid w:val="00E1741F"/>
    <w:rsid w:val="00E1783F"/>
    <w:rsid w:val="00E1790A"/>
    <w:rsid w:val="00E17DDA"/>
    <w:rsid w:val="00E203EE"/>
    <w:rsid w:val="00E204D0"/>
    <w:rsid w:val="00E20BD3"/>
    <w:rsid w:val="00E20C7B"/>
    <w:rsid w:val="00E212D2"/>
    <w:rsid w:val="00E21383"/>
    <w:rsid w:val="00E215EE"/>
    <w:rsid w:val="00E21BF9"/>
    <w:rsid w:val="00E22293"/>
    <w:rsid w:val="00E226F8"/>
    <w:rsid w:val="00E22919"/>
    <w:rsid w:val="00E22921"/>
    <w:rsid w:val="00E22A3B"/>
    <w:rsid w:val="00E23C23"/>
    <w:rsid w:val="00E243D1"/>
    <w:rsid w:val="00E248F4"/>
    <w:rsid w:val="00E24F4A"/>
    <w:rsid w:val="00E255E8"/>
    <w:rsid w:val="00E25637"/>
    <w:rsid w:val="00E2577E"/>
    <w:rsid w:val="00E25CFA"/>
    <w:rsid w:val="00E265EE"/>
    <w:rsid w:val="00E2696E"/>
    <w:rsid w:val="00E26C52"/>
    <w:rsid w:val="00E26E44"/>
    <w:rsid w:val="00E27129"/>
    <w:rsid w:val="00E2713C"/>
    <w:rsid w:val="00E276A5"/>
    <w:rsid w:val="00E27B48"/>
    <w:rsid w:val="00E30431"/>
    <w:rsid w:val="00E30576"/>
    <w:rsid w:val="00E30587"/>
    <w:rsid w:val="00E309E4"/>
    <w:rsid w:val="00E31155"/>
    <w:rsid w:val="00E313E6"/>
    <w:rsid w:val="00E31A96"/>
    <w:rsid w:val="00E31ED7"/>
    <w:rsid w:val="00E31EF2"/>
    <w:rsid w:val="00E32062"/>
    <w:rsid w:val="00E32DE9"/>
    <w:rsid w:val="00E33C2F"/>
    <w:rsid w:val="00E33C5D"/>
    <w:rsid w:val="00E34971"/>
    <w:rsid w:val="00E34DE9"/>
    <w:rsid w:val="00E34FA2"/>
    <w:rsid w:val="00E3510A"/>
    <w:rsid w:val="00E356D5"/>
    <w:rsid w:val="00E3572E"/>
    <w:rsid w:val="00E35AB3"/>
    <w:rsid w:val="00E35B8A"/>
    <w:rsid w:val="00E35E87"/>
    <w:rsid w:val="00E362C0"/>
    <w:rsid w:val="00E363FF"/>
    <w:rsid w:val="00E36824"/>
    <w:rsid w:val="00E3695F"/>
    <w:rsid w:val="00E36BBD"/>
    <w:rsid w:val="00E36E7F"/>
    <w:rsid w:val="00E37143"/>
    <w:rsid w:val="00E3718D"/>
    <w:rsid w:val="00E37571"/>
    <w:rsid w:val="00E37A27"/>
    <w:rsid w:val="00E405AE"/>
    <w:rsid w:val="00E40C53"/>
    <w:rsid w:val="00E4102F"/>
    <w:rsid w:val="00E41BEB"/>
    <w:rsid w:val="00E426CB"/>
    <w:rsid w:val="00E4299C"/>
    <w:rsid w:val="00E42A8C"/>
    <w:rsid w:val="00E42AEE"/>
    <w:rsid w:val="00E432AB"/>
    <w:rsid w:val="00E432F3"/>
    <w:rsid w:val="00E43386"/>
    <w:rsid w:val="00E43575"/>
    <w:rsid w:val="00E43880"/>
    <w:rsid w:val="00E43B3E"/>
    <w:rsid w:val="00E43DA3"/>
    <w:rsid w:val="00E4451C"/>
    <w:rsid w:val="00E44B48"/>
    <w:rsid w:val="00E451CD"/>
    <w:rsid w:val="00E45512"/>
    <w:rsid w:val="00E4556D"/>
    <w:rsid w:val="00E45C3B"/>
    <w:rsid w:val="00E45D7E"/>
    <w:rsid w:val="00E45EC7"/>
    <w:rsid w:val="00E46A4B"/>
    <w:rsid w:val="00E470EB"/>
    <w:rsid w:val="00E47451"/>
    <w:rsid w:val="00E47C8D"/>
    <w:rsid w:val="00E500BA"/>
    <w:rsid w:val="00E50383"/>
    <w:rsid w:val="00E506F8"/>
    <w:rsid w:val="00E50C3F"/>
    <w:rsid w:val="00E50CC6"/>
    <w:rsid w:val="00E50D15"/>
    <w:rsid w:val="00E5116E"/>
    <w:rsid w:val="00E51D4F"/>
    <w:rsid w:val="00E528E3"/>
    <w:rsid w:val="00E52996"/>
    <w:rsid w:val="00E52B29"/>
    <w:rsid w:val="00E52C14"/>
    <w:rsid w:val="00E52E5C"/>
    <w:rsid w:val="00E531B5"/>
    <w:rsid w:val="00E53511"/>
    <w:rsid w:val="00E5364D"/>
    <w:rsid w:val="00E5383E"/>
    <w:rsid w:val="00E53B2D"/>
    <w:rsid w:val="00E54243"/>
    <w:rsid w:val="00E54647"/>
    <w:rsid w:val="00E54846"/>
    <w:rsid w:val="00E548A9"/>
    <w:rsid w:val="00E54F13"/>
    <w:rsid w:val="00E54FF3"/>
    <w:rsid w:val="00E55099"/>
    <w:rsid w:val="00E557B2"/>
    <w:rsid w:val="00E55F60"/>
    <w:rsid w:val="00E56096"/>
    <w:rsid w:val="00E5631C"/>
    <w:rsid w:val="00E5661D"/>
    <w:rsid w:val="00E566C9"/>
    <w:rsid w:val="00E568FB"/>
    <w:rsid w:val="00E56EF0"/>
    <w:rsid w:val="00E57396"/>
    <w:rsid w:val="00E57A68"/>
    <w:rsid w:val="00E57F9C"/>
    <w:rsid w:val="00E60107"/>
    <w:rsid w:val="00E60249"/>
    <w:rsid w:val="00E60308"/>
    <w:rsid w:val="00E604A0"/>
    <w:rsid w:val="00E60B18"/>
    <w:rsid w:val="00E60B56"/>
    <w:rsid w:val="00E60D93"/>
    <w:rsid w:val="00E60F6F"/>
    <w:rsid w:val="00E6108C"/>
    <w:rsid w:val="00E6116B"/>
    <w:rsid w:val="00E61DF8"/>
    <w:rsid w:val="00E61E08"/>
    <w:rsid w:val="00E62A66"/>
    <w:rsid w:val="00E62A6D"/>
    <w:rsid w:val="00E62A91"/>
    <w:rsid w:val="00E6300E"/>
    <w:rsid w:val="00E63325"/>
    <w:rsid w:val="00E63FC0"/>
    <w:rsid w:val="00E6404E"/>
    <w:rsid w:val="00E64461"/>
    <w:rsid w:val="00E64B59"/>
    <w:rsid w:val="00E64FE5"/>
    <w:rsid w:val="00E65813"/>
    <w:rsid w:val="00E6590A"/>
    <w:rsid w:val="00E65D2D"/>
    <w:rsid w:val="00E65DCA"/>
    <w:rsid w:val="00E65E9D"/>
    <w:rsid w:val="00E661EA"/>
    <w:rsid w:val="00E666BE"/>
    <w:rsid w:val="00E668DB"/>
    <w:rsid w:val="00E66B42"/>
    <w:rsid w:val="00E66CB6"/>
    <w:rsid w:val="00E670C8"/>
    <w:rsid w:val="00E67431"/>
    <w:rsid w:val="00E67463"/>
    <w:rsid w:val="00E676A2"/>
    <w:rsid w:val="00E67878"/>
    <w:rsid w:val="00E67C6C"/>
    <w:rsid w:val="00E707A5"/>
    <w:rsid w:val="00E70F54"/>
    <w:rsid w:val="00E71299"/>
    <w:rsid w:val="00E71404"/>
    <w:rsid w:val="00E71452"/>
    <w:rsid w:val="00E71A87"/>
    <w:rsid w:val="00E71BB6"/>
    <w:rsid w:val="00E71C18"/>
    <w:rsid w:val="00E720A1"/>
    <w:rsid w:val="00E723EC"/>
    <w:rsid w:val="00E72479"/>
    <w:rsid w:val="00E72A23"/>
    <w:rsid w:val="00E72D7F"/>
    <w:rsid w:val="00E72ED3"/>
    <w:rsid w:val="00E73139"/>
    <w:rsid w:val="00E732A1"/>
    <w:rsid w:val="00E732D1"/>
    <w:rsid w:val="00E7349B"/>
    <w:rsid w:val="00E735BA"/>
    <w:rsid w:val="00E7370F"/>
    <w:rsid w:val="00E73C45"/>
    <w:rsid w:val="00E73D04"/>
    <w:rsid w:val="00E73D54"/>
    <w:rsid w:val="00E73F0E"/>
    <w:rsid w:val="00E74101"/>
    <w:rsid w:val="00E741B9"/>
    <w:rsid w:val="00E743F1"/>
    <w:rsid w:val="00E74428"/>
    <w:rsid w:val="00E7461D"/>
    <w:rsid w:val="00E747FA"/>
    <w:rsid w:val="00E7501C"/>
    <w:rsid w:val="00E752D5"/>
    <w:rsid w:val="00E7548B"/>
    <w:rsid w:val="00E754CC"/>
    <w:rsid w:val="00E75592"/>
    <w:rsid w:val="00E759E1"/>
    <w:rsid w:val="00E75A5A"/>
    <w:rsid w:val="00E75AE5"/>
    <w:rsid w:val="00E75AEF"/>
    <w:rsid w:val="00E76268"/>
    <w:rsid w:val="00E7637F"/>
    <w:rsid w:val="00E76661"/>
    <w:rsid w:val="00E76892"/>
    <w:rsid w:val="00E76F50"/>
    <w:rsid w:val="00E77010"/>
    <w:rsid w:val="00E77226"/>
    <w:rsid w:val="00E7743A"/>
    <w:rsid w:val="00E77564"/>
    <w:rsid w:val="00E7759D"/>
    <w:rsid w:val="00E7769F"/>
    <w:rsid w:val="00E77EBA"/>
    <w:rsid w:val="00E77FE7"/>
    <w:rsid w:val="00E80323"/>
    <w:rsid w:val="00E809F5"/>
    <w:rsid w:val="00E80B9B"/>
    <w:rsid w:val="00E80CC3"/>
    <w:rsid w:val="00E80F19"/>
    <w:rsid w:val="00E81076"/>
    <w:rsid w:val="00E81547"/>
    <w:rsid w:val="00E8157C"/>
    <w:rsid w:val="00E81703"/>
    <w:rsid w:val="00E81A96"/>
    <w:rsid w:val="00E82119"/>
    <w:rsid w:val="00E82135"/>
    <w:rsid w:val="00E8225E"/>
    <w:rsid w:val="00E822EF"/>
    <w:rsid w:val="00E828FD"/>
    <w:rsid w:val="00E82CE7"/>
    <w:rsid w:val="00E8318A"/>
    <w:rsid w:val="00E835B0"/>
    <w:rsid w:val="00E836D9"/>
    <w:rsid w:val="00E83C57"/>
    <w:rsid w:val="00E8491B"/>
    <w:rsid w:val="00E84A08"/>
    <w:rsid w:val="00E84DA5"/>
    <w:rsid w:val="00E84FB2"/>
    <w:rsid w:val="00E856C1"/>
    <w:rsid w:val="00E862F8"/>
    <w:rsid w:val="00E86537"/>
    <w:rsid w:val="00E86F54"/>
    <w:rsid w:val="00E86F59"/>
    <w:rsid w:val="00E874F6"/>
    <w:rsid w:val="00E879AC"/>
    <w:rsid w:val="00E87ACA"/>
    <w:rsid w:val="00E87BB9"/>
    <w:rsid w:val="00E87BD4"/>
    <w:rsid w:val="00E904BE"/>
    <w:rsid w:val="00E9068F"/>
    <w:rsid w:val="00E912EB"/>
    <w:rsid w:val="00E91510"/>
    <w:rsid w:val="00E92391"/>
    <w:rsid w:val="00E92589"/>
    <w:rsid w:val="00E926CF"/>
    <w:rsid w:val="00E93171"/>
    <w:rsid w:val="00E93707"/>
    <w:rsid w:val="00E93E53"/>
    <w:rsid w:val="00E94333"/>
    <w:rsid w:val="00E94556"/>
    <w:rsid w:val="00E948EC"/>
    <w:rsid w:val="00E949C8"/>
    <w:rsid w:val="00E95908"/>
    <w:rsid w:val="00E96AE7"/>
    <w:rsid w:val="00E96ECF"/>
    <w:rsid w:val="00E97580"/>
    <w:rsid w:val="00EA02C8"/>
    <w:rsid w:val="00EA047D"/>
    <w:rsid w:val="00EA0717"/>
    <w:rsid w:val="00EA0A1C"/>
    <w:rsid w:val="00EA1026"/>
    <w:rsid w:val="00EA1223"/>
    <w:rsid w:val="00EA12AF"/>
    <w:rsid w:val="00EA17F4"/>
    <w:rsid w:val="00EA1897"/>
    <w:rsid w:val="00EA1D92"/>
    <w:rsid w:val="00EA228B"/>
    <w:rsid w:val="00EA22FA"/>
    <w:rsid w:val="00EA2825"/>
    <w:rsid w:val="00EA2B1B"/>
    <w:rsid w:val="00EA35F5"/>
    <w:rsid w:val="00EA3611"/>
    <w:rsid w:val="00EA364E"/>
    <w:rsid w:val="00EA379B"/>
    <w:rsid w:val="00EA3E30"/>
    <w:rsid w:val="00EA40F3"/>
    <w:rsid w:val="00EA4529"/>
    <w:rsid w:val="00EA4781"/>
    <w:rsid w:val="00EA4A39"/>
    <w:rsid w:val="00EA4C3C"/>
    <w:rsid w:val="00EA5217"/>
    <w:rsid w:val="00EA54EF"/>
    <w:rsid w:val="00EA5D38"/>
    <w:rsid w:val="00EA6195"/>
    <w:rsid w:val="00EA61D5"/>
    <w:rsid w:val="00EA6454"/>
    <w:rsid w:val="00EA7693"/>
    <w:rsid w:val="00EA770D"/>
    <w:rsid w:val="00EA78B4"/>
    <w:rsid w:val="00EA7A0F"/>
    <w:rsid w:val="00EA7A9B"/>
    <w:rsid w:val="00EA7BE0"/>
    <w:rsid w:val="00EB026B"/>
    <w:rsid w:val="00EB0573"/>
    <w:rsid w:val="00EB0C49"/>
    <w:rsid w:val="00EB0CF8"/>
    <w:rsid w:val="00EB1985"/>
    <w:rsid w:val="00EB1F89"/>
    <w:rsid w:val="00EB284E"/>
    <w:rsid w:val="00EB29F9"/>
    <w:rsid w:val="00EB2F03"/>
    <w:rsid w:val="00EB317C"/>
    <w:rsid w:val="00EB3ED0"/>
    <w:rsid w:val="00EB42F8"/>
    <w:rsid w:val="00EB4458"/>
    <w:rsid w:val="00EB48F5"/>
    <w:rsid w:val="00EB4A78"/>
    <w:rsid w:val="00EB4B92"/>
    <w:rsid w:val="00EB5128"/>
    <w:rsid w:val="00EB512C"/>
    <w:rsid w:val="00EB59F8"/>
    <w:rsid w:val="00EB5B3C"/>
    <w:rsid w:val="00EB5E65"/>
    <w:rsid w:val="00EB65D7"/>
    <w:rsid w:val="00EB6A8C"/>
    <w:rsid w:val="00EB7205"/>
    <w:rsid w:val="00EB73DA"/>
    <w:rsid w:val="00EB7758"/>
    <w:rsid w:val="00EB794C"/>
    <w:rsid w:val="00EB7DBB"/>
    <w:rsid w:val="00EB7DF1"/>
    <w:rsid w:val="00EC04C3"/>
    <w:rsid w:val="00EC06D7"/>
    <w:rsid w:val="00EC0EE9"/>
    <w:rsid w:val="00EC1441"/>
    <w:rsid w:val="00EC15CF"/>
    <w:rsid w:val="00EC15E4"/>
    <w:rsid w:val="00EC1A4C"/>
    <w:rsid w:val="00EC2062"/>
    <w:rsid w:val="00EC2509"/>
    <w:rsid w:val="00EC25E8"/>
    <w:rsid w:val="00EC2E15"/>
    <w:rsid w:val="00EC2F98"/>
    <w:rsid w:val="00EC34B8"/>
    <w:rsid w:val="00EC3626"/>
    <w:rsid w:val="00EC3650"/>
    <w:rsid w:val="00EC397F"/>
    <w:rsid w:val="00EC3B52"/>
    <w:rsid w:val="00EC428B"/>
    <w:rsid w:val="00EC4483"/>
    <w:rsid w:val="00EC45F9"/>
    <w:rsid w:val="00EC46F7"/>
    <w:rsid w:val="00EC4AC2"/>
    <w:rsid w:val="00EC4B66"/>
    <w:rsid w:val="00EC4C14"/>
    <w:rsid w:val="00EC4EA3"/>
    <w:rsid w:val="00EC5F1A"/>
    <w:rsid w:val="00EC684F"/>
    <w:rsid w:val="00EC6AC4"/>
    <w:rsid w:val="00EC7120"/>
    <w:rsid w:val="00ED08C0"/>
    <w:rsid w:val="00ED0A2D"/>
    <w:rsid w:val="00ED0D14"/>
    <w:rsid w:val="00ED0D86"/>
    <w:rsid w:val="00ED0FF6"/>
    <w:rsid w:val="00ED144E"/>
    <w:rsid w:val="00ED1760"/>
    <w:rsid w:val="00ED249B"/>
    <w:rsid w:val="00ED2629"/>
    <w:rsid w:val="00ED2685"/>
    <w:rsid w:val="00ED26C6"/>
    <w:rsid w:val="00ED2830"/>
    <w:rsid w:val="00ED2B4F"/>
    <w:rsid w:val="00ED332A"/>
    <w:rsid w:val="00ED33D6"/>
    <w:rsid w:val="00ED3710"/>
    <w:rsid w:val="00ED3A5D"/>
    <w:rsid w:val="00ED3AAB"/>
    <w:rsid w:val="00ED3D34"/>
    <w:rsid w:val="00ED3F6C"/>
    <w:rsid w:val="00ED4251"/>
    <w:rsid w:val="00ED4A5B"/>
    <w:rsid w:val="00ED5DFD"/>
    <w:rsid w:val="00ED5F6D"/>
    <w:rsid w:val="00ED60E3"/>
    <w:rsid w:val="00ED6556"/>
    <w:rsid w:val="00ED657A"/>
    <w:rsid w:val="00ED6BD9"/>
    <w:rsid w:val="00ED6D31"/>
    <w:rsid w:val="00ED6FFE"/>
    <w:rsid w:val="00ED7EF8"/>
    <w:rsid w:val="00EE0212"/>
    <w:rsid w:val="00EE0AA8"/>
    <w:rsid w:val="00EE0AB8"/>
    <w:rsid w:val="00EE0FB6"/>
    <w:rsid w:val="00EE1172"/>
    <w:rsid w:val="00EE1430"/>
    <w:rsid w:val="00EE1897"/>
    <w:rsid w:val="00EE1ABE"/>
    <w:rsid w:val="00EE213A"/>
    <w:rsid w:val="00EE2634"/>
    <w:rsid w:val="00EE2785"/>
    <w:rsid w:val="00EE2836"/>
    <w:rsid w:val="00EE28FB"/>
    <w:rsid w:val="00EE2AF5"/>
    <w:rsid w:val="00EE2DF6"/>
    <w:rsid w:val="00EE3064"/>
    <w:rsid w:val="00EE3111"/>
    <w:rsid w:val="00EE369D"/>
    <w:rsid w:val="00EE3A08"/>
    <w:rsid w:val="00EE3CD9"/>
    <w:rsid w:val="00EE53B4"/>
    <w:rsid w:val="00EE5A56"/>
    <w:rsid w:val="00EE5D83"/>
    <w:rsid w:val="00EE5EF7"/>
    <w:rsid w:val="00EE64AA"/>
    <w:rsid w:val="00EE708E"/>
    <w:rsid w:val="00EE7130"/>
    <w:rsid w:val="00EE7486"/>
    <w:rsid w:val="00EE7496"/>
    <w:rsid w:val="00EE784A"/>
    <w:rsid w:val="00EE7DD4"/>
    <w:rsid w:val="00EF0303"/>
    <w:rsid w:val="00EF0803"/>
    <w:rsid w:val="00EF0E24"/>
    <w:rsid w:val="00EF0EC5"/>
    <w:rsid w:val="00EF14E5"/>
    <w:rsid w:val="00EF1585"/>
    <w:rsid w:val="00EF1690"/>
    <w:rsid w:val="00EF1DA3"/>
    <w:rsid w:val="00EF1EDE"/>
    <w:rsid w:val="00EF21E1"/>
    <w:rsid w:val="00EF22BA"/>
    <w:rsid w:val="00EF273F"/>
    <w:rsid w:val="00EF2B45"/>
    <w:rsid w:val="00EF2FD0"/>
    <w:rsid w:val="00EF32C6"/>
    <w:rsid w:val="00EF36D8"/>
    <w:rsid w:val="00EF3969"/>
    <w:rsid w:val="00EF4D40"/>
    <w:rsid w:val="00EF50B5"/>
    <w:rsid w:val="00EF52F3"/>
    <w:rsid w:val="00EF6272"/>
    <w:rsid w:val="00EF6312"/>
    <w:rsid w:val="00EF6471"/>
    <w:rsid w:val="00EF6A9A"/>
    <w:rsid w:val="00EF6B72"/>
    <w:rsid w:val="00EF7143"/>
    <w:rsid w:val="00F00573"/>
    <w:rsid w:val="00F00FB9"/>
    <w:rsid w:val="00F0103B"/>
    <w:rsid w:val="00F014A4"/>
    <w:rsid w:val="00F01537"/>
    <w:rsid w:val="00F017E9"/>
    <w:rsid w:val="00F01A6E"/>
    <w:rsid w:val="00F01C1F"/>
    <w:rsid w:val="00F01E2C"/>
    <w:rsid w:val="00F02003"/>
    <w:rsid w:val="00F02CDE"/>
    <w:rsid w:val="00F02D06"/>
    <w:rsid w:val="00F02EFB"/>
    <w:rsid w:val="00F033F7"/>
    <w:rsid w:val="00F034D0"/>
    <w:rsid w:val="00F04297"/>
    <w:rsid w:val="00F04652"/>
    <w:rsid w:val="00F047F3"/>
    <w:rsid w:val="00F04822"/>
    <w:rsid w:val="00F04BD4"/>
    <w:rsid w:val="00F04E49"/>
    <w:rsid w:val="00F04F11"/>
    <w:rsid w:val="00F0525C"/>
    <w:rsid w:val="00F052B4"/>
    <w:rsid w:val="00F053DF"/>
    <w:rsid w:val="00F05E11"/>
    <w:rsid w:val="00F061AA"/>
    <w:rsid w:val="00F065E0"/>
    <w:rsid w:val="00F06EA5"/>
    <w:rsid w:val="00F06ED4"/>
    <w:rsid w:val="00F06F08"/>
    <w:rsid w:val="00F0739B"/>
    <w:rsid w:val="00F074E1"/>
    <w:rsid w:val="00F0784C"/>
    <w:rsid w:val="00F07A7B"/>
    <w:rsid w:val="00F07CA0"/>
    <w:rsid w:val="00F07D41"/>
    <w:rsid w:val="00F102F6"/>
    <w:rsid w:val="00F1080C"/>
    <w:rsid w:val="00F109B2"/>
    <w:rsid w:val="00F10EFC"/>
    <w:rsid w:val="00F11017"/>
    <w:rsid w:val="00F11695"/>
    <w:rsid w:val="00F12AC9"/>
    <w:rsid w:val="00F12B95"/>
    <w:rsid w:val="00F12F6F"/>
    <w:rsid w:val="00F135A0"/>
    <w:rsid w:val="00F13600"/>
    <w:rsid w:val="00F137BD"/>
    <w:rsid w:val="00F14437"/>
    <w:rsid w:val="00F1466C"/>
    <w:rsid w:val="00F14CC9"/>
    <w:rsid w:val="00F15841"/>
    <w:rsid w:val="00F159EC"/>
    <w:rsid w:val="00F15CB5"/>
    <w:rsid w:val="00F15EA3"/>
    <w:rsid w:val="00F162D5"/>
    <w:rsid w:val="00F165C0"/>
    <w:rsid w:val="00F16876"/>
    <w:rsid w:val="00F173BD"/>
    <w:rsid w:val="00F17603"/>
    <w:rsid w:val="00F17B6B"/>
    <w:rsid w:val="00F17C7E"/>
    <w:rsid w:val="00F20148"/>
    <w:rsid w:val="00F201C6"/>
    <w:rsid w:val="00F20233"/>
    <w:rsid w:val="00F20317"/>
    <w:rsid w:val="00F2060C"/>
    <w:rsid w:val="00F2078F"/>
    <w:rsid w:val="00F210FF"/>
    <w:rsid w:val="00F21469"/>
    <w:rsid w:val="00F219E7"/>
    <w:rsid w:val="00F21B6A"/>
    <w:rsid w:val="00F2263E"/>
    <w:rsid w:val="00F228D2"/>
    <w:rsid w:val="00F22B24"/>
    <w:rsid w:val="00F230D8"/>
    <w:rsid w:val="00F23361"/>
    <w:rsid w:val="00F23493"/>
    <w:rsid w:val="00F23CB9"/>
    <w:rsid w:val="00F23D41"/>
    <w:rsid w:val="00F23DB3"/>
    <w:rsid w:val="00F23EDB"/>
    <w:rsid w:val="00F23F66"/>
    <w:rsid w:val="00F23FD6"/>
    <w:rsid w:val="00F245B5"/>
    <w:rsid w:val="00F249A8"/>
    <w:rsid w:val="00F25C0D"/>
    <w:rsid w:val="00F25C8E"/>
    <w:rsid w:val="00F25FB7"/>
    <w:rsid w:val="00F262F5"/>
    <w:rsid w:val="00F2696E"/>
    <w:rsid w:val="00F26A9C"/>
    <w:rsid w:val="00F26F4F"/>
    <w:rsid w:val="00F27253"/>
    <w:rsid w:val="00F275E7"/>
    <w:rsid w:val="00F307EA"/>
    <w:rsid w:val="00F30820"/>
    <w:rsid w:val="00F30895"/>
    <w:rsid w:val="00F30ADB"/>
    <w:rsid w:val="00F30BC0"/>
    <w:rsid w:val="00F30EC2"/>
    <w:rsid w:val="00F31061"/>
    <w:rsid w:val="00F31499"/>
    <w:rsid w:val="00F31CB8"/>
    <w:rsid w:val="00F31DF1"/>
    <w:rsid w:val="00F32399"/>
    <w:rsid w:val="00F327D2"/>
    <w:rsid w:val="00F33124"/>
    <w:rsid w:val="00F334E5"/>
    <w:rsid w:val="00F33EB7"/>
    <w:rsid w:val="00F33FDC"/>
    <w:rsid w:val="00F34335"/>
    <w:rsid w:val="00F343E0"/>
    <w:rsid w:val="00F344F1"/>
    <w:rsid w:val="00F34A4D"/>
    <w:rsid w:val="00F358A4"/>
    <w:rsid w:val="00F3592D"/>
    <w:rsid w:val="00F35A9E"/>
    <w:rsid w:val="00F35AF2"/>
    <w:rsid w:val="00F36397"/>
    <w:rsid w:val="00F36640"/>
    <w:rsid w:val="00F36973"/>
    <w:rsid w:val="00F36C5C"/>
    <w:rsid w:val="00F372D0"/>
    <w:rsid w:val="00F37A61"/>
    <w:rsid w:val="00F37B26"/>
    <w:rsid w:val="00F37E98"/>
    <w:rsid w:val="00F37F77"/>
    <w:rsid w:val="00F3FEB6"/>
    <w:rsid w:val="00F40512"/>
    <w:rsid w:val="00F405BA"/>
    <w:rsid w:val="00F4061E"/>
    <w:rsid w:val="00F40794"/>
    <w:rsid w:val="00F40974"/>
    <w:rsid w:val="00F40FAE"/>
    <w:rsid w:val="00F410B2"/>
    <w:rsid w:val="00F41330"/>
    <w:rsid w:val="00F41673"/>
    <w:rsid w:val="00F41B86"/>
    <w:rsid w:val="00F420C9"/>
    <w:rsid w:val="00F42201"/>
    <w:rsid w:val="00F428B1"/>
    <w:rsid w:val="00F42C1E"/>
    <w:rsid w:val="00F43091"/>
    <w:rsid w:val="00F43201"/>
    <w:rsid w:val="00F436B4"/>
    <w:rsid w:val="00F439ED"/>
    <w:rsid w:val="00F43E7E"/>
    <w:rsid w:val="00F44800"/>
    <w:rsid w:val="00F44984"/>
    <w:rsid w:val="00F44C3C"/>
    <w:rsid w:val="00F44D8F"/>
    <w:rsid w:val="00F455E2"/>
    <w:rsid w:val="00F45DDB"/>
    <w:rsid w:val="00F466E3"/>
    <w:rsid w:val="00F46792"/>
    <w:rsid w:val="00F46B75"/>
    <w:rsid w:val="00F46E20"/>
    <w:rsid w:val="00F47107"/>
    <w:rsid w:val="00F478DF"/>
    <w:rsid w:val="00F47F3D"/>
    <w:rsid w:val="00F47FC4"/>
    <w:rsid w:val="00F50438"/>
    <w:rsid w:val="00F504A3"/>
    <w:rsid w:val="00F50645"/>
    <w:rsid w:val="00F50837"/>
    <w:rsid w:val="00F50845"/>
    <w:rsid w:val="00F50CD7"/>
    <w:rsid w:val="00F5102A"/>
    <w:rsid w:val="00F51096"/>
    <w:rsid w:val="00F510D4"/>
    <w:rsid w:val="00F51231"/>
    <w:rsid w:val="00F517D9"/>
    <w:rsid w:val="00F51857"/>
    <w:rsid w:val="00F52012"/>
    <w:rsid w:val="00F52636"/>
    <w:rsid w:val="00F527DC"/>
    <w:rsid w:val="00F53A2B"/>
    <w:rsid w:val="00F54AD6"/>
    <w:rsid w:val="00F54CBC"/>
    <w:rsid w:val="00F55BCE"/>
    <w:rsid w:val="00F55D8B"/>
    <w:rsid w:val="00F560A7"/>
    <w:rsid w:val="00F56587"/>
    <w:rsid w:val="00F5697E"/>
    <w:rsid w:val="00F570FE"/>
    <w:rsid w:val="00F572E2"/>
    <w:rsid w:val="00F579B7"/>
    <w:rsid w:val="00F57C93"/>
    <w:rsid w:val="00F60383"/>
    <w:rsid w:val="00F60822"/>
    <w:rsid w:val="00F60982"/>
    <w:rsid w:val="00F60B0E"/>
    <w:rsid w:val="00F60C0F"/>
    <w:rsid w:val="00F6122C"/>
    <w:rsid w:val="00F618EC"/>
    <w:rsid w:val="00F619F1"/>
    <w:rsid w:val="00F61DBB"/>
    <w:rsid w:val="00F62434"/>
    <w:rsid w:val="00F625B0"/>
    <w:rsid w:val="00F625EF"/>
    <w:rsid w:val="00F62A1E"/>
    <w:rsid w:val="00F63302"/>
    <w:rsid w:val="00F633C7"/>
    <w:rsid w:val="00F633E2"/>
    <w:rsid w:val="00F636EE"/>
    <w:rsid w:val="00F63F48"/>
    <w:rsid w:val="00F64710"/>
    <w:rsid w:val="00F64758"/>
    <w:rsid w:val="00F64CB0"/>
    <w:rsid w:val="00F65111"/>
    <w:rsid w:val="00F6512E"/>
    <w:rsid w:val="00F6548B"/>
    <w:rsid w:val="00F65A50"/>
    <w:rsid w:val="00F65A7A"/>
    <w:rsid w:val="00F65B5D"/>
    <w:rsid w:val="00F661E8"/>
    <w:rsid w:val="00F66850"/>
    <w:rsid w:val="00F670E1"/>
    <w:rsid w:val="00F675DE"/>
    <w:rsid w:val="00F67B1D"/>
    <w:rsid w:val="00F67B87"/>
    <w:rsid w:val="00F70B6D"/>
    <w:rsid w:val="00F7123B"/>
    <w:rsid w:val="00F7195F"/>
    <w:rsid w:val="00F71C95"/>
    <w:rsid w:val="00F72189"/>
    <w:rsid w:val="00F722BF"/>
    <w:rsid w:val="00F7233D"/>
    <w:rsid w:val="00F723C4"/>
    <w:rsid w:val="00F7294B"/>
    <w:rsid w:val="00F731AE"/>
    <w:rsid w:val="00F731F1"/>
    <w:rsid w:val="00F731F3"/>
    <w:rsid w:val="00F73282"/>
    <w:rsid w:val="00F73526"/>
    <w:rsid w:val="00F739F0"/>
    <w:rsid w:val="00F73B5D"/>
    <w:rsid w:val="00F73E35"/>
    <w:rsid w:val="00F744B0"/>
    <w:rsid w:val="00F744FE"/>
    <w:rsid w:val="00F7474C"/>
    <w:rsid w:val="00F7486D"/>
    <w:rsid w:val="00F74BFF"/>
    <w:rsid w:val="00F751BB"/>
    <w:rsid w:val="00F75528"/>
    <w:rsid w:val="00F75B98"/>
    <w:rsid w:val="00F76186"/>
    <w:rsid w:val="00F76307"/>
    <w:rsid w:val="00F76C38"/>
    <w:rsid w:val="00F76D31"/>
    <w:rsid w:val="00F76EEC"/>
    <w:rsid w:val="00F77036"/>
    <w:rsid w:val="00F771E1"/>
    <w:rsid w:val="00F7766E"/>
    <w:rsid w:val="00F7768C"/>
    <w:rsid w:val="00F77944"/>
    <w:rsid w:val="00F77DA0"/>
    <w:rsid w:val="00F80BC6"/>
    <w:rsid w:val="00F80F83"/>
    <w:rsid w:val="00F8149F"/>
    <w:rsid w:val="00F8154A"/>
    <w:rsid w:val="00F81594"/>
    <w:rsid w:val="00F81819"/>
    <w:rsid w:val="00F81840"/>
    <w:rsid w:val="00F81906"/>
    <w:rsid w:val="00F81E97"/>
    <w:rsid w:val="00F82144"/>
    <w:rsid w:val="00F82665"/>
    <w:rsid w:val="00F8294D"/>
    <w:rsid w:val="00F82C06"/>
    <w:rsid w:val="00F82DEA"/>
    <w:rsid w:val="00F82FE6"/>
    <w:rsid w:val="00F8313F"/>
    <w:rsid w:val="00F83968"/>
    <w:rsid w:val="00F83F95"/>
    <w:rsid w:val="00F843E6"/>
    <w:rsid w:val="00F8456F"/>
    <w:rsid w:val="00F85B4C"/>
    <w:rsid w:val="00F862AE"/>
    <w:rsid w:val="00F86599"/>
    <w:rsid w:val="00F86B68"/>
    <w:rsid w:val="00F86E1B"/>
    <w:rsid w:val="00F8719E"/>
    <w:rsid w:val="00F872F3"/>
    <w:rsid w:val="00F8768A"/>
    <w:rsid w:val="00F87CFB"/>
    <w:rsid w:val="00F87F80"/>
    <w:rsid w:val="00F87FB1"/>
    <w:rsid w:val="00F87FE9"/>
    <w:rsid w:val="00F90522"/>
    <w:rsid w:val="00F90D12"/>
    <w:rsid w:val="00F911DD"/>
    <w:rsid w:val="00F9123E"/>
    <w:rsid w:val="00F915B5"/>
    <w:rsid w:val="00F917F8"/>
    <w:rsid w:val="00F91C51"/>
    <w:rsid w:val="00F9223F"/>
    <w:rsid w:val="00F92AA3"/>
    <w:rsid w:val="00F92ACF"/>
    <w:rsid w:val="00F92C09"/>
    <w:rsid w:val="00F92FA3"/>
    <w:rsid w:val="00F934FC"/>
    <w:rsid w:val="00F939D1"/>
    <w:rsid w:val="00F93B61"/>
    <w:rsid w:val="00F93C38"/>
    <w:rsid w:val="00F94127"/>
    <w:rsid w:val="00F94E34"/>
    <w:rsid w:val="00F95007"/>
    <w:rsid w:val="00F9539A"/>
    <w:rsid w:val="00F9569A"/>
    <w:rsid w:val="00F95A58"/>
    <w:rsid w:val="00F95CCF"/>
    <w:rsid w:val="00F95DC2"/>
    <w:rsid w:val="00F95FDA"/>
    <w:rsid w:val="00F96562"/>
    <w:rsid w:val="00F96824"/>
    <w:rsid w:val="00F973F7"/>
    <w:rsid w:val="00F97491"/>
    <w:rsid w:val="00F97545"/>
    <w:rsid w:val="00F97FA6"/>
    <w:rsid w:val="00FA03CD"/>
    <w:rsid w:val="00FA0405"/>
    <w:rsid w:val="00FA0934"/>
    <w:rsid w:val="00FA0C3C"/>
    <w:rsid w:val="00FA0E35"/>
    <w:rsid w:val="00FA1A29"/>
    <w:rsid w:val="00FA2944"/>
    <w:rsid w:val="00FA3377"/>
    <w:rsid w:val="00FA378B"/>
    <w:rsid w:val="00FA3823"/>
    <w:rsid w:val="00FA3D5C"/>
    <w:rsid w:val="00FA3E40"/>
    <w:rsid w:val="00FA451A"/>
    <w:rsid w:val="00FA4929"/>
    <w:rsid w:val="00FA496B"/>
    <w:rsid w:val="00FA4EA4"/>
    <w:rsid w:val="00FA5010"/>
    <w:rsid w:val="00FA515F"/>
    <w:rsid w:val="00FA58F9"/>
    <w:rsid w:val="00FA5AC0"/>
    <w:rsid w:val="00FA7EFD"/>
    <w:rsid w:val="00FB035C"/>
    <w:rsid w:val="00FB0466"/>
    <w:rsid w:val="00FB04F3"/>
    <w:rsid w:val="00FB0A8A"/>
    <w:rsid w:val="00FB0C0F"/>
    <w:rsid w:val="00FB0C9D"/>
    <w:rsid w:val="00FB0EFB"/>
    <w:rsid w:val="00FB23F6"/>
    <w:rsid w:val="00FB2765"/>
    <w:rsid w:val="00FB2777"/>
    <w:rsid w:val="00FB2B80"/>
    <w:rsid w:val="00FB2E49"/>
    <w:rsid w:val="00FB3039"/>
    <w:rsid w:val="00FB310F"/>
    <w:rsid w:val="00FB315E"/>
    <w:rsid w:val="00FB34C0"/>
    <w:rsid w:val="00FB3A70"/>
    <w:rsid w:val="00FB3D08"/>
    <w:rsid w:val="00FB3DAC"/>
    <w:rsid w:val="00FB40DA"/>
    <w:rsid w:val="00FB4529"/>
    <w:rsid w:val="00FB4581"/>
    <w:rsid w:val="00FB4992"/>
    <w:rsid w:val="00FB4B04"/>
    <w:rsid w:val="00FB53B2"/>
    <w:rsid w:val="00FB56B0"/>
    <w:rsid w:val="00FB5716"/>
    <w:rsid w:val="00FB5F9B"/>
    <w:rsid w:val="00FB6183"/>
    <w:rsid w:val="00FB6753"/>
    <w:rsid w:val="00FB679B"/>
    <w:rsid w:val="00FB6F66"/>
    <w:rsid w:val="00FB70C9"/>
    <w:rsid w:val="00FB7C90"/>
    <w:rsid w:val="00FC02A2"/>
    <w:rsid w:val="00FC0490"/>
    <w:rsid w:val="00FC04A4"/>
    <w:rsid w:val="00FC068D"/>
    <w:rsid w:val="00FC0A90"/>
    <w:rsid w:val="00FC0DEB"/>
    <w:rsid w:val="00FC0FA9"/>
    <w:rsid w:val="00FC13A7"/>
    <w:rsid w:val="00FC17E9"/>
    <w:rsid w:val="00FC1D36"/>
    <w:rsid w:val="00FC2591"/>
    <w:rsid w:val="00FC2B55"/>
    <w:rsid w:val="00FC2E0E"/>
    <w:rsid w:val="00FC2FAF"/>
    <w:rsid w:val="00FC3032"/>
    <w:rsid w:val="00FC31BA"/>
    <w:rsid w:val="00FC31FC"/>
    <w:rsid w:val="00FC394F"/>
    <w:rsid w:val="00FC446C"/>
    <w:rsid w:val="00FC492E"/>
    <w:rsid w:val="00FC5007"/>
    <w:rsid w:val="00FC52D4"/>
    <w:rsid w:val="00FC54C9"/>
    <w:rsid w:val="00FC5F8F"/>
    <w:rsid w:val="00FC60F7"/>
    <w:rsid w:val="00FC63D7"/>
    <w:rsid w:val="00FC6420"/>
    <w:rsid w:val="00FC65C8"/>
    <w:rsid w:val="00FC6866"/>
    <w:rsid w:val="00FC689F"/>
    <w:rsid w:val="00FC6978"/>
    <w:rsid w:val="00FC6E12"/>
    <w:rsid w:val="00FC6EED"/>
    <w:rsid w:val="00FC7255"/>
    <w:rsid w:val="00FC72E0"/>
    <w:rsid w:val="00FC792C"/>
    <w:rsid w:val="00FC795D"/>
    <w:rsid w:val="00FC7E8C"/>
    <w:rsid w:val="00FD0147"/>
    <w:rsid w:val="00FD0286"/>
    <w:rsid w:val="00FD0431"/>
    <w:rsid w:val="00FD098A"/>
    <w:rsid w:val="00FD0AEE"/>
    <w:rsid w:val="00FD0DC9"/>
    <w:rsid w:val="00FD1117"/>
    <w:rsid w:val="00FD1483"/>
    <w:rsid w:val="00FD1948"/>
    <w:rsid w:val="00FD2653"/>
    <w:rsid w:val="00FD2B40"/>
    <w:rsid w:val="00FD323C"/>
    <w:rsid w:val="00FD36DF"/>
    <w:rsid w:val="00FD371A"/>
    <w:rsid w:val="00FD3F10"/>
    <w:rsid w:val="00FD41FF"/>
    <w:rsid w:val="00FD42F5"/>
    <w:rsid w:val="00FD430E"/>
    <w:rsid w:val="00FD44BD"/>
    <w:rsid w:val="00FD4C2C"/>
    <w:rsid w:val="00FD4C8D"/>
    <w:rsid w:val="00FD4F42"/>
    <w:rsid w:val="00FD512B"/>
    <w:rsid w:val="00FD523C"/>
    <w:rsid w:val="00FD594A"/>
    <w:rsid w:val="00FD5BF3"/>
    <w:rsid w:val="00FD6051"/>
    <w:rsid w:val="00FD61BC"/>
    <w:rsid w:val="00FD6279"/>
    <w:rsid w:val="00FD658E"/>
    <w:rsid w:val="00FD6679"/>
    <w:rsid w:val="00FD667C"/>
    <w:rsid w:val="00FD66B7"/>
    <w:rsid w:val="00FD68DB"/>
    <w:rsid w:val="00FD6AD4"/>
    <w:rsid w:val="00FD6AD6"/>
    <w:rsid w:val="00FD6C89"/>
    <w:rsid w:val="00FD6DD9"/>
    <w:rsid w:val="00FD71D0"/>
    <w:rsid w:val="00FD7291"/>
    <w:rsid w:val="00FD7364"/>
    <w:rsid w:val="00FD73FB"/>
    <w:rsid w:val="00FD76CB"/>
    <w:rsid w:val="00FD7EC7"/>
    <w:rsid w:val="00FD7FF6"/>
    <w:rsid w:val="00FE058A"/>
    <w:rsid w:val="00FE0856"/>
    <w:rsid w:val="00FE0998"/>
    <w:rsid w:val="00FE0A68"/>
    <w:rsid w:val="00FE1538"/>
    <w:rsid w:val="00FE1920"/>
    <w:rsid w:val="00FE2601"/>
    <w:rsid w:val="00FE27AA"/>
    <w:rsid w:val="00FE2A95"/>
    <w:rsid w:val="00FE2D1B"/>
    <w:rsid w:val="00FE3630"/>
    <w:rsid w:val="00FE39B0"/>
    <w:rsid w:val="00FE410F"/>
    <w:rsid w:val="00FE42F4"/>
    <w:rsid w:val="00FE4EF4"/>
    <w:rsid w:val="00FE56E2"/>
    <w:rsid w:val="00FE6ABF"/>
    <w:rsid w:val="00FE6BD1"/>
    <w:rsid w:val="00FE6DCF"/>
    <w:rsid w:val="00FE79AE"/>
    <w:rsid w:val="00FE7D7B"/>
    <w:rsid w:val="00FE7FD7"/>
    <w:rsid w:val="00FF093D"/>
    <w:rsid w:val="00FF1391"/>
    <w:rsid w:val="00FF1783"/>
    <w:rsid w:val="00FF1913"/>
    <w:rsid w:val="00FF1B86"/>
    <w:rsid w:val="00FF2732"/>
    <w:rsid w:val="00FF2767"/>
    <w:rsid w:val="00FF2C91"/>
    <w:rsid w:val="00FF2CD2"/>
    <w:rsid w:val="00FF30B0"/>
    <w:rsid w:val="00FF3121"/>
    <w:rsid w:val="00FF3212"/>
    <w:rsid w:val="00FF33D7"/>
    <w:rsid w:val="00FF3617"/>
    <w:rsid w:val="00FF3E6B"/>
    <w:rsid w:val="00FF3F03"/>
    <w:rsid w:val="00FF3F11"/>
    <w:rsid w:val="00FF40A0"/>
    <w:rsid w:val="00FF468D"/>
    <w:rsid w:val="00FF598B"/>
    <w:rsid w:val="00FF5B46"/>
    <w:rsid w:val="00FF66DE"/>
    <w:rsid w:val="00FF697E"/>
    <w:rsid w:val="00FF6C2C"/>
    <w:rsid w:val="00FF6D55"/>
    <w:rsid w:val="00FF7319"/>
    <w:rsid w:val="00FF758D"/>
    <w:rsid w:val="00FF7AA7"/>
    <w:rsid w:val="00FF7FC8"/>
    <w:rsid w:val="015DF9C0"/>
    <w:rsid w:val="01620CEE"/>
    <w:rsid w:val="0169E0F8"/>
    <w:rsid w:val="019FF592"/>
    <w:rsid w:val="022906AE"/>
    <w:rsid w:val="0285BD7B"/>
    <w:rsid w:val="02B0306F"/>
    <w:rsid w:val="02BADF06"/>
    <w:rsid w:val="02BF3F92"/>
    <w:rsid w:val="02D7D0B8"/>
    <w:rsid w:val="031B8F02"/>
    <w:rsid w:val="0344F068"/>
    <w:rsid w:val="038B2299"/>
    <w:rsid w:val="03976250"/>
    <w:rsid w:val="03B7BA1C"/>
    <w:rsid w:val="041228BA"/>
    <w:rsid w:val="041DA95F"/>
    <w:rsid w:val="044377C5"/>
    <w:rsid w:val="0458B66E"/>
    <w:rsid w:val="04AFC35D"/>
    <w:rsid w:val="04E267AB"/>
    <w:rsid w:val="04E55131"/>
    <w:rsid w:val="04F47CB2"/>
    <w:rsid w:val="04F9C811"/>
    <w:rsid w:val="051B39FC"/>
    <w:rsid w:val="054FF058"/>
    <w:rsid w:val="0577AB2E"/>
    <w:rsid w:val="05951CAD"/>
    <w:rsid w:val="059BAEE6"/>
    <w:rsid w:val="05A93E4E"/>
    <w:rsid w:val="05ABA453"/>
    <w:rsid w:val="05DE5E33"/>
    <w:rsid w:val="05DF407A"/>
    <w:rsid w:val="06524071"/>
    <w:rsid w:val="0656BB2D"/>
    <w:rsid w:val="06761A7B"/>
    <w:rsid w:val="069B4CA9"/>
    <w:rsid w:val="06A0982D"/>
    <w:rsid w:val="06F1C70B"/>
    <w:rsid w:val="074A47D4"/>
    <w:rsid w:val="07676091"/>
    <w:rsid w:val="0775C612"/>
    <w:rsid w:val="07765C9D"/>
    <w:rsid w:val="07D0EC36"/>
    <w:rsid w:val="07EF93F4"/>
    <w:rsid w:val="080770A8"/>
    <w:rsid w:val="086289F5"/>
    <w:rsid w:val="08658EB5"/>
    <w:rsid w:val="08A6B477"/>
    <w:rsid w:val="08B3D9FC"/>
    <w:rsid w:val="0923C8F1"/>
    <w:rsid w:val="09437E79"/>
    <w:rsid w:val="096760FB"/>
    <w:rsid w:val="09983903"/>
    <w:rsid w:val="099BA7F1"/>
    <w:rsid w:val="09B8C0C7"/>
    <w:rsid w:val="0A3F22FF"/>
    <w:rsid w:val="0A4DD317"/>
    <w:rsid w:val="0A584B5F"/>
    <w:rsid w:val="0ADC101F"/>
    <w:rsid w:val="0B282688"/>
    <w:rsid w:val="0B691398"/>
    <w:rsid w:val="0BB22DB7"/>
    <w:rsid w:val="0BFC6F4D"/>
    <w:rsid w:val="0C0704AA"/>
    <w:rsid w:val="0C48E618"/>
    <w:rsid w:val="0C4E235F"/>
    <w:rsid w:val="0C53EEE6"/>
    <w:rsid w:val="0C6F89BA"/>
    <w:rsid w:val="0C87556A"/>
    <w:rsid w:val="0C87DEE2"/>
    <w:rsid w:val="0CC0C91F"/>
    <w:rsid w:val="0CCFA847"/>
    <w:rsid w:val="0CE4E89F"/>
    <w:rsid w:val="0CF46CA2"/>
    <w:rsid w:val="0CF674AD"/>
    <w:rsid w:val="0DEC7D34"/>
    <w:rsid w:val="0E0CFDBA"/>
    <w:rsid w:val="0E16CCF2"/>
    <w:rsid w:val="0E911794"/>
    <w:rsid w:val="0E962B72"/>
    <w:rsid w:val="0EA90B7F"/>
    <w:rsid w:val="0ED7434B"/>
    <w:rsid w:val="0EDA1124"/>
    <w:rsid w:val="0F07063F"/>
    <w:rsid w:val="0F2ECB13"/>
    <w:rsid w:val="0F3FF8BE"/>
    <w:rsid w:val="0F56BDB9"/>
    <w:rsid w:val="0F7AFAE2"/>
    <w:rsid w:val="0FA27BDA"/>
    <w:rsid w:val="10199183"/>
    <w:rsid w:val="101FDF0A"/>
    <w:rsid w:val="102BF2B9"/>
    <w:rsid w:val="10818905"/>
    <w:rsid w:val="10DC62C4"/>
    <w:rsid w:val="10DFF2F8"/>
    <w:rsid w:val="1121D8E2"/>
    <w:rsid w:val="11614C4A"/>
    <w:rsid w:val="11864278"/>
    <w:rsid w:val="1188E49A"/>
    <w:rsid w:val="120C7847"/>
    <w:rsid w:val="1240C121"/>
    <w:rsid w:val="124A9035"/>
    <w:rsid w:val="128852A6"/>
    <w:rsid w:val="129C5274"/>
    <w:rsid w:val="12CED88C"/>
    <w:rsid w:val="13261CD5"/>
    <w:rsid w:val="137D5C33"/>
    <w:rsid w:val="13B477C7"/>
    <w:rsid w:val="13BD8ED7"/>
    <w:rsid w:val="13DB45F0"/>
    <w:rsid w:val="14114CC9"/>
    <w:rsid w:val="141ACB7A"/>
    <w:rsid w:val="143E5F76"/>
    <w:rsid w:val="1447AE22"/>
    <w:rsid w:val="144F00F0"/>
    <w:rsid w:val="14665917"/>
    <w:rsid w:val="14714BB4"/>
    <w:rsid w:val="1495E0CD"/>
    <w:rsid w:val="14B84008"/>
    <w:rsid w:val="14E6A15E"/>
    <w:rsid w:val="14F0050A"/>
    <w:rsid w:val="1505F4C2"/>
    <w:rsid w:val="15470EEC"/>
    <w:rsid w:val="155C291E"/>
    <w:rsid w:val="161BCF60"/>
    <w:rsid w:val="16517238"/>
    <w:rsid w:val="168536DA"/>
    <w:rsid w:val="16B67C04"/>
    <w:rsid w:val="16DB1585"/>
    <w:rsid w:val="16EABDBB"/>
    <w:rsid w:val="17190B91"/>
    <w:rsid w:val="178CBA39"/>
    <w:rsid w:val="1799A72D"/>
    <w:rsid w:val="17A81BE8"/>
    <w:rsid w:val="17BA603F"/>
    <w:rsid w:val="17EBE72F"/>
    <w:rsid w:val="17FDAFF2"/>
    <w:rsid w:val="180954CC"/>
    <w:rsid w:val="1809B9A2"/>
    <w:rsid w:val="180E5A46"/>
    <w:rsid w:val="181AFFDB"/>
    <w:rsid w:val="186A9D2B"/>
    <w:rsid w:val="189046ED"/>
    <w:rsid w:val="189CCD74"/>
    <w:rsid w:val="18A6824A"/>
    <w:rsid w:val="18B1575F"/>
    <w:rsid w:val="1914FB9B"/>
    <w:rsid w:val="194D3E87"/>
    <w:rsid w:val="199FE127"/>
    <w:rsid w:val="19A573BC"/>
    <w:rsid w:val="19BE108E"/>
    <w:rsid w:val="19DE8166"/>
    <w:rsid w:val="19F26769"/>
    <w:rsid w:val="1A2056EE"/>
    <w:rsid w:val="1A4BB109"/>
    <w:rsid w:val="1B1D8A6B"/>
    <w:rsid w:val="1B20EA85"/>
    <w:rsid w:val="1B259B20"/>
    <w:rsid w:val="1B6F6CA1"/>
    <w:rsid w:val="1BA6912B"/>
    <w:rsid w:val="1C1EED8A"/>
    <w:rsid w:val="1C22C35C"/>
    <w:rsid w:val="1C250F96"/>
    <w:rsid w:val="1CF87698"/>
    <w:rsid w:val="1D1D53AC"/>
    <w:rsid w:val="1D20FD1E"/>
    <w:rsid w:val="1D7E1AEF"/>
    <w:rsid w:val="1DC550B2"/>
    <w:rsid w:val="1E1D8686"/>
    <w:rsid w:val="1E28E742"/>
    <w:rsid w:val="1E2BE38B"/>
    <w:rsid w:val="1E40AE07"/>
    <w:rsid w:val="1E50A62F"/>
    <w:rsid w:val="1EB91D42"/>
    <w:rsid w:val="1F537487"/>
    <w:rsid w:val="1F73BA21"/>
    <w:rsid w:val="1F95445D"/>
    <w:rsid w:val="1FC3D726"/>
    <w:rsid w:val="1FE6E93E"/>
    <w:rsid w:val="1FE87956"/>
    <w:rsid w:val="203AD7C0"/>
    <w:rsid w:val="2055D62D"/>
    <w:rsid w:val="20B3D088"/>
    <w:rsid w:val="20B3E916"/>
    <w:rsid w:val="20B4CD41"/>
    <w:rsid w:val="20F84310"/>
    <w:rsid w:val="21426DED"/>
    <w:rsid w:val="2165F05D"/>
    <w:rsid w:val="218FA946"/>
    <w:rsid w:val="21EAC4D7"/>
    <w:rsid w:val="21EDC232"/>
    <w:rsid w:val="21F41232"/>
    <w:rsid w:val="225EFD61"/>
    <w:rsid w:val="22806DCA"/>
    <w:rsid w:val="2321F1D2"/>
    <w:rsid w:val="232DD077"/>
    <w:rsid w:val="2356E7EC"/>
    <w:rsid w:val="238DD096"/>
    <w:rsid w:val="23B61D8B"/>
    <w:rsid w:val="23D8CCC2"/>
    <w:rsid w:val="23EC70B8"/>
    <w:rsid w:val="24191A31"/>
    <w:rsid w:val="242D75C6"/>
    <w:rsid w:val="24308DE1"/>
    <w:rsid w:val="2434CE13"/>
    <w:rsid w:val="244A7EBF"/>
    <w:rsid w:val="2473E2AC"/>
    <w:rsid w:val="249AECB7"/>
    <w:rsid w:val="24A48AB8"/>
    <w:rsid w:val="24E17D84"/>
    <w:rsid w:val="24FE9212"/>
    <w:rsid w:val="250F9137"/>
    <w:rsid w:val="2521FC47"/>
    <w:rsid w:val="254BB779"/>
    <w:rsid w:val="2561A284"/>
    <w:rsid w:val="256B983C"/>
    <w:rsid w:val="258D9C0E"/>
    <w:rsid w:val="263B8241"/>
    <w:rsid w:val="266A61E5"/>
    <w:rsid w:val="269B32B8"/>
    <w:rsid w:val="27494A4D"/>
    <w:rsid w:val="27D2DFB8"/>
    <w:rsid w:val="281E90A7"/>
    <w:rsid w:val="2828A31D"/>
    <w:rsid w:val="284F5F48"/>
    <w:rsid w:val="285BD137"/>
    <w:rsid w:val="28805BC0"/>
    <w:rsid w:val="289BD013"/>
    <w:rsid w:val="28C8BD1C"/>
    <w:rsid w:val="299DA23C"/>
    <w:rsid w:val="29DE7794"/>
    <w:rsid w:val="2A04FB74"/>
    <w:rsid w:val="2A48CD33"/>
    <w:rsid w:val="2A6C79DD"/>
    <w:rsid w:val="2A835D60"/>
    <w:rsid w:val="2ABE5E9A"/>
    <w:rsid w:val="2AD8AF12"/>
    <w:rsid w:val="2B5D2181"/>
    <w:rsid w:val="2B66C93A"/>
    <w:rsid w:val="2B6B9343"/>
    <w:rsid w:val="2B85927E"/>
    <w:rsid w:val="2BA425AB"/>
    <w:rsid w:val="2BB726CD"/>
    <w:rsid w:val="2BC62DCC"/>
    <w:rsid w:val="2BE2B22C"/>
    <w:rsid w:val="2BE9D3C2"/>
    <w:rsid w:val="2BFEE788"/>
    <w:rsid w:val="2C4065B2"/>
    <w:rsid w:val="2C545A57"/>
    <w:rsid w:val="2C5868C2"/>
    <w:rsid w:val="2C7D805E"/>
    <w:rsid w:val="2C9C70F3"/>
    <w:rsid w:val="2CC8A991"/>
    <w:rsid w:val="2D0F2517"/>
    <w:rsid w:val="2D17DE14"/>
    <w:rsid w:val="2D2D8B81"/>
    <w:rsid w:val="2D462684"/>
    <w:rsid w:val="2D4DE3A3"/>
    <w:rsid w:val="2D803D0C"/>
    <w:rsid w:val="2D936431"/>
    <w:rsid w:val="2D996A26"/>
    <w:rsid w:val="2D99D7E6"/>
    <w:rsid w:val="2DB6DA8B"/>
    <w:rsid w:val="2DCA8078"/>
    <w:rsid w:val="2DF0107F"/>
    <w:rsid w:val="2DF66970"/>
    <w:rsid w:val="2E01BDB9"/>
    <w:rsid w:val="2E80172B"/>
    <w:rsid w:val="2E8EE229"/>
    <w:rsid w:val="2EA8DBDC"/>
    <w:rsid w:val="2EB9E164"/>
    <w:rsid w:val="2EC1306B"/>
    <w:rsid w:val="2F0261C8"/>
    <w:rsid w:val="2F3C32F3"/>
    <w:rsid w:val="2F52BF57"/>
    <w:rsid w:val="2F7CB3F3"/>
    <w:rsid w:val="2FBF331F"/>
    <w:rsid w:val="2FFF7A91"/>
    <w:rsid w:val="300D65DA"/>
    <w:rsid w:val="3047ACD8"/>
    <w:rsid w:val="305E2C00"/>
    <w:rsid w:val="30C07714"/>
    <w:rsid w:val="30FD03A1"/>
    <w:rsid w:val="310DB772"/>
    <w:rsid w:val="31185602"/>
    <w:rsid w:val="312D94B0"/>
    <w:rsid w:val="3164A8AF"/>
    <w:rsid w:val="316A1C8E"/>
    <w:rsid w:val="3182A6C3"/>
    <w:rsid w:val="31BD9DD7"/>
    <w:rsid w:val="31E30E54"/>
    <w:rsid w:val="3205B1B6"/>
    <w:rsid w:val="3228D156"/>
    <w:rsid w:val="3232B905"/>
    <w:rsid w:val="325788E2"/>
    <w:rsid w:val="328ECBAE"/>
    <w:rsid w:val="32C2EE68"/>
    <w:rsid w:val="32DF31A5"/>
    <w:rsid w:val="33415A1C"/>
    <w:rsid w:val="338CA44A"/>
    <w:rsid w:val="33F0DD9B"/>
    <w:rsid w:val="33F2B97F"/>
    <w:rsid w:val="344AD69B"/>
    <w:rsid w:val="3453DFCD"/>
    <w:rsid w:val="3455E539"/>
    <w:rsid w:val="349A82AB"/>
    <w:rsid w:val="34DC7B37"/>
    <w:rsid w:val="34E5CBE1"/>
    <w:rsid w:val="35335CC4"/>
    <w:rsid w:val="3536427A"/>
    <w:rsid w:val="35750BA9"/>
    <w:rsid w:val="35973583"/>
    <w:rsid w:val="360A0708"/>
    <w:rsid w:val="36B727D0"/>
    <w:rsid w:val="36E0C403"/>
    <w:rsid w:val="36E2A7BF"/>
    <w:rsid w:val="36FEFE2A"/>
    <w:rsid w:val="3707CF3F"/>
    <w:rsid w:val="3711CC39"/>
    <w:rsid w:val="375025C9"/>
    <w:rsid w:val="37536443"/>
    <w:rsid w:val="376CC4E7"/>
    <w:rsid w:val="37976A99"/>
    <w:rsid w:val="379E4763"/>
    <w:rsid w:val="37B36F7F"/>
    <w:rsid w:val="37D89080"/>
    <w:rsid w:val="3815F341"/>
    <w:rsid w:val="3829A6BC"/>
    <w:rsid w:val="384A5E19"/>
    <w:rsid w:val="38502C80"/>
    <w:rsid w:val="386C09EC"/>
    <w:rsid w:val="38771F59"/>
    <w:rsid w:val="38937160"/>
    <w:rsid w:val="38A985DD"/>
    <w:rsid w:val="38F9F94E"/>
    <w:rsid w:val="395B607F"/>
    <w:rsid w:val="39701980"/>
    <w:rsid w:val="3AB448AE"/>
    <w:rsid w:val="3B2E994F"/>
    <w:rsid w:val="3B6888FF"/>
    <w:rsid w:val="3B7FAC88"/>
    <w:rsid w:val="3B8F984D"/>
    <w:rsid w:val="3B909157"/>
    <w:rsid w:val="3BA5BB52"/>
    <w:rsid w:val="3BBB5A95"/>
    <w:rsid w:val="3BC7CE9F"/>
    <w:rsid w:val="3C0D9DEA"/>
    <w:rsid w:val="3C2AAF6D"/>
    <w:rsid w:val="3C7366EA"/>
    <w:rsid w:val="3C9BBCD6"/>
    <w:rsid w:val="3CA22063"/>
    <w:rsid w:val="3CA869EC"/>
    <w:rsid w:val="3CD4495E"/>
    <w:rsid w:val="3CDEDEB3"/>
    <w:rsid w:val="3D21E967"/>
    <w:rsid w:val="3DC6006D"/>
    <w:rsid w:val="3DD94EA0"/>
    <w:rsid w:val="3E3478D6"/>
    <w:rsid w:val="3E56799F"/>
    <w:rsid w:val="3EB12940"/>
    <w:rsid w:val="3F85C470"/>
    <w:rsid w:val="3F940F73"/>
    <w:rsid w:val="3FAF9BD4"/>
    <w:rsid w:val="3FC562FB"/>
    <w:rsid w:val="3FCE9BB6"/>
    <w:rsid w:val="40329DA9"/>
    <w:rsid w:val="4068FCB3"/>
    <w:rsid w:val="40E9AE47"/>
    <w:rsid w:val="4123BE04"/>
    <w:rsid w:val="41A330D1"/>
    <w:rsid w:val="41BB0040"/>
    <w:rsid w:val="41C75B67"/>
    <w:rsid w:val="41EB1232"/>
    <w:rsid w:val="4207AB89"/>
    <w:rsid w:val="421003D5"/>
    <w:rsid w:val="4253B3CF"/>
    <w:rsid w:val="429BF6EC"/>
    <w:rsid w:val="42A51154"/>
    <w:rsid w:val="42A9E861"/>
    <w:rsid w:val="42F30ED3"/>
    <w:rsid w:val="43073375"/>
    <w:rsid w:val="433885D1"/>
    <w:rsid w:val="43489DCD"/>
    <w:rsid w:val="4349A7A0"/>
    <w:rsid w:val="44067F2A"/>
    <w:rsid w:val="440E43AD"/>
    <w:rsid w:val="443DEE6B"/>
    <w:rsid w:val="448CED21"/>
    <w:rsid w:val="44E4A87F"/>
    <w:rsid w:val="4507D8BE"/>
    <w:rsid w:val="452B9130"/>
    <w:rsid w:val="453C667C"/>
    <w:rsid w:val="4566D9B3"/>
    <w:rsid w:val="4594A7B2"/>
    <w:rsid w:val="45A134CD"/>
    <w:rsid w:val="45B32B1C"/>
    <w:rsid w:val="45BD9332"/>
    <w:rsid w:val="45CA24DB"/>
    <w:rsid w:val="4621CF8C"/>
    <w:rsid w:val="4663D726"/>
    <w:rsid w:val="46697820"/>
    <w:rsid w:val="46AB8F00"/>
    <w:rsid w:val="46B4B12A"/>
    <w:rsid w:val="46C0EFD1"/>
    <w:rsid w:val="46DE4876"/>
    <w:rsid w:val="46E39BA4"/>
    <w:rsid w:val="47310A03"/>
    <w:rsid w:val="4759F662"/>
    <w:rsid w:val="47847052"/>
    <w:rsid w:val="478D4887"/>
    <w:rsid w:val="47DB2EF1"/>
    <w:rsid w:val="48DDF431"/>
    <w:rsid w:val="48E62A54"/>
    <w:rsid w:val="49114866"/>
    <w:rsid w:val="492D1345"/>
    <w:rsid w:val="498625E7"/>
    <w:rsid w:val="49A62E51"/>
    <w:rsid w:val="49AA134D"/>
    <w:rsid w:val="49AA13B6"/>
    <w:rsid w:val="49DC0780"/>
    <w:rsid w:val="4A250B03"/>
    <w:rsid w:val="4A81DCE2"/>
    <w:rsid w:val="4AE3AF73"/>
    <w:rsid w:val="4B0BC4F8"/>
    <w:rsid w:val="4B0C1A6E"/>
    <w:rsid w:val="4B176F3B"/>
    <w:rsid w:val="4B2301F5"/>
    <w:rsid w:val="4BCB4D88"/>
    <w:rsid w:val="4C47250B"/>
    <w:rsid w:val="4C5362DE"/>
    <w:rsid w:val="4C7AF4FE"/>
    <w:rsid w:val="4C7FBF14"/>
    <w:rsid w:val="4CB76F68"/>
    <w:rsid w:val="4CC6A7E5"/>
    <w:rsid w:val="4CE63942"/>
    <w:rsid w:val="4D4FFAF8"/>
    <w:rsid w:val="4D8FA2B6"/>
    <w:rsid w:val="4E229FD8"/>
    <w:rsid w:val="4E55FA64"/>
    <w:rsid w:val="4EA20778"/>
    <w:rsid w:val="4EE6ECDD"/>
    <w:rsid w:val="4F12D95B"/>
    <w:rsid w:val="4F1C8C16"/>
    <w:rsid w:val="4F346DEE"/>
    <w:rsid w:val="4F7E8027"/>
    <w:rsid w:val="4FBC25CD"/>
    <w:rsid w:val="4FED0E4E"/>
    <w:rsid w:val="508A4168"/>
    <w:rsid w:val="509E9151"/>
    <w:rsid w:val="512C2989"/>
    <w:rsid w:val="51AC55FA"/>
    <w:rsid w:val="51C66D62"/>
    <w:rsid w:val="51C778E0"/>
    <w:rsid w:val="51D04A99"/>
    <w:rsid w:val="51D501FA"/>
    <w:rsid w:val="51E3C108"/>
    <w:rsid w:val="52062F5E"/>
    <w:rsid w:val="5232394F"/>
    <w:rsid w:val="5245786D"/>
    <w:rsid w:val="52F4090A"/>
    <w:rsid w:val="53303C37"/>
    <w:rsid w:val="534620C3"/>
    <w:rsid w:val="53773A07"/>
    <w:rsid w:val="53A029B6"/>
    <w:rsid w:val="53BB5846"/>
    <w:rsid w:val="53C5F8DE"/>
    <w:rsid w:val="53CABAB6"/>
    <w:rsid w:val="53E2FBCB"/>
    <w:rsid w:val="5434B35F"/>
    <w:rsid w:val="543A8635"/>
    <w:rsid w:val="544C82C3"/>
    <w:rsid w:val="545665EA"/>
    <w:rsid w:val="5477FD10"/>
    <w:rsid w:val="548859D4"/>
    <w:rsid w:val="54B2F40B"/>
    <w:rsid w:val="54BE6ED5"/>
    <w:rsid w:val="54DD8F3F"/>
    <w:rsid w:val="54ECAE4F"/>
    <w:rsid w:val="54FF6400"/>
    <w:rsid w:val="55688C73"/>
    <w:rsid w:val="5568946E"/>
    <w:rsid w:val="55D0B039"/>
    <w:rsid w:val="55E8FEAD"/>
    <w:rsid w:val="55F83AEE"/>
    <w:rsid w:val="563EE788"/>
    <w:rsid w:val="567DD2BE"/>
    <w:rsid w:val="56A7AD1A"/>
    <w:rsid w:val="5701A799"/>
    <w:rsid w:val="571277D1"/>
    <w:rsid w:val="572E7D7A"/>
    <w:rsid w:val="5767A8B2"/>
    <w:rsid w:val="578D236B"/>
    <w:rsid w:val="57934739"/>
    <w:rsid w:val="57C6D088"/>
    <w:rsid w:val="57D351CB"/>
    <w:rsid w:val="57E70674"/>
    <w:rsid w:val="57F129F4"/>
    <w:rsid w:val="582971D0"/>
    <w:rsid w:val="5831B705"/>
    <w:rsid w:val="587B8A0D"/>
    <w:rsid w:val="5896B885"/>
    <w:rsid w:val="58E5871C"/>
    <w:rsid w:val="590AAEFB"/>
    <w:rsid w:val="593B08C6"/>
    <w:rsid w:val="59BA86DD"/>
    <w:rsid w:val="59D8208C"/>
    <w:rsid w:val="59E52AF8"/>
    <w:rsid w:val="59FE5CEC"/>
    <w:rsid w:val="5ADA5849"/>
    <w:rsid w:val="5B441AAA"/>
    <w:rsid w:val="5B46F290"/>
    <w:rsid w:val="5B6BCB09"/>
    <w:rsid w:val="5B6F37E2"/>
    <w:rsid w:val="5B75662D"/>
    <w:rsid w:val="5C353E89"/>
    <w:rsid w:val="5C65F9EA"/>
    <w:rsid w:val="5C8BE069"/>
    <w:rsid w:val="5CA788D5"/>
    <w:rsid w:val="5CABB05B"/>
    <w:rsid w:val="5CE7CC87"/>
    <w:rsid w:val="5D445133"/>
    <w:rsid w:val="5D7D624C"/>
    <w:rsid w:val="5DD03FC5"/>
    <w:rsid w:val="5E12C183"/>
    <w:rsid w:val="5E255BB5"/>
    <w:rsid w:val="5E34F0D3"/>
    <w:rsid w:val="5E544B9A"/>
    <w:rsid w:val="5E68870E"/>
    <w:rsid w:val="5EB109E3"/>
    <w:rsid w:val="5ECBC6C8"/>
    <w:rsid w:val="5ED7393E"/>
    <w:rsid w:val="5F0F1F7C"/>
    <w:rsid w:val="5F1BA405"/>
    <w:rsid w:val="5F50F190"/>
    <w:rsid w:val="5F595BA5"/>
    <w:rsid w:val="5F750D39"/>
    <w:rsid w:val="5F8E55F0"/>
    <w:rsid w:val="5FB496CF"/>
    <w:rsid w:val="5FCA32B4"/>
    <w:rsid w:val="5FFA9B83"/>
    <w:rsid w:val="601DFAD8"/>
    <w:rsid w:val="60232BC0"/>
    <w:rsid w:val="605253C9"/>
    <w:rsid w:val="609E981D"/>
    <w:rsid w:val="60A2AA08"/>
    <w:rsid w:val="60B9263E"/>
    <w:rsid w:val="60E0AC7E"/>
    <w:rsid w:val="60E32A67"/>
    <w:rsid w:val="610408B0"/>
    <w:rsid w:val="619D4EA5"/>
    <w:rsid w:val="621DADE8"/>
    <w:rsid w:val="625A7FDC"/>
    <w:rsid w:val="62842586"/>
    <w:rsid w:val="6284E765"/>
    <w:rsid w:val="628EC577"/>
    <w:rsid w:val="62AEA411"/>
    <w:rsid w:val="62C59A5A"/>
    <w:rsid w:val="62D2C5BD"/>
    <w:rsid w:val="62D50336"/>
    <w:rsid w:val="62EA6C11"/>
    <w:rsid w:val="6325F31D"/>
    <w:rsid w:val="635487D6"/>
    <w:rsid w:val="637DCD2E"/>
    <w:rsid w:val="63823B43"/>
    <w:rsid w:val="63A2F06C"/>
    <w:rsid w:val="63C557C4"/>
    <w:rsid w:val="6489B735"/>
    <w:rsid w:val="648B4192"/>
    <w:rsid w:val="648CB3CF"/>
    <w:rsid w:val="64A7FE98"/>
    <w:rsid w:val="64B80111"/>
    <w:rsid w:val="65016EAB"/>
    <w:rsid w:val="6557176C"/>
    <w:rsid w:val="6565E566"/>
    <w:rsid w:val="65B77618"/>
    <w:rsid w:val="6604F994"/>
    <w:rsid w:val="6613A735"/>
    <w:rsid w:val="661B960C"/>
    <w:rsid w:val="663B94FF"/>
    <w:rsid w:val="667A9543"/>
    <w:rsid w:val="669C2ED0"/>
    <w:rsid w:val="66B30D04"/>
    <w:rsid w:val="66F8C3EA"/>
    <w:rsid w:val="67039062"/>
    <w:rsid w:val="673342EB"/>
    <w:rsid w:val="6782069C"/>
    <w:rsid w:val="679D3E76"/>
    <w:rsid w:val="6807E06A"/>
    <w:rsid w:val="6813B5D1"/>
    <w:rsid w:val="68B1A0D7"/>
    <w:rsid w:val="68BF3129"/>
    <w:rsid w:val="68E859A2"/>
    <w:rsid w:val="68F62F4C"/>
    <w:rsid w:val="690DF2A1"/>
    <w:rsid w:val="692AC74E"/>
    <w:rsid w:val="693DBAE9"/>
    <w:rsid w:val="69F46419"/>
    <w:rsid w:val="69F68895"/>
    <w:rsid w:val="6A0AFFFB"/>
    <w:rsid w:val="6AA6A995"/>
    <w:rsid w:val="6AB52073"/>
    <w:rsid w:val="6AED512A"/>
    <w:rsid w:val="6AF3CE0F"/>
    <w:rsid w:val="6B427FAF"/>
    <w:rsid w:val="6B8C979C"/>
    <w:rsid w:val="6B91CBDC"/>
    <w:rsid w:val="6BB19BB7"/>
    <w:rsid w:val="6BB509DD"/>
    <w:rsid w:val="6C247CE8"/>
    <w:rsid w:val="6C2AEB2D"/>
    <w:rsid w:val="6C38297C"/>
    <w:rsid w:val="6C417687"/>
    <w:rsid w:val="6C504BC3"/>
    <w:rsid w:val="6C7175F2"/>
    <w:rsid w:val="6C950854"/>
    <w:rsid w:val="6CF8B397"/>
    <w:rsid w:val="6D06AAB1"/>
    <w:rsid w:val="6D1FEA84"/>
    <w:rsid w:val="6DAF22B4"/>
    <w:rsid w:val="6DC67AA8"/>
    <w:rsid w:val="6DC91087"/>
    <w:rsid w:val="6DEFA2E3"/>
    <w:rsid w:val="6DF548C0"/>
    <w:rsid w:val="6E4E3FD2"/>
    <w:rsid w:val="6E53A593"/>
    <w:rsid w:val="6E63B87F"/>
    <w:rsid w:val="6E8FFEAB"/>
    <w:rsid w:val="6EA60ACC"/>
    <w:rsid w:val="6EC06C99"/>
    <w:rsid w:val="6ED63477"/>
    <w:rsid w:val="6F15E731"/>
    <w:rsid w:val="6F26BC0B"/>
    <w:rsid w:val="6F34463D"/>
    <w:rsid w:val="6F69244C"/>
    <w:rsid w:val="6F7E3913"/>
    <w:rsid w:val="6F8868CF"/>
    <w:rsid w:val="6FC05E58"/>
    <w:rsid w:val="6FC9CD32"/>
    <w:rsid w:val="6FE8BC1A"/>
    <w:rsid w:val="6FFCAB7C"/>
    <w:rsid w:val="7027C06C"/>
    <w:rsid w:val="70496032"/>
    <w:rsid w:val="704D0BFB"/>
    <w:rsid w:val="705C1F95"/>
    <w:rsid w:val="706C6897"/>
    <w:rsid w:val="70EAB0A7"/>
    <w:rsid w:val="711E5796"/>
    <w:rsid w:val="7123EFCB"/>
    <w:rsid w:val="71ADDD8B"/>
    <w:rsid w:val="722B6C23"/>
    <w:rsid w:val="7275E779"/>
    <w:rsid w:val="72AF1971"/>
    <w:rsid w:val="72F37110"/>
    <w:rsid w:val="737176D7"/>
    <w:rsid w:val="737309D6"/>
    <w:rsid w:val="737F3E62"/>
    <w:rsid w:val="739F1411"/>
    <w:rsid w:val="73D88B1D"/>
    <w:rsid w:val="73EF4A2C"/>
    <w:rsid w:val="741691A4"/>
    <w:rsid w:val="741BFEC6"/>
    <w:rsid w:val="7422EE64"/>
    <w:rsid w:val="746A88DB"/>
    <w:rsid w:val="74AC1170"/>
    <w:rsid w:val="7528273E"/>
    <w:rsid w:val="75503D36"/>
    <w:rsid w:val="75936EC8"/>
    <w:rsid w:val="7614B1D4"/>
    <w:rsid w:val="766E7257"/>
    <w:rsid w:val="77157375"/>
    <w:rsid w:val="773740A5"/>
    <w:rsid w:val="773E6BC3"/>
    <w:rsid w:val="775B019E"/>
    <w:rsid w:val="77B6E20E"/>
    <w:rsid w:val="77D91AAD"/>
    <w:rsid w:val="785654D6"/>
    <w:rsid w:val="78763B19"/>
    <w:rsid w:val="788F7A74"/>
    <w:rsid w:val="78A3E9D3"/>
    <w:rsid w:val="79072077"/>
    <w:rsid w:val="79164C06"/>
    <w:rsid w:val="792132C8"/>
    <w:rsid w:val="795D0B88"/>
    <w:rsid w:val="799578F5"/>
    <w:rsid w:val="7997990B"/>
    <w:rsid w:val="79EFC61D"/>
    <w:rsid w:val="7A152CAB"/>
    <w:rsid w:val="7A1940AD"/>
    <w:rsid w:val="7A1C7A14"/>
    <w:rsid w:val="7A4AEAB1"/>
    <w:rsid w:val="7A91A225"/>
    <w:rsid w:val="7AA66F61"/>
    <w:rsid w:val="7AB75007"/>
    <w:rsid w:val="7AD400F5"/>
    <w:rsid w:val="7AFEB520"/>
    <w:rsid w:val="7B032A4D"/>
    <w:rsid w:val="7B29B84A"/>
    <w:rsid w:val="7B8C8669"/>
    <w:rsid w:val="7B91FE1D"/>
    <w:rsid w:val="7BA9C3EC"/>
    <w:rsid w:val="7BB9C91E"/>
    <w:rsid w:val="7BE5AAC8"/>
    <w:rsid w:val="7C1C0C70"/>
    <w:rsid w:val="7C2704F3"/>
    <w:rsid w:val="7C2D4F98"/>
    <w:rsid w:val="7C47906E"/>
    <w:rsid w:val="7C7E881E"/>
    <w:rsid w:val="7C87B578"/>
    <w:rsid w:val="7CBE5934"/>
    <w:rsid w:val="7CF60364"/>
    <w:rsid w:val="7D0AD999"/>
    <w:rsid w:val="7D1EABFB"/>
    <w:rsid w:val="7D2437DF"/>
    <w:rsid w:val="7DAF55A8"/>
    <w:rsid w:val="7DCEFBD0"/>
    <w:rsid w:val="7DDDE0E5"/>
    <w:rsid w:val="7E51CBC0"/>
    <w:rsid w:val="7E5984FE"/>
    <w:rsid w:val="7E8C7052"/>
    <w:rsid w:val="7ECF02D4"/>
    <w:rsid w:val="7EFAE7A0"/>
    <w:rsid w:val="7F13A699"/>
    <w:rsid w:val="7F3C72F4"/>
    <w:rsid w:val="7F7C6986"/>
    <w:rsid w:val="7F84D2CB"/>
    <w:rsid w:val="7FA573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FBE80"/>
  <w15:docId w15:val="{2EAA1736-05A5-473C-9E84-38E8EB21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384"/>
    <w:pPr>
      <w:spacing w:line="288" w:lineRule="auto"/>
    </w:pPr>
    <w:rPr>
      <w:rFonts w:ascii="Helvetica Neue" w:hAnsi="Helvetica Neue"/>
      <w:color w:val="041019"/>
      <w:sz w:val="22"/>
    </w:rPr>
  </w:style>
  <w:style w:type="paragraph" w:styleId="Heading1">
    <w:name w:val="heading 1"/>
    <w:basedOn w:val="Normal"/>
    <w:uiPriority w:val="9"/>
    <w:qFormat/>
    <w:rsid w:val="00290817"/>
    <w:pPr>
      <w:spacing w:before="240" w:after="240"/>
      <w:outlineLvl w:val="0"/>
    </w:pPr>
    <w:rPr>
      <w:sz w:val="28"/>
    </w:rPr>
  </w:style>
  <w:style w:type="paragraph" w:styleId="Heading2">
    <w:name w:val="heading 2"/>
    <w:basedOn w:val="Normal"/>
    <w:uiPriority w:val="9"/>
    <w:unhideWhenUsed/>
    <w:qFormat/>
    <w:rsid w:val="00731BEB"/>
    <w:pPr>
      <w:outlineLvl w:val="1"/>
    </w:pPr>
    <w:rPr>
      <w:b/>
      <w:bCs/>
      <w:iCs/>
    </w:rPr>
  </w:style>
  <w:style w:type="paragraph" w:styleId="Heading3">
    <w:name w:val="heading 3"/>
    <w:basedOn w:val="Normal"/>
    <w:next w:val="Normal"/>
    <w:link w:val="Heading3Char"/>
    <w:uiPriority w:val="9"/>
    <w:unhideWhenUsed/>
    <w:qFormat/>
    <w:rsid w:val="00127227"/>
    <w:pPr>
      <w:keepNext/>
      <w:keepLines/>
      <w:spacing w:before="40"/>
      <w:outlineLvl w:val="2"/>
    </w:pPr>
    <w:rPr>
      <w:rFonts w:eastAsiaTheme="majorEastAsia" w:cs="Times New Roman (Headings CS)"/>
      <w:b/>
      <w:bCs/>
      <w:smallCaps/>
      <w:color w:val="000000" w:themeColor="text1"/>
      <w:sz w:val="20"/>
      <w:szCs w:val="24"/>
    </w:rPr>
  </w:style>
  <w:style w:type="paragraph" w:styleId="Heading4">
    <w:name w:val="heading 4"/>
    <w:basedOn w:val="Normal"/>
    <w:next w:val="Normal"/>
    <w:link w:val="Heading4Char"/>
    <w:uiPriority w:val="9"/>
    <w:unhideWhenUsed/>
    <w:qFormat/>
    <w:rsid w:val="002A20D4"/>
    <w:pPr>
      <w:keepNext/>
      <w:keepLines/>
      <w:spacing w:before="40"/>
      <w:outlineLvl w:val="3"/>
    </w:pPr>
    <w:rPr>
      <w:rFonts w:eastAsiaTheme="majorEastAsia" w:cs="Times New Roman (Headings CS)"/>
      <w:iCs/>
      <w:smallCaps/>
      <w:color w:val="BF4E14" w:themeColor="accent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Text">
    <w:name w:val="Note Text"/>
    <w:qFormat/>
    <w:pPr>
      <w:spacing w:line="264" w:lineRule="auto"/>
    </w:pPr>
    <w:rPr>
      <w:rFonts w:ascii="Helvetica Neue" w:hAnsi="Helvetica Neue"/>
      <w:i/>
      <w:color w:val="676767"/>
      <w:sz w:val="26"/>
    </w:rPr>
  </w:style>
  <w:style w:type="character" w:styleId="Hyperlink">
    <w:name w:val="Hyperlink"/>
    <w:uiPriority w:val="99"/>
    <w:rPr>
      <w:color w:val="467886" w:themeColor="hyperlink"/>
      <w:u w:val="single"/>
    </w:rPr>
  </w:style>
  <w:style w:type="paragraph" w:styleId="ListParagraph">
    <w:name w:val="List Paragraph"/>
    <w:basedOn w:val="Normal"/>
    <w:uiPriority w:val="34"/>
    <w:qFormat/>
    <w:rsid w:val="0095794E"/>
    <w:pPr>
      <w:ind w:left="720"/>
      <w:contextualSpacing/>
    </w:pPr>
  </w:style>
  <w:style w:type="character" w:customStyle="1" w:styleId="Heading3Char">
    <w:name w:val="Heading 3 Char"/>
    <w:basedOn w:val="DefaultParagraphFont"/>
    <w:link w:val="Heading3"/>
    <w:uiPriority w:val="9"/>
    <w:rsid w:val="00905796"/>
    <w:rPr>
      <w:rFonts w:ascii="Helvetica Neue" w:eastAsiaTheme="majorEastAsia" w:hAnsi="Helvetica Neue" w:cs="Times New Roman (Headings CS)"/>
      <w:b/>
      <w:bCs/>
      <w:smallCaps/>
      <w:color w:val="000000" w:themeColor="text1"/>
      <w:szCs w:val="24"/>
    </w:rPr>
  </w:style>
  <w:style w:type="character" w:customStyle="1" w:styleId="Heading4Char">
    <w:name w:val="Heading 4 Char"/>
    <w:basedOn w:val="DefaultParagraphFont"/>
    <w:link w:val="Heading4"/>
    <w:uiPriority w:val="9"/>
    <w:rsid w:val="002A20D4"/>
    <w:rPr>
      <w:rFonts w:ascii="Helvetica Neue" w:eastAsiaTheme="majorEastAsia" w:hAnsi="Helvetica Neue" w:cs="Times New Roman (Headings CS)"/>
      <w:iCs/>
      <w:smallCaps/>
      <w:color w:val="BF4E14" w:themeColor="accent2" w:themeShade="BF"/>
    </w:rPr>
  </w:style>
  <w:style w:type="character" w:styleId="CommentReference">
    <w:name w:val="annotation reference"/>
    <w:basedOn w:val="DefaultParagraphFont"/>
    <w:uiPriority w:val="99"/>
    <w:semiHidden/>
    <w:unhideWhenUsed/>
    <w:rsid w:val="00914511"/>
    <w:rPr>
      <w:sz w:val="16"/>
      <w:szCs w:val="16"/>
    </w:rPr>
  </w:style>
  <w:style w:type="paragraph" w:styleId="CommentText">
    <w:name w:val="annotation text"/>
    <w:basedOn w:val="Normal"/>
    <w:link w:val="CommentTextChar"/>
    <w:uiPriority w:val="99"/>
    <w:unhideWhenUsed/>
    <w:rsid w:val="00914511"/>
    <w:pPr>
      <w:spacing w:line="240" w:lineRule="auto"/>
    </w:pPr>
    <w:rPr>
      <w:sz w:val="20"/>
    </w:rPr>
  </w:style>
  <w:style w:type="character" w:customStyle="1" w:styleId="CommentTextChar">
    <w:name w:val="Comment Text Char"/>
    <w:basedOn w:val="DefaultParagraphFont"/>
    <w:link w:val="CommentText"/>
    <w:uiPriority w:val="99"/>
    <w:rsid w:val="00914511"/>
    <w:rPr>
      <w:rFonts w:ascii="Helvetica Neue" w:hAnsi="Helvetica Neue"/>
      <w:color w:val="041019"/>
    </w:rPr>
  </w:style>
  <w:style w:type="paragraph" w:styleId="CommentSubject">
    <w:name w:val="annotation subject"/>
    <w:basedOn w:val="CommentText"/>
    <w:next w:val="CommentText"/>
    <w:link w:val="CommentSubjectChar"/>
    <w:uiPriority w:val="99"/>
    <w:semiHidden/>
    <w:unhideWhenUsed/>
    <w:rsid w:val="00914511"/>
    <w:rPr>
      <w:b/>
      <w:bCs/>
    </w:rPr>
  </w:style>
  <w:style w:type="character" w:customStyle="1" w:styleId="CommentSubjectChar">
    <w:name w:val="Comment Subject Char"/>
    <w:basedOn w:val="CommentTextChar"/>
    <w:link w:val="CommentSubject"/>
    <w:uiPriority w:val="99"/>
    <w:semiHidden/>
    <w:rsid w:val="00914511"/>
    <w:rPr>
      <w:rFonts w:ascii="Helvetica Neue" w:hAnsi="Helvetica Neue"/>
      <w:b/>
      <w:bCs/>
      <w:color w:val="041019"/>
    </w:rPr>
  </w:style>
  <w:style w:type="character" w:styleId="Mention">
    <w:name w:val="Mention"/>
    <w:basedOn w:val="DefaultParagraphFont"/>
    <w:uiPriority w:val="99"/>
    <w:unhideWhenUsed/>
    <w:rsid w:val="00030C1E"/>
    <w:rPr>
      <w:color w:val="2B579A"/>
      <w:shd w:val="clear" w:color="auto" w:fill="E1DFDD"/>
    </w:rPr>
  </w:style>
  <w:style w:type="paragraph" w:styleId="Revision">
    <w:name w:val="Revision"/>
    <w:hidden/>
    <w:uiPriority w:val="99"/>
    <w:semiHidden/>
    <w:rsid w:val="00291871"/>
    <w:rPr>
      <w:rFonts w:ascii="Helvetica Neue" w:hAnsi="Helvetica Neue"/>
      <w:color w:val="041019"/>
      <w:sz w:val="22"/>
    </w:rPr>
  </w:style>
  <w:style w:type="character" w:styleId="UnresolvedMention">
    <w:name w:val="Unresolved Mention"/>
    <w:basedOn w:val="DefaultParagraphFont"/>
    <w:uiPriority w:val="99"/>
    <w:semiHidden/>
    <w:unhideWhenUsed/>
    <w:rsid w:val="00FA03CD"/>
    <w:rPr>
      <w:color w:val="605E5C"/>
      <w:shd w:val="clear" w:color="auto" w:fill="E1DFDD"/>
    </w:rPr>
  </w:style>
  <w:style w:type="paragraph" w:styleId="NormalWeb">
    <w:name w:val="Normal (Web)"/>
    <w:basedOn w:val="Normal"/>
    <w:uiPriority w:val="99"/>
    <w:unhideWhenUsed/>
    <w:rsid w:val="00616EC6"/>
    <w:pPr>
      <w:spacing w:before="100" w:beforeAutospacing="1" w:after="100" w:afterAutospacing="1" w:line="240" w:lineRule="auto"/>
    </w:pPr>
    <w:rPr>
      <w:rFonts w:ascii="Times New Roman" w:hAnsi="Times New Roman"/>
      <w:color w:val="auto"/>
      <w:sz w:val="24"/>
      <w:szCs w:val="24"/>
    </w:rPr>
  </w:style>
  <w:style w:type="table" w:styleId="TableGridLight">
    <w:name w:val="Grid Table Light"/>
    <w:basedOn w:val="TableNormal"/>
    <w:uiPriority w:val="40"/>
    <w:rsid w:val="00CD3E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F20F0"/>
    <w:rPr>
      <w:color w:val="96607D" w:themeColor="followedHyperlink"/>
      <w:u w:val="single"/>
    </w:rPr>
  </w:style>
  <w:style w:type="paragraph" w:styleId="Bibliography">
    <w:name w:val="Bibliography"/>
    <w:basedOn w:val="Normal"/>
    <w:next w:val="Normal"/>
    <w:uiPriority w:val="37"/>
    <w:unhideWhenUsed/>
    <w:rsid w:val="0030015E"/>
    <w:pPr>
      <w:tabs>
        <w:tab w:val="left" w:pos="500"/>
      </w:tabs>
      <w:spacing w:line="480" w:lineRule="auto"/>
      <w:ind w:left="504" w:hanging="504"/>
    </w:pPr>
  </w:style>
  <w:style w:type="paragraph" w:styleId="Footer">
    <w:name w:val="footer"/>
    <w:basedOn w:val="Normal"/>
    <w:link w:val="FooterChar"/>
    <w:uiPriority w:val="99"/>
    <w:unhideWhenUsed/>
    <w:rsid w:val="00F43091"/>
    <w:pPr>
      <w:tabs>
        <w:tab w:val="center" w:pos="4513"/>
        <w:tab w:val="right" w:pos="9026"/>
      </w:tabs>
      <w:spacing w:line="240" w:lineRule="auto"/>
    </w:pPr>
  </w:style>
  <w:style w:type="character" w:customStyle="1" w:styleId="FooterChar">
    <w:name w:val="Footer Char"/>
    <w:basedOn w:val="DefaultParagraphFont"/>
    <w:link w:val="Footer"/>
    <w:uiPriority w:val="99"/>
    <w:rsid w:val="00F43091"/>
    <w:rPr>
      <w:rFonts w:ascii="Helvetica Neue" w:hAnsi="Helvetica Neue"/>
      <w:color w:val="041019"/>
      <w:sz w:val="22"/>
    </w:rPr>
  </w:style>
  <w:style w:type="character" w:styleId="PageNumber">
    <w:name w:val="page number"/>
    <w:basedOn w:val="DefaultParagraphFont"/>
    <w:uiPriority w:val="99"/>
    <w:semiHidden/>
    <w:unhideWhenUsed/>
    <w:rsid w:val="00F43091"/>
  </w:style>
  <w:style w:type="paragraph" w:styleId="Header">
    <w:name w:val="header"/>
    <w:basedOn w:val="Normal"/>
    <w:link w:val="HeaderChar"/>
    <w:uiPriority w:val="99"/>
    <w:unhideWhenUsed/>
    <w:rsid w:val="00304181"/>
    <w:pPr>
      <w:tabs>
        <w:tab w:val="center" w:pos="4513"/>
        <w:tab w:val="right" w:pos="9026"/>
      </w:tabs>
      <w:spacing w:line="240" w:lineRule="auto"/>
    </w:pPr>
  </w:style>
  <w:style w:type="character" w:customStyle="1" w:styleId="HeaderChar">
    <w:name w:val="Header Char"/>
    <w:basedOn w:val="DefaultParagraphFont"/>
    <w:link w:val="Header"/>
    <w:uiPriority w:val="99"/>
    <w:rsid w:val="00304181"/>
    <w:rPr>
      <w:rFonts w:ascii="Helvetica Neue" w:hAnsi="Helvetica Neue"/>
      <w:color w:val="041019"/>
      <w:sz w:val="22"/>
    </w:rPr>
  </w:style>
  <w:style w:type="table" w:styleId="TableGrid">
    <w:name w:val="Table Grid"/>
    <w:basedOn w:val="TableNormal"/>
    <w:uiPriority w:val="39"/>
    <w:rsid w:val="00542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Heading3"/>
    <w:next w:val="Normal"/>
    <w:uiPriority w:val="35"/>
    <w:unhideWhenUsed/>
    <w:qFormat/>
    <w:rsid w:val="00DD7124"/>
  </w:style>
  <w:style w:type="paragraph" w:styleId="EndnoteText">
    <w:name w:val="endnote text"/>
    <w:basedOn w:val="Normal"/>
    <w:link w:val="EndnoteTextChar"/>
    <w:uiPriority w:val="99"/>
    <w:semiHidden/>
    <w:unhideWhenUsed/>
    <w:rsid w:val="00DD2DFC"/>
    <w:pPr>
      <w:spacing w:line="240" w:lineRule="auto"/>
    </w:pPr>
    <w:rPr>
      <w:sz w:val="20"/>
    </w:rPr>
  </w:style>
  <w:style w:type="character" w:customStyle="1" w:styleId="EndnoteTextChar">
    <w:name w:val="Endnote Text Char"/>
    <w:basedOn w:val="DefaultParagraphFont"/>
    <w:link w:val="EndnoteText"/>
    <w:uiPriority w:val="99"/>
    <w:semiHidden/>
    <w:rsid w:val="00DD2DFC"/>
    <w:rPr>
      <w:rFonts w:ascii="Helvetica Neue" w:hAnsi="Helvetica Neue"/>
      <w:color w:val="041019"/>
    </w:rPr>
  </w:style>
  <w:style w:type="character" w:styleId="EndnoteReference">
    <w:name w:val="endnote reference"/>
    <w:basedOn w:val="DefaultParagraphFont"/>
    <w:uiPriority w:val="99"/>
    <w:semiHidden/>
    <w:unhideWhenUsed/>
    <w:rsid w:val="00DD2DFC"/>
    <w:rPr>
      <w:vertAlign w:val="superscript"/>
    </w:rPr>
  </w:style>
  <w:style w:type="character" w:customStyle="1" w:styleId="apple-converted-space">
    <w:name w:val="apple-converted-space"/>
    <w:basedOn w:val="DefaultParagraphFont"/>
    <w:rsid w:val="00065FAE"/>
  </w:style>
  <w:style w:type="paragraph" w:styleId="TableofFigures">
    <w:name w:val="table of figures"/>
    <w:basedOn w:val="Normal"/>
    <w:next w:val="Normal"/>
    <w:uiPriority w:val="99"/>
    <w:unhideWhenUsed/>
    <w:rsid w:val="00E27B48"/>
  </w:style>
  <w:style w:type="numbering" w:customStyle="1" w:styleId="CurrentList1">
    <w:name w:val="Current List1"/>
    <w:uiPriority w:val="99"/>
    <w:rsid w:val="00290817"/>
    <w:pPr>
      <w:numPr>
        <w:numId w:val="10"/>
      </w:numPr>
    </w:pPr>
  </w:style>
  <w:style w:type="paragraph" w:customStyle="1" w:styleId="p1">
    <w:name w:val="p1"/>
    <w:basedOn w:val="Normal"/>
    <w:rsid w:val="009C6384"/>
    <w:pPr>
      <w:spacing w:line="240" w:lineRule="auto"/>
    </w:pPr>
    <w:rPr>
      <w:rFonts w:ascii="Helvetica" w:hAnsi="Helvetica"/>
      <w:color w:val="10101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rlie.wilson@eci.ox.ac.uk"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p.du.edu"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E939498B-D4BA-42C4-8AA2-93952F80A542}">
    <t:Anchor>
      <t:Comment id="1063721730"/>
    </t:Anchor>
    <t:History>
      <t:Event id="{80DD11DC-AA15-4F9F-A3AF-BE05D110078E}" time="2026-02-08T23:53:07.289Z">
        <t:Attribution userId="S::javaid@iiasa.ac.at::b7265fec-a2bc-494b-aee5-bd9dbe74b705" userProvider="AD" userName="JAVAID Aneeque"/>
        <t:Anchor>
          <t:Comment id="1063721730"/>
        </t:Anchor>
        <t:Create/>
      </t:Event>
      <t:Event id="{46F0C994-1555-4E4B-881C-5CFE24406AE8}" time="2026-02-08T23:53:07.289Z">
        <t:Attribution userId="S::javaid@iiasa.ac.at::b7265fec-a2bc-494b-aee5-bd9dbe74b705" userProvider="AD" userName="JAVAID Aneeque"/>
        <t:Anchor>
          <t:Comment id="1063721730"/>
        </t:Anchor>
        <t:Assign userId="S::wilsonch@iiasa.ac.at::9a73c06c-0bd9-4d95-9900-d2edfe82e0a1" userProvider="AD" userName="WILSON Charlie"/>
      </t:Event>
      <t:Event id="{155C37C6-0552-45D2-9905-72767F88ADFF}" time="2026-02-08T23:53:07.289Z">
        <t:Attribution userId="S::javaid@iiasa.ac.at::b7265fec-a2bc-494b-aee5-bd9dbe74b705" userProvider="AD" userName="JAVAID Aneeque"/>
        <t:Anchor>
          <t:Comment id="1063721730"/>
        </t:Anchor>
        <t:SetTitle title="@WILSON Charlie As with ScenarioMIP papers, MESSAGEix-Transport paper is also under construction. I can provide a dummy/preprint citation for now or alternatively redirect to our documentation page. https://docs.messageix.org/projects/models/en/late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319b57-f28a-42fe-9ccc-58328455a7a4">
      <Terms xmlns="http://schemas.microsoft.com/office/infopath/2007/PartnerControls"/>
    </lcf76f155ced4ddcb4097134ff3c332f>
    <TaxCatchAll xmlns="96852c96-925f-42c6-8de4-5388daed78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69EA7082E3D419D89A2F4A325A6C8" ma:contentTypeVersion="16" ma:contentTypeDescription="Create a new document." ma:contentTypeScope="" ma:versionID="34ce47ba4da613a1dc701c8ef64e5993">
  <xsd:schema xmlns:xsd="http://www.w3.org/2001/XMLSchema" xmlns:xs="http://www.w3.org/2001/XMLSchema" xmlns:p="http://schemas.microsoft.com/office/2006/metadata/properties" xmlns:ns2="96852c96-925f-42c6-8de4-5388daed7845" xmlns:ns3="4f319b57-f28a-42fe-9ccc-58328455a7a4" targetNamespace="http://schemas.microsoft.com/office/2006/metadata/properties" ma:root="true" ma:fieldsID="f40f3e31f12cc9f98930accec46f17ca" ns2:_="" ns3:_="">
    <xsd:import namespace="96852c96-925f-42c6-8de4-5388daed7845"/>
    <xsd:import namespace="4f319b57-f28a-42fe-9ccc-58328455a7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2c96-925f-42c6-8de4-5388daed78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becc472-4a51-4978-b57f-24269f81e8f1}" ma:internalName="TaxCatchAll" ma:showField="CatchAllData" ma:web="96852c96-925f-42c6-8de4-5388daed78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319b57-f28a-42fe-9ccc-58328455a7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F4F85-04D0-4835-9B39-234972519A06}">
  <ds:schemaRefs>
    <ds:schemaRef ds:uri="http://schemas.microsoft.com/office/2006/metadata/properties"/>
    <ds:schemaRef ds:uri="http://schemas.microsoft.com/office/infopath/2007/PartnerControls"/>
    <ds:schemaRef ds:uri="4f319b57-f28a-42fe-9ccc-58328455a7a4"/>
    <ds:schemaRef ds:uri="96852c96-925f-42c6-8de4-5388daed7845"/>
  </ds:schemaRefs>
</ds:datastoreItem>
</file>

<file path=customXml/itemProps2.xml><?xml version="1.0" encoding="utf-8"?>
<ds:datastoreItem xmlns:ds="http://schemas.openxmlformats.org/officeDocument/2006/customXml" ds:itemID="{9E679BCB-59C2-470B-9AF6-28EEDFDB2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2c96-925f-42c6-8de4-5388daed7845"/>
    <ds:schemaRef ds:uri="4f319b57-f28a-42fe-9ccc-58328455a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5E467-AFD8-4F43-80CA-2B9499B5856B}">
  <ds:schemaRefs>
    <ds:schemaRef ds:uri="http://schemas.microsoft.com/sharepoint/v3/contenttype/forms"/>
  </ds:schemaRefs>
</ds:datastoreItem>
</file>

<file path=customXml/itemProps4.xml><?xml version="1.0" encoding="utf-8"?>
<ds:datastoreItem xmlns:ds="http://schemas.openxmlformats.org/officeDocument/2006/customXml" ds:itemID="{17DB6C49-7BF6-AC4C-928D-3BB9B5416920}">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20</Pages>
  <Words>8333</Words>
  <Characters>49667</Characters>
  <Application>Microsoft Office Word</Application>
  <DocSecurity>0</DocSecurity>
  <Lines>1910</Lines>
  <Paragraphs>623</Paragraphs>
  <ScaleCrop>false</ScaleCrop>
  <Company/>
  <LinksUpToDate>false</LinksUpToDate>
  <CharactersWithSpaces>57377</CharactersWithSpaces>
  <SharedDoc>false</SharedDoc>
  <HLinks>
    <vt:vector size="138" baseType="variant">
      <vt:variant>
        <vt:i4>1245234</vt:i4>
      </vt:variant>
      <vt:variant>
        <vt:i4>713</vt:i4>
      </vt:variant>
      <vt:variant>
        <vt:i4>0</vt:i4>
      </vt:variant>
      <vt:variant>
        <vt:i4>5</vt:i4>
      </vt:variant>
      <vt:variant>
        <vt:lpwstr/>
      </vt:variant>
      <vt:variant>
        <vt:lpwstr>_Toc221551420</vt:lpwstr>
      </vt:variant>
      <vt:variant>
        <vt:i4>1048626</vt:i4>
      </vt:variant>
      <vt:variant>
        <vt:i4>710</vt:i4>
      </vt:variant>
      <vt:variant>
        <vt:i4>0</vt:i4>
      </vt:variant>
      <vt:variant>
        <vt:i4>5</vt:i4>
      </vt:variant>
      <vt:variant>
        <vt:lpwstr/>
      </vt:variant>
      <vt:variant>
        <vt:lpwstr>_Toc221551419</vt:lpwstr>
      </vt:variant>
      <vt:variant>
        <vt:i4>1048626</vt:i4>
      </vt:variant>
      <vt:variant>
        <vt:i4>707</vt:i4>
      </vt:variant>
      <vt:variant>
        <vt:i4>0</vt:i4>
      </vt:variant>
      <vt:variant>
        <vt:i4>5</vt:i4>
      </vt:variant>
      <vt:variant>
        <vt:lpwstr/>
      </vt:variant>
      <vt:variant>
        <vt:lpwstr>_Toc221551418</vt:lpwstr>
      </vt:variant>
      <vt:variant>
        <vt:i4>1048626</vt:i4>
      </vt:variant>
      <vt:variant>
        <vt:i4>704</vt:i4>
      </vt:variant>
      <vt:variant>
        <vt:i4>0</vt:i4>
      </vt:variant>
      <vt:variant>
        <vt:i4>5</vt:i4>
      </vt:variant>
      <vt:variant>
        <vt:lpwstr/>
      </vt:variant>
      <vt:variant>
        <vt:lpwstr>_Toc221551417</vt:lpwstr>
      </vt:variant>
      <vt:variant>
        <vt:i4>1048626</vt:i4>
      </vt:variant>
      <vt:variant>
        <vt:i4>701</vt:i4>
      </vt:variant>
      <vt:variant>
        <vt:i4>0</vt:i4>
      </vt:variant>
      <vt:variant>
        <vt:i4>5</vt:i4>
      </vt:variant>
      <vt:variant>
        <vt:lpwstr/>
      </vt:variant>
      <vt:variant>
        <vt:lpwstr>_Toc221551416</vt:lpwstr>
      </vt:variant>
      <vt:variant>
        <vt:i4>1048626</vt:i4>
      </vt:variant>
      <vt:variant>
        <vt:i4>698</vt:i4>
      </vt:variant>
      <vt:variant>
        <vt:i4>0</vt:i4>
      </vt:variant>
      <vt:variant>
        <vt:i4>5</vt:i4>
      </vt:variant>
      <vt:variant>
        <vt:lpwstr/>
      </vt:variant>
      <vt:variant>
        <vt:lpwstr>_Toc221551415</vt:lpwstr>
      </vt:variant>
      <vt:variant>
        <vt:i4>1048626</vt:i4>
      </vt:variant>
      <vt:variant>
        <vt:i4>695</vt:i4>
      </vt:variant>
      <vt:variant>
        <vt:i4>0</vt:i4>
      </vt:variant>
      <vt:variant>
        <vt:i4>5</vt:i4>
      </vt:variant>
      <vt:variant>
        <vt:lpwstr/>
      </vt:variant>
      <vt:variant>
        <vt:lpwstr>_Toc221551414</vt:lpwstr>
      </vt:variant>
      <vt:variant>
        <vt:i4>1048626</vt:i4>
      </vt:variant>
      <vt:variant>
        <vt:i4>692</vt:i4>
      </vt:variant>
      <vt:variant>
        <vt:i4>0</vt:i4>
      </vt:variant>
      <vt:variant>
        <vt:i4>5</vt:i4>
      </vt:variant>
      <vt:variant>
        <vt:lpwstr/>
      </vt:variant>
      <vt:variant>
        <vt:lpwstr>_Toc221551413</vt:lpwstr>
      </vt:variant>
      <vt:variant>
        <vt:i4>3014764</vt:i4>
      </vt:variant>
      <vt:variant>
        <vt:i4>612</vt:i4>
      </vt:variant>
      <vt:variant>
        <vt:i4>0</vt:i4>
      </vt:variant>
      <vt:variant>
        <vt:i4>5</vt:i4>
      </vt:variant>
      <vt:variant>
        <vt:lpwstr>https://docs.messageix.org/en/stable/index.html</vt:lpwstr>
      </vt:variant>
      <vt:variant>
        <vt:lpwstr/>
      </vt:variant>
      <vt:variant>
        <vt:i4>4128877</vt:i4>
      </vt:variant>
      <vt:variant>
        <vt:i4>384</vt:i4>
      </vt:variant>
      <vt:variant>
        <vt:i4>0</vt:i4>
      </vt:variant>
      <vt:variant>
        <vt:i4>5</vt:i4>
      </vt:variant>
      <vt:variant>
        <vt:lpwstr>https://sep.du.edu/</vt:lpwstr>
      </vt:variant>
      <vt:variant>
        <vt:lpwstr/>
      </vt:variant>
      <vt:variant>
        <vt:i4>589853</vt:i4>
      </vt:variant>
      <vt:variant>
        <vt:i4>375</vt:i4>
      </vt:variant>
      <vt:variant>
        <vt:i4>0</vt:i4>
      </vt:variant>
      <vt:variant>
        <vt:i4>5</vt:i4>
      </vt:variant>
      <vt:variant>
        <vt:lpwstr>https://www.iea.org/data-and-statistics/data-tools/energy-and-ai-observatory</vt:lpwstr>
      </vt:variant>
      <vt:variant>
        <vt:lpwstr/>
      </vt:variant>
      <vt:variant>
        <vt:i4>8323100</vt:i4>
      </vt:variant>
      <vt:variant>
        <vt:i4>33</vt:i4>
      </vt:variant>
      <vt:variant>
        <vt:i4>0</vt:i4>
      </vt:variant>
      <vt:variant>
        <vt:i4>5</vt:i4>
      </vt:variant>
      <vt:variant>
        <vt:lpwstr>mailto:maczek@iiasa.ac.at</vt:lpwstr>
      </vt:variant>
      <vt:variant>
        <vt:lpwstr/>
      </vt:variant>
      <vt:variant>
        <vt:i4>6619192</vt:i4>
      </vt:variant>
      <vt:variant>
        <vt:i4>30</vt:i4>
      </vt:variant>
      <vt:variant>
        <vt:i4>0</vt:i4>
      </vt:variant>
      <vt:variant>
        <vt:i4>5</vt:i4>
      </vt:variant>
      <vt:variant>
        <vt:lpwstr>https://iopscience.iop.org/article/10.1088/2515-7620/adf60d</vt:lpwstr>
      </vt:variant>
      <vt:variant>
        <vt:lpwstr/>
      </vt:variant>
      <vt:variant>
        <vt:i4>4128877</vt:i4>
      </vt:variant>
      <vt:variant>
        <vt:i4>27</vt:i4>
      </vt:variant>
      <vt:variant>
        <vt:i4>0</vt:i4>
      </vt:variant>
      <vt:variant>
        <vt:i4>5</vt:i4>
      </vt:variant>
      <vt:variant>
        <vt:lpwstr>https://sep.du.edu/</vt:lpwstr>
      </vt:variant>
      <vt:variant>
        <vt:lpwstr/>
      </vt:variant>
      <vt:variant>
        <vt:i4>7012392</vt:i4>
      </vt:variant>
      <vt:variant>
        <vt:i4>24</vt:i4>
      </vt:variant>
      <vt:variant>
        <vt:i4>0</vt:i4>
      </vt:variant>
      <vt:variant>
        <vt:i4>5</vt:i4>
      </vt:variant>
      <vt:variant>
        <vt:lpwstr>https://doi.org/10.3390/su10082816</vt:lpwstr>
      </vt:variant>
      <vt:variant>
        <vt:lpwstr/>
      </vt:variant>
      <vt:variant>
        <vt:i4>6946861</vt:i4>
      </vt:variant>
      <vt:variant>
        <vt:i4>21</vt:i4>
      </vt:variant>
      <vt:variant>
        <vt:i4>0</vt:i4>
      </vt:variant>
      <vt:variant>
        <vt:i4>5</vt:i4>
      </vt:variant>
      <vt:variant>
        <vt:lpwstr>https://www.sciencedirect.com/science/article/abs/pii/030142159390204S</vt:lpwstr>
      </vt:variant>
      <vt:variant>
        <vt:lpwstr/>
      </vt:variant>
      <vt:variant>
        <vt:i4>131102</vt:i4>
      </vt:variant>
      <vt:variant>
        <vt:i4>18</vt:i4>
      </vt:variant>
      <vt:variant>
        <vt:i4>0</vt:i4>
      </vt:variant>
      <vt:variant>
        <vt:i4>5</vt:i4>
      </vt:variant>
      <vt:variant>
        <vt:lpwstr>https://arxiv.org/abs/2505.20377</vt:lpwstr>
      </vt:variant>
      <vt:variant>
        <vt:lpwstr/>
      </vt:variant>
      <vt:variant>
        <vt:i4>983114</vt:i4>
      </vt:variant>
      <vt:variant>
        <vt:i4>15</vt:i4>
      </vt:variant>
      <vt:variant>
        <vt:i4>0</vt:i4>
      </vt:variant>
      <vt:variant>
        <vt:i4>5</vt:i4>
      </vt:variant>
      <vt:variant>
        <vt:lpwstr>https://doi.org/10.2139/ssrn.5736562</vt:lpwstr>
      </vt:variant>
      <vt:variant>
        <vt:lpwstr/>
      </vt:variant>
      <vt:variant>
        <vt:i4>6684713</vt:i4>
      </vt:variant>
      <vt:variant>
        <vt:i4>12</vt:i4>
      </vt:variant>
      <vt:variant>
        <vt:i4>0</vt:i4>
      </vt:variant>
      <vt:variant>
        <vt:i4>5</vt:i4>
      </vt:variant>
      <vt:variant>
        <vt:lpwstr>https://www.iea-4e.org/wp-content/uploads/2025/05/Data-Centre-Energy-Use-Critical-Review-of-Models-and-Results.pdf</vt:lpwstr>
      </vt:variant>
      <vt:variant>
        <vt:lpwstr/>
      </vt:variant>
      <vt:variant>
        <vt:i4>3932267</vt:i4>
      </vt:variant>
      <vt:variant>
        <vt:i4>9</vt:i4>
      </vt:variant>
      <vt:variant>
        <vt:i4>0</vt:i4>
      </vt:variant>
      <vt:variant>
        <vt:i4>5</vt:i4>
      </vt:variant>
      <vt:variant>
        <vt:lpwstr>https://doi.org/10.1145/3401335.3401362</vt:lpwstr>
      </vt:variant>
      <vt:variant>
        <vt:lpwstr/>
      </vt:variant>
      <vt:variant>
        <vt:i4>2621489</vt:i4>
      </vt:variant>
      <vt:variant>
        <vt:i4>6</vt:i4>
      </vt:variant>
      <vt:variant>
        <vt:i4>0</vt:i4>
      </vt:variant>
      <vt:variant>
        <vt:i4>5</vt:i4>
      </vt:variant>
      <vt:variant>
        <vt:lpwstr>https://d1wqtxts1xzle7.cloudfront.net/47022101/2006-10_20Hilty_20et_20al_20Relevance_20of_20ICT_20for_20Environmental_20Sustainability-libre.pdf?1467714086=&amp;response-content-disposition=inline%3B+filename%3DThe_relevance_of_information_and_communi.pdf&amp;Expires=1770534420&amp;Signature=JD5sMFENEi5h7n6fg3cRRlkgutj-jOreps~bWbJXCGfOcgMuFU4SqyDTH-JvyQk7K3qs80VngO~UTXOo0wTrmquG58GeiJLD2P2CBzVSgPg1zgkcm0MU7qzivS9st3SC8l2-CM2FWvFG35bwJV1enGA2lAuS2vDSbS4-dw9RNOS7NRRFlQTV43EJR4BQvhG5yIjU7EwXsSzJJafN8Yh3YZm2dZMPzPvuHlo8r57R3iBMEj5BvfUI6neHkuZjnOzZyrFuWllgL36wlHecIvY0iVErqObDjbh-Pt5bzye8cghbOzBMcrAdLkBpR4UYw3YzdJp3vpLW5Fge3Pi8OrcRqQ__&amp;Key-Pair-Id=APKAJLOHF5GGSLRBV4ZA</vt:lpwstr>
      </vt:variant>
      <vt:variant>
        <vt:lpwstr/>
      </vt:variant>
      <vt:variant>
        <vt:i4>6029406</vt:i4>
      </vt:variant>
      <vt:variant>
        <vt:i4>3</vt:i4>
      </vt:variant>
      <vt:variant>
        <vt:i4>0</vt:i4>
      </vt:variant>
      <vt:variant>
        <vt:i4>5</vt:i4>
      </vt:variant>
      <vt:variant>
        <vt:lpwstr>https://doi.org/10.1016/j.oneear.2023.12.015</vt:lpwstr>
      </vt:variant>
      <vt:variant>
        <vt:lpwstr/>
      </vt:variant>
      <vt:variant>
        <vt:i4>655362</vt:i4>
      </vt:variant>
      <vt:variant>
        <vt:i4>0</vt:i4>
      </vt:variant>
      <vt:variant>
        <vt:i4>0</vt:i4>
      </vt:variant>
      <vt:variant>
        <vt:i4>5</vt:i4>
      </vt:variant>
      <vt:variant>
        <vt:lpwstr>https://scholar.google.com/citations?view_op=view_citation&amp;hl=de&amp;user=gUnA_QQAAAAJ&amp;sortby=pubdate&amp;citation_for_view=gUnA_QQAAAAJ:Xz60mAmATU4C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 Mac</dc:creator>
  <cp:keywords/>
  <cp:lastModifiedBy>CW</cp:lastModifiedBy>
  <cp:revision>15</cp:revision>
  <cp:lastPrinted>2026-02-22T13:59:00Z</cp:lastPrinted>
  <dcterms:created xsi:type="dcterms:W3CDTF">2026-02-22T18:11:00Z</dcterms:created>
  <dcterms:modified xsi:type="dcterms:W3CDTF">2026-02-22T18:35:00Z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0x010100B9C69EA7082E3D419D89A2F4A325A6C8</vt:lpwstr>
  </property>
  <property fmtid="{D5CDD505-2E9C-101B-9397-08002B2CF9AE}" pid="3" name="MediaServiceImageTags">
    <vt:lpwstr/>
  </property>
  <property fmtid="{D5CDD505-2E9C-101B-9397-08002B2CF9AE}" pid="4" name="ZOTERO_PREF_2">
    <vt:lpwstr>e="true"/&gt;&lt;pref name="dontAskDelayCitationUpdates" value="true"/&gt;&lt;/prefs&gt;&lt;/data&gt;</vt:lpwstr>
  </property>
  <property fmtid="{D5CDD505-2E9C-101B-9397-08002B2CF9AE}" pid="5" name="ZOTERO_PREF_1">
    <vt:lpwstr>&lt;data data-version="3" zotero-version="7.0.32"&gt;&lt;session id="U1dijJgB"/&gt;&lt;style id="http://www.zotero.org/styles/nature" hasBibliography="1" bibliographyStyleHasBeenSet="1"/&gt;&lt;prefs&gt;&lt;pref name="fieldType" value="Field"/&gt;&lt;pref name="delayCitationUpdates" valu</vt:lpwstr>
  </property>
</Properties>
</file>