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89AB3" w14:textId="77777777" w:rsidR="000210B2" w:rsidRPr="00DA44BA" w:rsidRDefault="000210B2" w:rsidP="000210B2">
      <w:pPr>
        <w:widowControl w:val="0"/>
        <w:pBdr>
          <w:top w:val="nil"/>
          <w:left w:val="nil"/>
          <w:bottom w:val="nil"/>
          <w:right w:val="nil"/>
          <w:between w:val="nil"/>
        </w:pBdr>
        <w:spacing w:line="480" w:lineRule="auto"/>
        <w:ind w:firstLine="0"/>
        <w:rPr>
          <w:rFonts w:ascii="Times New Roman" w:eastAsia="Times New Roman" w:hAnsi="Times New Roman" w:cs="Times New Roman"/>
          <w:sz w:val="24"/>
          <w:szCs w:val="24"/>
          <w:lang w:val="en-US"/>
        </w:rPr>
      </w:pPr>
      <w:r w:rsidRPr="00DA44BA">
        <w:rPr>
          <w:rFonts w:ascii="Times New Roman" w:eastAsia="Times New Roman" w:hAnsi="Times New Roman" w:cs="Times New Roman"/>
          <w:b/>
          <w:bCs/>
          <w:sz w:val="24"/>
          <w:szCs w:val="24"/>
          <w:lang w:val="en-US"/>
        </w:rPr>
        <w:t>Table 2.</w:t>
      </w:r>
      <w:r w:rsidRPr="00DA44BA">
        <w:rPr>
          <w:rFonts w:ascii="Times New Roman" w:eastAsia="Times New Roman" w:hAnsi="Times New Roman" w:cs="Times New Roman"/>
          <w:sz w:val="24"/>
          <w:szCs w:val="24"/>
          <w:lang w:val="en-US"/>
        </w:rPr>
        <w:t xml:space="preserve"> Data collection procedures and technologies used in the included studies.</w:t>
      </w:r>
    </w:p>
    <w:tbl>
      <w:tblPr>
        <w:tblW w:w="16586" w:type="dxa"/>
        <w:tblInd w:w="-993" w:type="dxa"/>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1844"/>
        <w:gridCol w:w="1985"/>
        <w:gridCol w:w="1002"/>
        <w:gridCol w:w="665"/>
        <w:gridCol w:w="683"/>
        <w:gridCol w:w="700"/>
        <w:gridCol w:w="852"/>
        <w:gridCol w:w="807"/>
        <w:gridCol w:w="2662"/>
        <w:gridCol w:w="851"/>
        <w:gridCol w:w="1197"/>
        <w:gridCol w:w="887"/>
        <w:gridCol w:w="2451"/>
      </w:tblGrid>
      <w:tr w:rsidR="000210B2" w:rsidRPr="00DA44BA" w14:paraId="4CF0FDCA" w14:textId="77777777" w:rsidTr="00A33288">
        <w:trPr>
          <w:trHeight w:val="300"/>
          <w:tblHeader/>
        </w:trPr>
        <w:tc>
          <w:tcPr>
            <w:tcW w:w="1844" w:type="dxa"/>
            <w:vMerge w:val="restart"/>
            <w:noWrap/>
            <w:vAlign w:val="center"/>
            <w:hideMark/>
          </w:tcPr>
          <w:p w14:paraId="26139E0B"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Reference</w:t>
            </w:r>
          </w:p>
        </w:tc>
        <w:tc>
          <w:tcPr>
            <w:tcW w:w="1985" w:type="dxa"/>
            <w:vMerge w:val="restart"/>
            <w:vAlign w:val="center"/>
            <w:hideMark/>
          </w:tcPr>
          <w:p w14:paraId="59A2DDBE"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US"/>
              </w:rPr>
            </w:pPr>
            <w:r w:rsidRPr="00DA44BA">
              <w:rPr>
                <w:rFonts w:ascii="Palatino Linotype" w:eastAsia="Times New Roman" w:hAnsi="Palatino Linotype"/>
                <w:b/>
                <w:bCs/>
                <w:color w:val="000000"/>
                <w:sz w:val="16"/>
                <w:szCs w:val="16"/>
                <w:lang w:val="en-US"/>
              </w:rPr>
              <w:t>Technology system used to collect brain data</w:t>
            </w:r>
          </w:p>
        </w:tc>
        <w:tc>
          <w:tcPr>
            <w:tcW w:w="1002" w:type="dxa"/>
            <w:vMerge w:val="restart"/>
            <w:vAlign w:val="center"/>
            <w:hideMark/>
          </w:tcPr>
          <w:p w14:paraId="5821A261"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Acquisition frequency</w:t>
            </w:r>
          </w:p>
        </w:tc>
        <w:tc>
          <w:tcPr>
            <w:tcW w:w="3707" w:type="dxa"/>
            <w:gridSpan w:val="5"/>
            <w:vAlign w:val="center"/>
            <w:hideMark/>
          </w:tcPr>
          <w:p w14:paraId="1D5F53B5"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US"/>
              </w:rPr>
            </w:pPr>
            <w:r w:rsidRPr="00DA44BA">
              <w:rPr>
                <w:rFonts w:ascii="Palatino Linotype" w:eastAsia="Times New Roman" w:hAnsi="Palatino Linotype"/>
                <w:b/>
                <w:bCs/>
                <w:color w:val="000000"/>
                <w:sz w:val="16"/>
                <w:szCs w:val="16"/>
                <w:lang w:val="en-US"/>
              </w:rPr>
              <w:t>Brain regions of interest (ROIs)</w:t>
            </w:r>
          </w:p>
        </w:tc>
        <w:tc>
          <w:tcPr>
            <w:tcW w:w="2662" w:type="dxa"/>
            <w:vMerge w:val="restart"/>
            <w:noWrap/>
            <w:vAlign w:val="center"/>
            <w:hideMark/>
          </w:tcPr>
          <w:p w14:paraId="6D1B12E1"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Experimental protocol</w:t>
            </w:r>
          </w:p>
        </w:tc>
        <w:tc>
          <w:tcPr>
            <w:tcW w:w="851" w:type="dxa"/>
            <w:vMerge w:val="restart"/>
            <w:vAlign w:val="center"/>
            <w:hideMark/>
          </w:tcPr>
          <w:p w14:paraId="42B0308F"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Limb evaluated</w:t>
            </w:r>
          </w:p>
        </w:tc>
        <w:tc>
          <w:tcPr>
            <w:tcW w:w="1197" w:type="dxa"/>
            <w:vMerge w:val="restart"/>
            <w:vAlign w:val="center"/>
            <w:hideMark/>
          </w:tcPr>
          <w:p w14:paraId="7C43AA4C"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 xml:space="preserve">Environment </w:t>
            </w:r>
          </w:p>
        </w:tc>
        <w:tc>
          <w:tcPr>
            <w:tcW w:w="887" w:type="dxa"/>
            <w:vMerge w:val="restart"/>
            <w:vAlign w:val="center"/>
            <w:hideMark/>
          </w:tcPr>
          <w:p w14:paraId="4AE92955"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Opponent  presence</w:t>
            </w:r>
          </w:p>
        </w:tc>
        <w:tc>
          <w:tcPr>
            <w:tcW w:w="2451" w:type="dxa"/>
            <w:vMerge w:val="restart"/>
            <w:vAlign w:val="center"/>
            <w:hideMark/>
          </w:tcPr>
          <w:p w14:paraId="6DE3884E"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US"/>
              </w:rPr>
            </w:pPr>
            <w:r w:rsidRPr="00DA44BA">
              <w:rPr>
                <w:rFonts w:ascii="Palatino Linotype" w:eastAsia="Times New Roman" w:hAnsi="Palatino Linotype"/>
                <w:b/>
                <w:bCs/>
                <w:color w:val="000000"/>
                <w:sz w:val="16"/>
                <w:szCs w:val="16"/>
                <w:lang w:val="en-US"/>
              </w:rPr>
              <w:t>Technology used for additional measures</w:t>
            </w:r>
          </w:p>
        </w:tc>
      </w:tr>
      <w:tr w:rsidR="000210B2" w:rsidRPr="00DA44BA" w14:paraId="39C805E1" w14:textId="77777777" w:rsidTr="00A33288">
        <w:trPr>
          <w:trHeight w:val="570"/>
        </w:trPr>
        <w:tc>
          <w:tcPr>
            <w:tcW w:w="1844" w:type="dxa"/>
            <w:vMerge/>
            <w:vAlign w:val="center"/>
            <w:hideMark/>
          </w:tcPr>
          <w:p w14:paraId="5445061F"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US"/>
              </w:rPr>
            </w:pPr>
          </w:p>
        </w:tc>
        <w:tc>
          <w:tcPr>
            <w:tcW w:w="1985" w:type="dxa"/>
            <w:vMerge/>
            <w:vAlign w:val="center"/>
            <w:hideMark/>
          </w:tcPr>
          <w:p w14:paraId="7708C7FF"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US"/>
              </w:rPr>
            </w:pPr>
          </w:p>
        </w:tc>
        <w:tc>
          <w:tcPr>
            <w:tcW w:w="1002" w:type="dxa"/>
            <w:vMerge/>
            <w:vAlign w:val="center"/>
            <w:hideMark/>
          </w:tcPr>
          <w:p w14:paraId="26ED81B1"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US"/>
              </w:rPr>
            </w:pPr>
          </w:p>
        </w:tc>
        <w:tc>
          <w:tcPr>
            <w:tcW w:w="665" w:type="dxa"/>
            <w:vAlign w:val="center"/>
            <w:hideMark/>
          </w:tcPr>
          <w:p w14:paraId="0095271D"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Frontal</w:t>
            </w:r>
          </w:p>
        </w:tc>
        <w:tc>
          <w:tcPr>
            <w:tcW w:w="683" w:type="dxa"/>
            <w:vAlign w:val="center"/>
            <w:hideMark/>
          </w:tcPr>
          <w:p w14:paraId="750A45C5"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Central</w:t>
            </w:r>
          </w:p>
        </w:tc>
        <w:tc>
          <w:tcPr>
            <w:tcW w:w="700" w:type="dxa"/>
            <w:vAlign w:val="center"/>
            <w:hideMark/>
          </w:tcPr>
          <w:p w14:paraId="2623864A"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Parietal</w:t>
            </w:r>
          </w:p>
        </w:tc>
        <w:tc>
          <w:tcPr>
            <w:tcW w:w="852" w:type="dxa"/>
            <w:vAlign w:val="center"/>
            <w:hideMark/>
          </w:tcPr>
          <w:p w14:paraId="3BE37D4E"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Temporal</w:t>
            </w:r>
          </w:p>
        </w:tc>
        <w:tc>
          <w:tcPr>
            <w:tcW w:w="807" w:type="dxa"/>
            <w:vAlign w:val="center"/>
            <w:hideMark/>
          </w:tcPr>
          <w:p w14:paraId="214AEA8F" w14:textId="77777777" w:rsidR="000210B2" w:rsidRPr="00DA44BA" w:rsidRDefault="000210B2" w:rsidP="00A33288">
            <w:pPr>
              <w:spacing w:line="240" w:lineRule="auto"/>
              <w:ind w:firstLine="0"/>
              <w:jc w:val="center"/>
              <w:rPr>
                <w:rFonts w:ascii="Palatino Linotype" w:eastAsia="Times New Roman" w:hAnsi="Palatino Linotype"/>
                <w:b/>
                <w:bCs/>
                <w:color w:val="000000"/>
                <w:sz w:val="16"/>
                <w:szCs w:val="16"/>
                <w:lang w:val="en-GB"/>
              </w:rPr>
            </w:pPr>
            <w:r w:rsidRPr="00DA44BA">
              <w:rPr>
                <w:rFonts w:ascii="Palatino Linotype" w:eastAsia="Times New Roman" w:hAnsi="Palatino Linotype"/>
                <w:b/>
                <w:bCs/>
                <w:color w:val="000000"/>
                <w:sz w:val="16"/>
                <w:szCs w:val="16"/>
                <w:lang w:val="en-GB"/>
              </w:rPr>
              <w:t>Occipital</w:t>
            </w:r>
          </w:p>
        </w:tc>
        <w:tc>
          <w:tcPr>
            <w:tcW w:w="2662" w:type="dxa"/>
            <w:vMerge/>
            <w:vAlign w:val="center"/>
            <w:hideMark/>
          </w:tcPr>
          <w:p w14:paraId="521545E4"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GB"/>
              </w:rPr>
            </w:pPr>
          </w:p>
        </w:tc>
        <w:tc>
          <w:tcPr>
            <w:tcW w:w="851" w:type="dxa"/>
            <w:vMerge/>
            <w:vAlign w:val="center"/>
            <w:hideMark/>
          </w:tcPr>
          <w:p w14:paraId="152722C8"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GB"/>
              </w:rPr>
            </w:pPr>
          </w:p>
        </w:tc>
        <w:tc>
          <w:tcPr>
            <w:tcW w:w="1197" w:type="dxa"/>
            <w:vMerge/>
            <w:vAlign w:val="center"/>
            <w:hideMark/>
          </w:tcPr>
          <w:p w14:paraId="196E1C2A"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GB"/>
              </w:rPr>
            </w:pPr>
          </w:p>
        </w:tc>
        <w:tc>
          <w:tcPr>
            <w:tcW w:w="887" w:type="dxa"/>
            <w:vMerge/>
            <w:vAlign w:val="center"/>
            <w:hideMark/>
          </w:tcPr>
          <w:p w14:paraId="303B3201"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GB"/>
              </w:rPr>
            </w:pPr>
          </w:p>
        </w:tc>
        <w:tc>
          <w:tcPr>
            <w:tcW w:w="2451" w:type="dxa"/>
            <w:vMerge/>
            <w:vAlign w:val="center"/>
            <w:hideMark/>
          </w:tcPr>
          <w:p w14:paraId="69FA136C" w14:textId="77777777" w:rsidR="000210B2" w:rsidRPr="00DA44BA" w:rsidRDefault="000210B2" w:rsidP="00A33288">
            <w:pPr>
              <w:spacing w:line="240" w:lineRule="auto"/>
              <w:ind w:firstLine="0"/>
              <w:jc w:val="left"/>
              <w:rPr>
                <w:rFonts w:ascii="Palatino Linotype" w:eastAsia="Times New Roman" w:hAnsi="Palatino Linotype"/>
                <w:b/>
                <w:bCs/>
                <w:color w:val="000000"/>
                <w:sz w:val="16"/>
                <w:szCs w:val="16"/>
                <w:lang w:val="en-GB"/>
              </w:rPr>
            </w:pPr>
          </w:p>
        </w:tc>
      </w:tr>
      <w:tr w:rsidR="000210B2" w:rsidRPr="00DA44BA" w14:paraId="0466177A" w14:textId="77777777" w:rsidTr="00A33288">
        <w:trPr>
          <w:trHeight w:val="1046"/>
        </w:trPr>
        <w:tc>
          <w:tcPr>
            <w:tcW w:w="1844" w:type="dxa"/>
            <w:vAlign w:val="center"/>
            <w:hideMark/>
          </w:tcPr>
          <w:p w14:paraId="499654F1"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n-US"/>
              </w:rPr>
              <w:t xml:space="preserve">Collins et al. </w:t>
            </w:r>
            <w:r w:rsidRPr="00DA44BA">
              <w:rPr>
                <w:rFonts w:ascii="Palatino Linotype" w:eastAsia="Times New Roman" w:hAnsi="Palatino Linotype"/>
                <w:color w:val="000000"/>
                <w:sz w:val="16"/>
                <w:szCs w:val="16"/>
                <w:lang w:val="es-PE"/>
              </w:rPr>
              <w:fldChar w:fldCharType="begin"/>
            </w:r>
            <w:r w:rsidRPr="00DA44BA">
              <w:rPr>
                <w:rFonts w:ascii="Palatino Linotype" w:eastAsia="Times New Roman" w:hAnsi="Palatino Linotype"/>
                <w:color w:val="000000"/>
                <w:sz w:val="16"/>
                <w:szCs w:val="16"/>
                <w:lang w:val="en-US"/>
              </w:rPr>
              <w:instrText xml:space="preserve"> ADDIN ZOTERO_ITEM CSL_CITATION {"citationID":"03emsLec","properties":{"formattedCitation":"[50]","plainCitation":"[50]","noteIndex":0},"citationItems":[{"id":4322,"uris":["http://zotero.org/users/17215328/items/YVW23U56"],"itemData":{"id":4322,"type":"article-journal","abstract":"Cerebral activity, as reflected by power in the alpha waveband (8-13 Hz), was examined prior to the performance of three tasks with different effort and accuracy requirements. The study aimed to further investigate changes in activity observed in an earlier study in which expert karate performers exhibited significant increases in alpha band power during preparation for a training task. In contrast to the earlier research, the high effort task produced a significant decrease in 'alpha' power prior to performance. 'Alpha' power prior to the high accuracy task showed significant differences mediated by the outcome. Successful performance was preceded by higher levels of 'alpha' power than unsuccessful attempts. The reported use of a cognitive strategy on the first task produced a significant difference in activity, lower alpha power being associated with the use of such a technique.","container-title":"Journal of Sports Sciences","DOI":"10.1080/02640419108729892","ISSN":"0264-0414","issue":"3","journalAbbreviation":"J Sports Sci","language":"eng","page":"313-324","PMID":"1960801","source":"PubMed","title":"Cerebral activity prior to motion task performance: an electroencephalographic study","title-short":"Cerebral activity prior to motion task performance","volume":"9","author":[{"family":"Collins","given":"D."},{"family":"Powell","given":"G."},{"family":"Davies","given":"I."}],"issued":{"date-parts":[["1991"]]}}}],"schema":"https://github.com/citation-style-language/schema/raw/master/csl-citation.json"} </w:instrText>
            </w:r>
            <w:r w:rsidRPr="00DA44BA">
              <w:rPr>
                <w:rFonts w:ascii="Palatino Linotype" w:eastAsia="Times New Roman" w:hAnsi="Palatino Linotype"/>
                <w:color w:val="000000"/>
                <w:sz w:val="16"/>
                <w:szCs w:val="16"/>
                <w:lang w:val="es-PE"/>
              </w:rPr>
              <w:fldChar w:fldCharType="separate"/>
            </w:r>
            <w:r w:rsidRPr="00DA44BA">
              <w:rPr>
                <w:rFonts w:ascii="Palatino Linotype" w:hAnsi="Palatino Linotype"/>
                <w:sz w:val="16"/>
              </w:rPr>
              <w:t>[50]</w:t>
            </w:r>
            <w:r w:rsidRPr="00DA44BA">
              <w:rPr>
                <w:rFonts w:ascii="Palatino Linotype" w:eastAsia="Times New Roman" w:hAnsi="Palatino Linotype"/>
                <w:color w:val="000000"/>
                <w:sz w:val="16"/>
                <w:szCs w:val="16"/>
                <w:lang w:val="es-PE"/>
              </w:rPr>
              <w:fldChar w:fldCharType="end"/>
            </w:r>
          </w:p>
        </w:tc>
        <w:tc>
          <w:tcPr>
            <w:tcW w:w="1985" w:type="dxa"/>
            <w:vAlign w:val="center"/>
            <w:hideMark/>
          </w:tcPr>
          <w:p w14:paraId="274570FA"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EEG - unspecified</w:t>
            </w:r>
          </w:p>
        </w:tc>
        <w:tc>
          <w:tcPr>
            <w:tcW w:w="1002" w:type="dxa"/>
            <w:vAlign w:val="center"/>
            <w:hideMark/>
          </w:tcPr>
          <w:p w14:paraId="2E0BEEFA"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250 Hz</w:t>
            </w:r>
          </w:p>
        </w:tc>
        <w:tc>
          <w:tcPr>
            <w:tcW w:w="665" w:type="dxa"/>
            <w:vAlign w:val="center"/>
            <w:hideMark/>
          </w:tcPr>
          <w:p w14:paraId="1ADBC397"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p>
        </w:tc>
        <w:tc>
          <w:tcPr>
            <w:tcW w:w="683" w:type="dxa"/>
            <w:noWrap/>
            <w:vAlign w:val="center"/>
            <w:hideMark/>
          </w:tcPr>
          <w:p w14:paraId="7BEB385E"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700" w:type="dxa"/>
            <w:noWrap/>
            <w:vAlign w:val="center"/>
            <w:hideMark/>
          </w:tcPr>
          <w:p w14:paraId="09DE570D"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852" w:type="dxa"/>
            <w:noWrap/>
            <w:vAlign w:val="center"/>
            <w:hideMark/>
          </w:tcPr>
          <w:p w14:paraId="31BE4C97"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807" w:type="dxa"/>
            <w:vAlign w:val="center"/>
            <w:hideMark/>
          </w:tcPr>
          <w:p w14:paraId="6C8CFF8A"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2662" w:type="dxa"/>
            <w:vAlign w:val="center"/>
            <w:hideMark/>
          </w:tcPr>
          <w:p w14:paraId="7834444B"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6 trials (three on each foot) kicking a stationary soccer ball between two cones placed 30 cm apart at a distance of 7 m</w:t>
            </w:r>
          </w:p>
        </w:tc>
        <w:tc>
          <w:tcPr>
            <w:tcW w:w="851" w:type="dxa"/>
            <w:vAlign w:val="center"/>
            <w:hideMark/>
          </w:tcPr>
          <w:p w14:paraId="082CF87F"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Both preferred and non-preferred</w:t>
            </w:r>
          </w:p>
        </w:tc>
        <w:tc>
          <w:tcPr>
            <w:tcW w:w="1197" w:type="dxa"/>
            <w:vAlign w:val="center"/>
            <w:hideMark/>
          </w:tcPr>
          <w:p w14:paraId="4045CE5E"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Unspecified</w:t>
            </w:r>
          </w:p>
        </w:tc>
        <w:tc>
          <w:tcPr>
            <w:tcW w:w="887" w:type="dxa"/>
            <w:noWrap/>
            <w:vAlign w:val="center"/>
            <w:hideMark/>
          </w:tcPr>
          <w:p w14:paraId="510AC8C2"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No</w:t>
            </w:r>
          </w:p>
        </w:tc>
        <w:tc>
          <w:tcPr>
            <w:tcW w:w="2451" w:type="dxa"/>
            <w:vAlign w:val="center"/>
            <w:hideMark/>
          </w:tcPr>
          <w:p w14:paraId="25C4A7CD" w14:textId="77777777" w:rsidR="000210B2" w:rsidRPr="00DA44BA" w:rsidRDefault="000210B2" w:rsidP="00A33288">
            <w:pPr>
              <w:spacing w:line="240" w:lineRule="auto"/>
              <w:ind w:firstLine="0"/>
              <w:jc w:val="center"/>
              <w:rPr>
                <w:rFonts w:ascii="Palatino Linotype" w:eastAsia="Times New Roman" w:hAnsi="Palatino Linotype"/>
                <w:color w:val="1F1F1F"/>
                <w:sz w:val="16"/>
                <w:szCs w:val="16"/>
                <w:lang w:val="es-PE"/>
              </w:rPr>
            </w:pPr>
            <w:r w:rsidRPr="00DA44BA">
              <w:rPr>
                <w:rFonts w:ascii="Palatino Linotype" w:eastAsia="Times New Roman" w:hAnsi="Palatino Linotype"/>
                <w:color w:val="1F1F1F"/>
                <w:sz w:val="16"/>
                <w:szCs w:val="16"/>
                <w:lang w:val="es-PE"/>
              </w:rPr>
              <w:t>--</w:t>
            </w:r>
          </w:p>
        </w:tc>
      </w:tr>
      <w:tr w:rsidR="000210B2" w:rsidRPr="00DA44BA" w14:paraId="004D977A" w14:textId="77777777" w:rsidTr="00A33288">
        <w:trPr>
          <w:trHeight w:val="2082"/>
        </w:trPr>
        <w:tc>
          <w:tcPr>
            <w:tcW w:w="1844" w:type="dxa"/>
            <w:vAlign w:val="center"/>
            <w:hideMark/>
          </w:tcPr>
          <w:p w14:paraId="5B9F590B"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 xml:space="preserve">Li et al. </w:t>
            </w:r>
            <w:r w:rsidRPr="00DA44BA">
              <w:rPr>
                <w:rFonts w:ascii="Palatino Linotype" w:eastAsia="Times New Roman" w:hAnsi="Palatino Linotype"/>
                <w:color w:val="000000"/>
                <w:sz w:val="16"/>
                <w:szCs w:val="16"/>
                <w:lang w:val="es-PE"/>
              </w:rPr>
              <w:fldChar w:fldCharType="begin"/>
            </w:r>
            <w:r w:rsidRPr="00DA44BA">
              <w:rPr>
                <w:rFonts w:ascii="Palatino Linotype" w:eastAsia="Times New Roman" w:hAnsi="Palatino Linotype"/>
                <w:color w:val="000000"/>
                <w:sz w:val="16"/>
                <w:szCs w:val="16"/>
                <w:lang w:val="es-PE"/>
              </w:rPr>
              <w:instrText xml:space="preserve"> ADDIN ZOTERO_ITEM CSL_CITATION {"citationID":"PcDZe1pC","properties":{"formattedCitation":"[29]","plainCitation":"[29]","noteIndex":0},"citationItems":[{"id":568,"uris":["http://zotero.org/users/17215328/items/BVVUW4FK"],"itemData":{"id":568,"type":"article-journal","abstract":"INTRODUCTION: Understanding the neuromotor processes underlying successful and unsuccessful performance in lower limb movements, such as football kicking, is  essential for athletes. However, further investigation is needed to determine  whether lower activation of the prefrontal and central cortices, which are  associated with motor programming, such as motor planning and motor control,  corresponds to higher degrees of psychomotor performance in a difficult task. To  address this issue, this within-subject pilot study aimed to investigate  neuromotor processes in skilled football players performing penalty kicks under a  difficult condition. METHODS: Ten skilled football players were recruited and  asked to perform 30 kicks under a difficult condition where the target size was  adjusted to maintain a kicking success rate between 40 and 60% for each player  while we recorded EEG data during motor preparation. Afterwards, EEG power in the  8-13 Hz frequency band was analyzed at frontal (Fz) and central (Cz) regions  before action. RESULTS: The main result indicated that successful penalty kicks  were associated with lower 8-13 Hz power at frontal and central regions before  action, suggesting efficient neural activation for motor planning and control  during motor preparation. DISCUSSION: These findings support the model of  attention allocation and the psychomotor efficiency hypothesis, aligning with  similar neuromotor processes observed in golf studies. Overall, this study  highlights the critical role of motor planning and control in successful athletic  performance.","container-title":"Frontiers in psychology","DOI":"10.3389/fpsyg.2025.1452443","ISSN":"1664-1078","journalAbbreviation":"Front Psychol","language":"eng","license":"Copyright © 2025 Li, Elbanna, Lin, Lu, Chen, Lu, Yu and Wang.","note":"publisher-place: Switzerland","page":"1452443","PMID":"40458627","PMCID":"PMC12127302","title":"Neuromotor mechanisms of successful football penalty kicking: an EEG pilot study.","volume":"16","author":[{"family":"Li","given":"Dan"},{"family":"Elbanna","given":"Hatem"},{"family":"Lin","given":"Fang-Yi"},{"family":"Lu","given":"Chieh-Ju"},{"family":"Chen","given":"Li-Ju"},{"family":"Lu","given":"Guo"},{"family":"Yu","given":"Chien-Lin"},{"family":"Wang","given":"Kuo Pin"}],"issued":{"date-parts":[["2025"]]}}}],"schema":"https://github.com/citation-style-language/schema/raw/master/csl-citation.json"} </w:instrText>
            </w:r>
            <w:r w:rsidRPr="00DA44BA">
              <w:rPr>
                <w:rFonts w:ascii="Palatino Linotype" w:eastAsia="Times New Roman" w:hAnsi="Palatino Linotype"/>
                <w:color w:val="000000"/>
                <w:sz w:val="16"/>
                <w:szCs w:val="16"/>
                <w:lang w:val="es-PE"/>
              </w:rPr>
              <w:fldChar w:fldCharType="separate"/>
            </w:r>
            <w:r w:rsidRPr="00DA44BA">
              <w:rPr>
                <w:rFonts w:ascii="Palatino Linotype" w:hAnsi="Palatino Linotype"/>
                <w:sz w:val="16"/>
              </w:rPr>
              <w:t>[29]</w:t>
            </w:r>
            <w:r w:rsidRPr="00DA44BA">
              <w:rPr>
                <w:rFonts w:ascii="Palatino Linotype" w:eastAsia="Times New Roman" w:hAnsi="Palatino Linotype"/>
                <w:color w:val="000000"/>
                <w:sz w:val="16"/>
                <w:szCs w:val="16"/>
                <w:lang w:val="es-PE"/>
              </w:rPr>
              <w:fldChar w:fldCharType="end"/>
            </w:r>
          </w:p>
        </w:tc>
        <w:tc>
          <w:tcPr>
            <w:tcW w:w="1985" w:type="dxa"/>
            <w:vAlign w:val="center"/>
            <w:hideMark/>
          </w:tcPr>
          <w:p w14:paraId="0B27DDE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EEG - eego (ANT Neuro, Germany)</w:t>
            </w:r>
          </w:p>
        </w:tc>
        <w:tc>
          <w:tcPr>
            <w:tcW w:w="1002" w:type="dxa"/>
            <w:noWrap/>
            <w:vAlign w:val="center"/>
            <w:hideMark/>
          </w:tcPr>
          <w:p w14:paraId="1378B7C5"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500 Hz</w:t>
            </w:r>
          </w:p>
        </w:tc>
        <w:tc>
          <w:tcPr>
            <w:tcW w:w="665" w:type="dxa"/>
            <w:noWrap/>
            <w:vAlign w:val="center"/>
            <w:hideMark/>
          </w:tcPr>
          <w:p w14:paraId="192EB3AC"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683" w:type="dxa"/>
            <w:noWrap/>
            <w:vAlign w:val="center"/>
            <w:hideMark/>
          </w:tcPr>
          <w:p w14:paraId="2FAF7C51"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700" w:type="dxa"/>
            <w:noWrap/>
            <w:vAlign w:val="center"/>
            <w:hideMark/>
          </w:tcPr>
          <w:p w14:paraId="7A40F70E"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852" w:type="dxa"/>
            <w:noWrap/>
            <w:vAlign w:val="center"/>
            <w:hideMark/>
          </w:tcPr>
          <w:p w14:paraId="2952C6CE"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p>
        </w:tc>
        <w:tc>
          <w:tcPr>
            <w:tcW w:w="807" w:type="dxa"/>
            <w:noWrap/>
            <w:vAlign w:val="center"/>
            <w:hideMark/>
          </w:tcPr>
          <w:p w14:paraId="67A183E8"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p>
        </w:tc>
        <w:tc>
          <w:tcPr>
            <w:tcW w:w="2662" w:type="dxa"/>
            <w:vAlign w:val="center"/>
            <w:hideMark/>
          </w:tcPr>
          <w:p w14:paraId="3A4E4887"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30 trials (Divided into 3 blocks of 10 kicks, interspersed with 10 minutes of rest). Aiming to kick at a goal from a distance of 1,100 cm. The target size was adjusted to achieve a kicking success rate between 40 and 60%</w:t>
            </w:r>
          </w:p>
        </w:tc>
        <w:tc>
          <w:tcPr>
            <w:tcW w:w="851" w:type="dxa"/>
            <w:vAlign w:val="center"/>
            <w:hideMark/>
          </w:tcPr>
          <w:p w14:paraId="68413670"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Preferred</w:t>
            </w:r>
          </w:p>
        </w:tc>
        <w:tc>
          <w:tcPr>
            <w:tcW w:w="1197" w:type="dxa"/>
            <w:vAlign w:val="center"/>
            <w:hideMark/>
          </w:tcPr>
          <w:p w14:paraId="28D246E6"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Unspecified</w:t>
            </w:r>
          </w:p>
        </w:tc>
        <w:tc>
          <w:tcPr>
            <w:tcW w:w="887" w:type="dxa"/>
            <w:vAlign w:val="center"/>
            <w:hideMark/>
          </w:tcPr>
          <w:p w14:paraId="25F6A1B9"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No</w:t>
            </w:r>
          </w:p>
        </w:tc>
        <w:tc>
          <w:tcPr>
            <w:tcW w:w="2451" w:type="dxa"/>
            <w:vAlign w:val="center"/>
            <w:hideMark/>
          </w:tcPr>
          <w:p w14:paraId="01A70A95" w14:textId="77777777" w:rsidR="000210B2" w:rsidRPr="00DA44BA" w:rsidRDefault="000210B2" w:rsidP="00A33288">
            <w:pPr>
              <w:spacing w:line="240" w:lineRule="auto"/>
              <w:ind w:firstLine="0"/>
              <w:jc w:val="center"/>
              <w:rPr>
                <w:rFonts w:ascii="Palatino Linotype" w:eastAsia="Times New Roman" w:hAnsi="Palatino Linotype"/>
                <w:color w:val="1F1F1F"/>
                <w:sz w:val="16"/>
                <w:szCs w:val="16"/>
                <w:lang w:val="es-PE"/>
              </w:rPr>
            </w:pPr>
            <w:r w:rsidRPr="00DA44BA">
              <w:rPr>
                <w:rFonts w:ascii="Palatino Linotype" w:eastAsia="Times New Roman" w:hAnsi="Palatino Linotype"/>
                <w:color w:val="1F1F1F"/>
                <w:sz w:val="16"/>
                <w:szCs w:val="16"/>
                <w:lang w:val="es-PE"/>
              </w:rPr>
              <w:t>--</w:t>
            </w:r>
          </w:p>
        </w:tc>
      </w:tr>
      <w:tr w:rsidR="000210B2" w:rsidRPr="00DA44BA" w14:paraId="1EEF8310" w14:textId="77777777" w:rsidTr="00A33288">
        <w:trPr>
          <w:trHeight w:val="2082"/>
        </w:trPr>
        <w:tc>
          <w:tcPr>
            <w:tcW w:w="1844" w:type="dxa"/>
            <w:vAlign w:val="center"/>
          </w:tcPr>
          <w:p w14:paraId="3BB8D047"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n-GB"/>
              </w:rPr>
              <w:t xml:space="preserve">Palucci Vieira et al. </w:t>
            </w:r>
            <w:r w:rsidRPr="00DA44BA">
              <w:rPr>
                <w:rFonts w:ascii="Palatino Linotype" w:eastAsia="Times New Roman" w:hAnsi="Palatino Linotype"/>
                <w:color w:val="000000"/>
                <w:sz w:val="16"/>
                <w:szCs w:val="16"/>
                <w:lang w:val="es-PE"/>
              </w:rPr>
              <w:fldChar w:fldCharType="begin"/>
            </w:r>
            <w:r w:rsidRPr="00DA44BA">
              <w:rPr>
                <w:rFonts w:ascii="Palatino Linotype" w:eastAsia="Times New Roman" w:hAnsi="Palatino Linotype"/>
                <w:color w:val="000000"/>
                <w:sz w:val="16"/>
                <w:szCs w:val="16"/>
                <w:lang w:val="en-GB"/>
              </w:rPr>
              <w:instrText xml:space="preserve"> ADDIN ZOTERO_ITEM CSL_CITATION {"citationID":"jJoh6pIj","properties":{"formattedCitation":"[28]","plainCitation":"[28]","noteIndex":0},"citationItems":[{"id":706,"uris":["http://zotero.org/users/17215328/items/FZBB8ZTG"],"itemData":{"id":706,"type":"article-journal","abstract":"The contribution of cortical activity (e.g. EEG recordings) in various brain regions to motor control during goal-directed manipulative tasks using lower limbs remains unexplored. Therefore, the aim of the current study was to determine the magnitude of associations between EEG-derived brain activity and soccer kicking parameters. Twenty-four under-17 players performed an instep kicking task (18 m from the goal) aiming to hit 1 × 1 m targets allocated in the goalpost upper corners in the presence of a goalkeeper. Using a portable 64-channel EEG system, brain oscillations in delta, theta, alpha, beta and gamma frequency bands were determined at the frontal, motor, parietal and occipital regions separately for three phases of the kicks: preparatory, approach and immediately prior to ball contact. Movement kinematic measures included segmental linear and relative velocities, angular joint displacement and velocities. Mean radial error and ball velocity were assumed as outcome indicators. A significant influence of frontal theta power immediately prior to ball contact was observed in the variance of ball velocity (R2 = 35%, P = 0.01) while the expression of occipital alpha component recorded during the preparatory phase contributed to the mean radial error (R2 = 20%, P = 0.049). Ankle eversion angle at impact moment likely mediated the association between frontal theta power and subsequent ball velocity (β = 0.151, P = 0.06). The present analysis showed that the brain signalling at cortical level may be determinant in movement control, ball velocity and accuracy when performing kick attempts from the edge of penalty area.","container-title":"Cognitive Neurodynamics","DOI":"10.1007/s11571-022-09786-2","ISSN":"1871-4099","issue":"6","journalAbbreviation":"Cogn Neurodyn","language":"en","page":"1303-1321","source":"Springer Link","title":"Modelling the relationships between EEG signals, movement kinematics and outcome in soccer kicking","volume":"16","author":[{"family":"Palucci Vieira","given":"Luiz H."},{"family":"Carling","given":"Christopher"},{"family":"Silva","given":"João Pedro","non-dropping-particle":"da"},{"family":"Santinelli","given":"Felipe B."},{"family":"Polastri","given":"Paula F."},{"family":"Santiago","given":"Paulo R. P."},{"family":"Barbieri","given":"Fabio A."}],"issued":{"date-parts":[["2022",12,1]]}}}],"schema":"https://github.com/citation-style-language/schema/raw/master/csl-citation.json"} </w:instrText>
            </w:r>
            <w:r w:rsidRPr="00DA44BA">
              <w:rPr>
                <w:rFonts w:ascii="Palatino Linotype" w:eastAsia="Times New Roman" w:hAnsi="Palatino Linotype"/>
                <w:color w:val="000000"/>
                <w:sz w:val="16"/>
                <w:szCs w:val="16"/>
                <w:lang w:val="es-PE"/>
              </w:rPr>
              <w:fldChar w:fldCharType="separate"/>
            </w:r>
            <w:r w:rsidRPr="00DA44BA">
              <w:rPr>
                <w:rFonts w:ascii="Palatino Linotype" w:hAnsi="Palatino Linotype"/>
                <w:sz w:val="16"/>
              </w:rPr>
              <w:t>[28]</w:t>
            </w:r>
            <w:r w:rsidRPr="00DA44BA">
              <w:rPr>
                <w:rFonts w:ascii="Palatino Linotype" w:eastAsia="Times New Roman" w:hAnsi="Palatino Linotype"/>
                <w:color w:val="000000"/>
                <w:sz w:val="16"/>
                <w:szCs w:val="16"/>
                <w:lang w:val="es-PE"/>
              </w:rPr>
              <w:fldChar w:fldCharType="end"/>
            </w:r>
          </w:p>
        </w:tc>
        <w:tc>
          <w:tcPr>
            <w:tcW w:w="1985" w:type="dxa"/>
            <w:vAlign w:val="center"/>
          </w:tcPr>
          <w:p w14:paraId="3C1B188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EEG - eegoTM sports (LE-200, ANT Neuro b.v., Enschede, Netherlands)</w:t>
            </w:r>
          </w:p>
        </w:tc>
        <w:tc>
          <w:tcPr>
            <w:tcW w:w="1002" w:type="dxa"/>
            <w:noWrap/>
            <w:vAlign w:val="center"/>
          </w:tcPr>
          <w:p w14:paraId="7688FA96"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1024 Hz</w:t>
            </w:r>
          </w:p>
        </w:tc>
        <w:tc>
          <w:tcPr>
            <w:tcW w:w="665" w:type="dxa"/>
            <w:noWrap/>
            <w:vAlign w:val="center"/>
          </w:tcPr>
          <w:p w14:paraId="00023CE4"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683" w:type="dxa"/>
            <w:noWrap/>
            <w:vAlign w:val="center"/>
          </w:tcPr>
          <w:p w14:paraId="70E6959F"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700" w:type="dxa"/>
            <w:noWrap/>
            <w:vAlign w:val="center"/>
          </w:tcPr>
          <w:p w14:paraId="5906E7B4"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852" w:type="dxa"/>
            <w:noWrap/>
            <w:vAlign w:val="center"/>
          </w:tcPr>
          <w:p w14:paraId="78F3BE3A"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p>
        </w:tc>
        <w:tc>
          <w:tcPr>
            <w:tcW w:w="807" w:type="dxa"/>
            <w:noWrap/>
            <w:vAlign w:val="center"/>
          </w:tcPr>
          <w:p w14:paraId="39D5AF1B"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r w:rsidRPr="00DA44BA">
              <w:rPr>
                <w:rFonts w:ascii="Wingdings" w:eastAsia="Times New Roman" w:hAnsi="Wingdings"/>
                <w:color w:val="000000"/>
                <w:sz w:val="28"/>
                <w:szCs w:val="28"/>
                <w:lang w:val="es-PE"/>
              </w:rPr>
              <w:t></w:t>
            </w:r>
          </w:p>
        </w:tc>
        <w:tc>
          <w:tcPr>
            <w:tcW w:w="2662" w:type="dxa"/>
            <w:vAlign w:val="center"/>
          </w:tcPr>
          <w:p w14:paraId="55AB7859"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20 trials of 18-m instep kicks in a stationary ball aiming at 1 x 1 m targets positioned in the goalpost upper corners</w:t>
            </w:r>
          </w:p>
        </w:tc>
        <w:tc>
          <w:tcPr>
            <w:tcW w:w="851" w:type="dxa"/>
            <w:vAlign w:val="center"/>
          </w:tcPr>
          <w:p w14:paraId="2E34CA7F"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Preferred</w:t>
            </w:r>
          </w:p>
        </w:tc>
        <w:tc>
          <w:tcPr>
            <w:tcW w:w="1197" w:type="dxa"/>
            <w:vAlign w:val="center"/>
          </w:tcPr>
          <w:p w14:paraId="3A492DA6"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Natural grass soccer pitch</w:t>
            </w:r>
          </w:p>
        </w:tc>
        <w:tc>
          <w:tcPr>
            <w:tcW w:w="887" w:type="dxa"/>
            <w:vAlign w:val="center"/>
          </w:tcPr>
          <w:p w14:paraId="24690609"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Yes - GK</w:t>
            </w:r>
          </w:p>
        </w:tc>
        <w:tc>
          <w:tcPr>
            <w:tcW w:w="2451" w:type="dxa"/>
            <w:vAlign w:val="center"/>
          </w:tcPr>
          <w:p w14:paraId="6C193ABE" w14:textId="77777777" w:rsidR="000210B2" w:rsidRPr="00DA44BA" w:rsidRDefault="000210B2" w:rsidP="00A33288">
            <w:pPr>
              <w:spacing w:line="240" w:lineRule="auto"/>
              <w:ind w:firstLine="0"/>
              <w:jc w:val="center"/>
              <w:rPr>
                <w:rFonts w:ascii="Palatino Linotype" w:eastAsia="Times New Roman" w:hAnsi="Palatino Linotype"/>
                <w:color w:val="1F1F1F"/>
                <w:sz w:val="16"/>
                <w:szCs w:val="16"/>
                <w:lang w:val="en-US"/>
              </w:rPr>
            </w:pPr>
            <w:r w:rsidRPr="00DA44BA">
              <w:rPr>
                <w:rFonts w:ascii="Palatino Linotype" w:eastAsia="Times New Roman" w:hAnsi="Palatino Linotype"/>
                <w:color w:val="000000"/>
                <w:sz w:val="16"/>
                <w:szCs w:val="16"/>
                <w:lang w:val="en-US"/>
              </w:rPr>
              <w:t>3D kinematics (4 GoPro® Hero 7 cameras, GoPro GmbH, München, Germany - 240 Hz) for tracking lower limb markers and 2D kinematics (2 GoPro® cameras - 60 Hz) for tracking ball centroid</w:t>
            </w:r>
          </w:p>
        </w:tc>
      </w:tr>
      <w:tr w:rsidR="000210B2" w:rsidRPr="00DA44BA" w14:paraId="7D564239" w14:textId="77777777" w:rsidTr="00A33288">
        <w:trPr>
          <w:trHeight w:val="1235"/>
        </w:trPr>
        <w:tc>
          <w:tcPr>
            <w:tcW w:w="1844" w:type="dxa"/>
            <w:vAlign w:val="center"/>
            <w:hideMark/>
          </w:tcPr>
          <w:p w14:paraId="6583AFFD"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n-GB"/>
              </w:rPr>
            </w:pPr>
            <w:r w:rsidRPr="00DA44BA">
              <w:rPr>
                <w:rFonts w:ascii="Palatino Linotype" w:eastAsia="Times New Roman" w:hAnsi="Palatino Linotype"/>
                <w:color w:val="000000"/>
                <w:sz w:val="16"/>
                <w:szCs w:val="16"/>
                <w:lang w:val="en-US"/>
              </w:rPr>
              <w:t xml:space="preserve">Piskin et al. </w:t>
            </w:r>
            <w:r w:rsidRPr="00DA44BA">
              <w:rPr>
                <w:rFonts w:ascii="Palatino Linotype" w:eastAsia="Times New Roman" w:hAnsi="Palatino Linotype"/>
                <w:color w:val="000000"/>
                <w:sz w:val="16"/>
                <w:szCs w:val="16"/>
                <w:lang w:val="en-US"/>
              </w:rPr>
              <w:fldChar w:fldCharType="begin"/>
            </w:r>
            <w:r w:rsidRPr="00DA44BA">
              <w:rPr>
                <w:rFonts w:ascii="Palatino Linotype" w:eastAsia="Times New Roman" w:hAnsi="Palatino Linotype"/>
                <w:color w:val="000000"/>
                <w:sz w:val="16"/>
                <w:szCs w:val="16"/>
                <w:lang w:val="en-US"/>
              </w:rPr>
              <w:instrText xml:space="preserve"> ADDIN ZOTERO_ITEM CSL_CITATION {"citationID":"WNQx7Vj1","properties":{"formattedCitation":"[51]","plainCitation":"[51]","noteIndex":0},"citationItems":[{"id":564,"uris":["http://zotero.org/users/17215328/items/4AR64N62"],"itemData":{"id":564,"type":"article-journal","abstract":"Football is one of the most played sports in the world and kicking with adequate accuracy increases the likelihood of winning a competition. Although studies with  different target-directed movements underline the role of distinctive cortical  activity on superior accuracy, little is known about cortical dynamics associated  with kicking. Mobile electroencephalography is a popular tool to investigate  cortical modulations during movement, however, inherent and artefact-related  pitfalls may obscure the reliability of functional sources and their activity.  The purpose of this study was therefore to describe consistent cortical dynamics  underlying target-directed pass-kicks based on test-retest reliability estimates.  Eleven participants performed a target-directed kicking task at two different  sessions within one week. Electroencephalography was recorded using a 65-channel  mobile system and behavioural data were collected including motion range,  acceleration and accuracy performance. Functional sources were identified using  independent component analysis and clustered in two steps with the components of  first and subsequently both sessions. Reliability estimates of event-related  spectral perturbations were computed pixel-wise for participants contributing  with components of both sessions. The parieto-occipital and frontal clusters were  reproducible for the same majority of the sample at both sessions. Their activity  showed consistent alpha desyhronization and theta sychnronisation patterns with  substantial reliability estimates revealing visual and attentional demands in  different phases of kicking. The findings of our study reveal prominent cortical  demands during the execution of a target-directed kick which may be considered in  practical implementations and provide promising academic prospects in the  comprehension and investigation of cortical activity associated with  target-directed movements. SUPPLEMENTARY INFORMATION: The online version contains  supplementary material available at 10.1007/s11571-024-10094-0.","container-title":"Cognitive neurodynamics","DOI":"10.1007/s11571-024-10094-0","ISSN":"1871-4080 1871-4099","issue":"5","journalAbbreviation":"Cogn Neurodyn","language":"eng","license":"© The Author(s) 2024.","note":"publisher-place: Netherlands","page":"2343-2357","PMID":"39555268","PMCID":"PMC11564708","title":"Reliable electrocortical dynamics of target-directed pass-kicks.","volume":"18","author":[{"family":"Piskin","given":"Daghan"},{"family":"Büchel","given":"Daniel"},{"family":"Lehmann","given":"Tim"},{"family":"Baumeister","given":"Jochen"}],"issued":{"date-parts":[["2024",10]]}}}],"schema":"https://github.com/citation-style-language/schema/raw/master/csl-citation.json"} </w:instrText>
            </w:r>
            <w:r w:rsidRPr="00DA44BA">
              <w:rPr>
                <w:rFonts w:ascii="Palatino Linotype" w:eastAsia="Times New Roman" w:hAnsi="Palatino Linotype"/>
                <w:color w:val="000000"/>
                <w:sz w:val="16"/>
                <w:szCs w:val="16"/>
                <w:lang w:val="en-US"/>
              </w:rPr>
              <w:fldChar w:fldCharType="separate"/>
            </w:r>
            <w:r w:rsidRPr="00DA44BA">
              <w:rPr>
                <w:rFonts w:ascii="Palatino Linotype" w:hAnsi="Palatino Linotype"/>
                <w:sz w:val="16"/>
              </w:rPr>
              <w:t>[51]</w:t>
            </w:r>
            <w:r w:rsidRPr="00DA44BA">
              <w:rPr>
                <w:rFonts w:ascii="Palatino Linotype" w:eastAsia="Times New Roman" w:hAnsi="Palatino Linotype"/>
                <w:color w:val="000000"/>
                <w:sz w:val="16"/>
                <w:szCs w:val="16"/>
                <w:lang w:val="en-US"/>
              </w:rPr>
              <w:fldChar w:fldCharType="end"/>
            </w:r>
          </w:p>
        </w:tc>
        <w:tc>
          <w:tcPr>
            <w:tcW w:w="1985" w:type="dxa"/>
            <w:vAlign w:val="center"/>
            <w:hideMark/>
          </w:tcPr>
          <w:p w14:paraId="08035913"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EEG (antiCap, Brain Products, Germany)</w:t>
            </w:r>
          </w:p>
        </w:tc>
        <w:tc>
          <w:tcPr>
            <w:tcW w:w="1002" w:type="dxa"/>
            <w:noWrap/>
            <w:vAlign w:val="center"/>
            <w:hideMark/>
          </w:tcPr>
          <w:p w14:paraId="037CF16B"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GB"/>
              </w:rPr>
            </w:pPr>
            <w:r w:rsidRPr="00DA44BA">
              <w:rPr>
                <w:rFonts w:ascii="Palatino Linotype" w:eastAsia="Times New Roman" w:hAnsi="Palatino Linotype"/>
                <w:color w:val="000000"/>
                <w:sz w:val="16"/>
                <w:szCs w:val="16"/>
                <w:lang w:val="en-GB"/>
              </w:rPr>
              <w:t>500 Hz</w:t>
            </w:r>
          </w:p>
        </w:tc>
        <w:tc>
          <w:tcPr>
            <w:tcW w:w="665" w:type="dxa"/>
            <w:noWrap/>
            <w:vAlign w:val="center"/>
            <w:hideMark/>
          </w:tcPr>
          <w:p w14:paraId="6B463C3B"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GB"/>
              </w:rPr>
            </w:pPr>
            <w:r w:rsidRPr="00DA44BA">
              <w:rPr>
                <w:rFonts w:ascii="Wingdings" w:eastAsia="Times New Roman" w:hAnsi="Wingdings"/>
                <w:color w:val="000000"/>
                <w:sz w:val="28"/>
                <w:szCs w:val="28"/>
                <w:lang w:val="es-PE"/>
              </w:rPr>
              <w:t></w:t>
            </w:r>
          </w:p>
        </w:tc>
        <w:tc>
          <w:tcPr>
            <w:tcW w:w="683" w:type="dxa"/>
            <w:noWrap/>
            <w:vAlign w:val="center"/>
            <w:hideMark/>
          </w:tcPr>
          <w:p w14:paraId="0081A3A4"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GB"/>
              </w:rPr>
            </w:pPr>
          </w:p>
        </w:tc>
        <w:tc>
          <w:tcPr>
            <w:tcW w:w="700" w:type="dxa"/>
            <w:noWrap/>
            <w:vAlign w:val="center"/>
            <w:hideMark/>
          </w:tcPr>
          <w:p w14:paraId="086F75F7"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GB"/>
              </w:rPr>
            </w:pPr>
            <w:r w:rsidRPr="00DA44BA">
              <w:rPr>
                <w:rFonts w:ascii="Wingdings" w:eastAsia="Times New Roman" w:hAnsi="Wingdings"/>
                <w:color w:val="000000"/>
                <w:sz w:val="28"/>
                <w:szCs w:val="28"/>
                <w:lang w:val="es-PE"/>
              </w:rPr>
              <w:t></w:t>
            </w:r>
          </w:p>
        </w:tc>
        <w:tc>
          <w:tcPr>
            <w:tcW w:w="852" w:type="dxa"/>
            <w:noWrap/>
            <w:vAlign w:val="center"/>
            <w:hideMark/>
          </w:tcPr>
          <w:p w14:paraId="370D3EBA"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GB"/>
              </w:rPr>
            </w:pPr>
          </w:p>
        </w:tc>
        <w:tc>
          <w:tcPr>
            <w:tcW w:w="807" w:type="dxa"/>
            <w:noWrap/>
            <w:vAlign w:val="center"/>
            <w:hideMark/>
          </w:tcPr>
          <w:p w14:paraId="122C3B2E"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GB"/>
              </w:rPr>
            </w:pPr>
            <w:r w:rsidRPr="00DA44BA">
              <w:rPr>
                <w:rFonts w:ascii="Wingdings" w:eastAsia="Times New Roman" w:hAnsi="Wingdings"/>
                <w:color w:val="000000"/>
                <w:sz w:val="28"/>
                <w:szCs w:val="28"/>
                <w:lang w:val="es-PE"/>
              </w:rPr>
              <w:t></w:t>
            </w:r>
          </w:p>
        </w:tc>
        <w:tc>
          <w:tcPr>
            <w:tcW w:w="2662" w:type="dxa"/>
            <w:vAlign w:val="center"/>
            <w:hideMark/>
          </w:tcPr>
          <w:p w14:paraId="45E70829"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90 trials were made in 6 blocks of 15 trials. The target (a wooden box fixed to the ground (10 x 9 x 15 cm)) was positioned three meters away</w:t>
            </w:r>
          </w:p>
        </w:tc>
        <w:tc>
          <w:tcPr>
            <w:tcW w:w="851" w:type="dxa"/>
            <w:vAlign w:val="center"/>
            <w:hideMark/>
          </w:tcPr>
          <w:p w14:paraId="4B30EC6E"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GB"/>
              </w:rPr>
            </w:pPr>
            <w:r w:rsidRPr="00DA44BA">
              <w:rPr>
                <w:rFonts w:ascii="Palatino Linotype" w:eastAsia="Times New Roman" w:hAnsi="Palatino Linotype"/>
                <w:color w:val="000000"/>
                <w:sz w:val="16"/>
                <w:szCs w:val="16"/>
                <w:lang w:val="en-GB"/>
              </w:rPr>
              <w:t>Preferred</w:t>
            </w:r>
          </w:p>
        </w:tc>
        <w:tc>
          <w:tcPr>
            <w:tcW w:w="1197" w:type="dxa"/>
            <w:vAlign w:val="center"/>
            <w:hideMark/>
          </w:tcPr>
          <w:p w14:paraId="2EEB0224"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GB"/>
              </w:rPr>
            </w:pPr>
            <w:r w:rsidRPr="00DA44BA">
              <w:rPr>
                <w:rFonts w:ascii="Palatino Linotype" w:eastAsia="Times New Roman" w:hAnsi="Palatino Linotype"/>
                <w:color w:val="000000"/>
                <w:sz w:val="16"/>
                <w:szCs w:val="16"/>
                <w:lang w:val="en-GB"/>
              </w:rPr>
              <w:t>Unspecified</w:t>
            </w:r>
          </w:p>
        </w:tc>
        <w:tc>
          <w:tcPr>
            <w:tcW w:w="887" w:type="dxa"/>
            <w:vAlign w:val="center"/>
            <w:hideMark/>
          </w:tcPr>
          <w:p w14:paraId="08BDF22D"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GB"/>
              </w:rPr>
            </w:pPr>
            <w:r w:rsidRPr="00DA44BA">
              <w:rPr>
                <w:rFonts w:ascii="Palatino Linotype" w:eastAsia="Times New Roman" w:hAnsi="Palatino Linotype"/>
                <w:color w:val="000000"/>
                <w:sz w:val="16"/>
                <w:szCs w:val="16"/>
                <w:lang w:val="en-GB"/>
              </w:rPr>
              <w:t>No</w:t>
            </w:r>
          </w:p>
        </w:tc>
        <w:tc>
          <w:tcPr>
            <w:tcW w:w="2451" w:type="dxa"/>
            <w:vAlign w:val="center"/>
            <w:hideMark/>
          </w:tcPr>
          <w:p w14:paraId="7A006CAE"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 xml:space="preserve"> 7 Wearable IMUs (myoMOTION, Noraxon, USA) were used on the kicking leg and supporting leg: pelvis, thighs, shanks, and feet. Webcam (Logitech Brio, Switzerland) for video recording, precision performance, synchronized with myoRESEARCH software</w:t>
            </w:r>
          </w:p>
        </w:tc>
      </w:tr>
      <w:tr w:rsidR="000210B2" w:rsidRPr="00DA44BA" w14:paraId="293082FB" w14:textId="77777777" w:rsidTr="00A33288">
        <w:trPr>
          <w:trHeight w:val="1920"/>
        </w:trPr>
        <w:tc>
          <w:tcPr>
            <w:tcW w:w="1844" w:type="dxa"/>
            <w:vAlign w:val="center"/>
            <w:hideMark/>
          </w:tcPr>
          <w:p w14:paraId="71377E03"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n-GB"/>
              </w:rPr>
              <w:t xml:space="preserve">Piskin et al. </w:t>
            </w:r>
            <w:r w:rsidRPr="00DA44BA">
              <w:rPr>
                <w:rFonts w:ascii="Palatino Linotype" w:eastAsia="Times New Roman" w:hAnsi="Palatino Linotype"/>
                <w:color w:val="000000"/>
                <w:sz w:val="16"/>
                <w:szCs w:val="16"/>
                <w:lang w:val="es-PE"/>
              </w:rPr>
              <w:fldChar w:fldCharType="begin"/>
            </w:r>
            <w:r w:rsidRPr="00DA44BA">
              <w:rPr>
                <w:rFonts w:ascii="Palatino Linotype" w:eastAsia="Times New Roman" w:hAnsi="Palatino Linotype"/>
                <w:color w:val="000000"/>
                <w:sz w:val="16"/>
                <w:szCs w:val="16"/>
                <w:lang w:val="en-GB"/>
              </w:rPr>
              <w:instrText xml:space="preserve"> ADDIN ZOTERO_ITEM CSL_CITATION {"citationID":"JaQcT29G","properties":{"formattedCitation":"[52]","plainCitation":"[52]","noteIndex":0},"citationItems":[{"id":561,"uris":["http://zotero.org/users/17215328/items/3BMQ6TFQ"],"itemData":{"id":561,"type":"article-journal","abstract":"Anterior cruciate ligament injuries (ACLi) impact football players substantially leading to performance declines and premature career endings. Emerging evidence  suggests that ACLi should be viewed not merely as peripheral injuries but as  complex conditions with neurophysiological aspects. The objective of the present  study was to compare kicking performance and associated cortical activity between  injured and healthy players. Ten reconstructed and 15 healthy players performed a  kicking task. Kicking biomechanics were recorded using wearable inertial  measurement unit sensors. Cortical activity was captured with a 64-electrode  mobile electroencephalography. Multiscale entropy (MSE) analysis of biomechanics  revealed increased variability in foot external rotation among injured players.  Source-derived event-related spectral perturbations indicated significant  differences in posterior alpha and frontal theta oscillations between the two  groups. Furthermore, kick-related complexity of these regions as indexed by MSE  was reduced in injured players at medium and coarse scales. Our findings suggest  sensorimotor changes during kicking in injured players, which may necessitate  compensatory strategies involving augmented attention at the cost of processing  visuospatial information. This conflict may hinder the integration of  task-relevant information across distributed networks. Our study provides  preliminary insights into the neurophysiological implications of ACLi within  football context and underscores the potential for prospective research.","container-title":"Scientific reports","DOI":"10.1038/s41598-025-86196-4","ISSN":"2045-2322","issue":"1","journalAbbreviation":"Sci Rep","language":"eng","license":"© 2025. The Author(s).","note":"publisher-place: England","page":"2208","PMID":"39820802","PMCID":"PMC11739489","title":"Cortical changes associated with an anterior cruciate ligament injury may retrograde skilled kicking in football: preliminary EEG findings.","volume":"15","author":[{"family":"Piskin","given":"Daghan"},{"family":"Cobani","given":"Gjergji"},{"family":"Lehmann","given":"Tim"},{"family":"Büchel","given":"Daniel"},{"family":"Baumeister","given":"Jochen"}],"issued":{"date-parts":[["2025",1,16]]}}}],"schema":"https://github.com/citation-style-language/schema/raw/master/csl-citation.json"} </w:instrText>
            </w:r>
            <w:r w:rsidRPr="00DA44BA">
              <w:rPr>
                <w:rFonts w:ascii="Palatino Linotype" w:eastAsia="Times New Roman" w:hAnsi="Palatino Linotype"/>
                <w:color w:val="000000"/>
                <w:sz w:val="16"/>
                <w:szCs w:val="16"/>
                <w:lang w:val="es-PE"/>
              </w:rPr>
              <w:fldChar w:fldCharType="separate"/>
            </w:r>
            <w:r w:rsidRPr="00DA44BA">
              <w:rPr>
                <w:rFonts w:ascii="Palatino Linotype" w:hAnsi="Palatino Linotype"/>
                <w:sz w:val="16"/>
              </w:rPr>
              <w:t>[52]</w:t>
            </w:r>
            <w:r w:rsidRPr="00DA44BA">
              <w:rPr>
                <w:rFonts w:ascii="Palatino Linotype" w:eastAsia="Times New Roman" w:hAnsi="Palatino Linotype"/>
                <w:color w:val="000000"/>
                <w:sz w:val="16"/>
                <w:szCs w:val="16"/>
                <w:lang w:val="es-PE"/>
              </w:rPr>
              <w:fldChar w:fldCharType="end"/>
            </w:r>
          </w:p>
        </w:tc>
        <w:tc>
          <w:tcPr>
            <w:tcW w:w="1985" w:type="dxa"/>
            <w:vAlign w:val="center"/>
            <w:hideMark/>
          </w:tcPr>
          <w:p w14:paraId="78EA3C49"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EEG (antiCap, Brain Products, Germany)</w:t>
            </w:r>
          </w:p>
        </w:tc>
        <w:tc>
          <w:tcPr>
            <w:tcW w:w="1002" w:type="dxa"/>
            <w:noWrap/>
            <w:vAlign w:val="center"/>
            <w:hideMark/>
          </w:tcPr>
          <w:p w14:paraId="4D17BED2"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500 Hz</w:t>
            </w:r>
          </w:p>
        </w:tc>
        <w:tc>
          <w:tcPr>
            <w:tcW w:w="665" w:type="dxa"/>
            <w:noWrap/>
            <w:vAlign w:val="center"/>
            <w:hideMark/>
          </w:tcPr>
          <w:p w14:paraId="23005356"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683" w:type="dxa"/>
            <w:noWrap/>
            <w:vAlign w:val="center"/>
            <w:hideMark/>
          </w:tcPr>
          <w:p w14:paraId="5E89C3EF"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700" w:type="dxa"/>
            <w:noWrap/>
            <w:vAlign w:val="center"/>
            <w:hideMark/>
          </w:tcPr>
          <w:p w14:paraId="662EA2C8"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852" w:type="dxa"/>
            <w:noWrap/>
            <w:vAlign w:val="center"/>
            <w:hideMark/>
          </w:tcPr>
          <w:p w14:paraId="2627AF45"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807" w:type="dxa"/>
            <w:noWrap/>
            <w:vAlign w:val="center"/>
            <w:hideMark/>
          </w:tcPr>
          <w:p w14:paraId="5B7BB106"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2662" w:type="dxa"/>
            <w:vAlign w:val="center"/>
            <w:hideMark/>
          </w:tcPr>
          <w:p w14:paraId="33430D8B"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90 trials were made in 6 blocks of 15 trials. The target (a wooden box fixed to the ground (10 x 9 x 15 cm)) was positioned three meters away</w:t>
            </w:r>
          </w:p>
        </w:tc>
        <w:tc>
          <w:tcPr>
            <w:tcW w:w="851" w:type="dxa"/>
            <w:vAlign w:val="center"/>
            <w:hideMark/>
          </w:tcPr>
          <w:p w14:paraId="2E6B6996"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Preferred</w:t>
            </w:r>
          </w:p>
        </w:tc>
        <w:tc>
          <w:tcPr>
            <w:tcW w:w="1197" w:type="dxa"/>
            <w:vAlign w:val="center"/>
            <w:hideMark/>
          </w:tcPr>
          <w:p w14:paraId="69BE5C0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Laboratory</w:t>
            </w:r>
          </w:p>
        </w:tc>
        <w:tc>
          <w:tcPr>
            <w:tcW w:w="887" w:type="dxa"/>
            <w:vAlign w:val="center"/>
            <w:hideMark/>
          </w:tcPr>
          <w:p w14:paraId="46DD961E"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No</w:t>
            </w:r>
          </w:p>
        </w:tc>
        <w:tc>
          <w:tcPr>
            <w:tcW w:w="2451" w:type="dxa"/>
            <w:vAlign w:val="center"/>
            <w:hideMark/>
          </w:tcPr>
          <w:p w14:paraId="3DD4D65D"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7 Wearable IMUs (myoMOTION system, Noraxon, USA) were used bilaterally, attached to the feet, shanks, upper thighs, and sacral surface of the lumbar area</w:t>
            </w:r>
          </w:p>
        </w:tc>
      </w:tr>
      <w:tr w:rsidR="000210B2" w:rsidRPr="00DA44BA" w14:paraId="53152D96" w14:textId="77777777" w:rsidTr="00A33288">
        <w:trPr>
          <w:trHeight w:val="2208"/>
        </w:trPr>
        <w:tc>
          <w:tcPr>
            <w:tcW w:w="1844" w:type="dxa"/>
            <w:vAlign w:val="center"/>
            <w:hideMark/>
          </w:tcPr>
          <w:p w14:paraId="451D9ED1"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 xml:space="preserve">Piskin et al. </w:t>
            </w:r>
            <w:r w:rsidRPr="00DA44BA">
              <w:rPr>
                <w:rFonts w:ascii="Palatino Linotype" w:eastAsia="Times New Roman" w:hAnsi="Palatino Linotype"/>
                <w:color w:val="000000"/>
                <w:sz w:val="16"/>
                <w:szCs w:val="16"/>
                <w:lang w:val="en-US"/>
              </w:rPr>
              <w:fldChar w:fldCharType="begin"/>
            </w:r>
            <w:r w:rsidRPr="00DA44BA">
              <w:rPr>
                <w:rFonts w:ascii="Palatino Linotype" w:eastAsia="Times New Roman" w:hAnsi="Palatino Linotype"/>
                <w:color w:val="000000"/>
                <w:sz w:val="16"/>
                <w:szCs w:val="16"/>
                <w:lang w:val="en-US"/>
              </w:rPr>
              <w:instrText xml:space="preserve"> ADDIN ZOTERO_ITEM CSL_CITATION {"citationID":"eiLP0QGI","properties":{"formattedCitation":"[30]","plainCitation":"[30]","noteIndex":0},"citationItems":[{"id":705,"uris":["http://zotero.org/users/17215328/items/2D97GIRE"],"itemData":{"id":705,"type":"article-journal","abstract":"Improved pass accuracy is a prominent determinant of success in football. It demands an effective interaction of complex behavioral and cortical dynamics. Exploring differences in the ability to sustain an accurate pass behavior in a stable setting and the associated cortical dynamics at different expertise levels may provide an insight into skilled strategies contributing to superior accuracy in football. The aim of this study is to compare trial-to-trial variability of pass biomechanics and the corresponding cortical dynamics during short-distance passes between novices and experienced football players. Thirty participants (15 novices, 15 football players) performed 90 short-distance passes. The intertrial variability of pass biomechanics (foot acceleration, range of hip flexion, knee flexion and foot rotation) was assessed by means of multiscale entropy. The task-related cortical dynamics were analyzed via source-derived event-related spectral perturbations. Experienced players demonstrated higher accuracy and overall lower entropy values across multiple time scales which was significant for hip flexion. The electroencephalography data revealed group differences in parieto-occipital alpha desynchronization and frontal theta synchronization in successive phases of passes. The current findings suggest that experienced football players may show a skilled ability to recruit and retain pass biomechanics promoting higher accuracy, whereas novices may show an explorative behavior with higher spatial variability. This difference may be associated with distinctive visuospatial and attentional strategies acquired with expertise in football. Our study provides an insight into expertise-specific behavioral and cortical dynamics of superior accuracy in football and a basis for its prospective investigation in enriched contexts.","container-title":"Behavioural Brain Research","DOI":"10.1016/j.bbr.2024.115120","ISSN":"0166-4328","journalAbbreviation":"Behavioural Brain Research","page":"115120","source":"ScienceDirect","title":"Behavioral and cortical dynamics underlying superior accuracy in short-distance passes","volume":"471","author":[{"family":"Piskin","given":"Daghan"},{"family":"Müller","given":"Romina"},{"family":"Büchel","given":"Daniel"},{"family":"Lehmann","given":"Tim"},{"family":"Baumeister","given":"Jochen"}],"issued":{"date-parts":[["2024",8,5]]}}}],"schema":"https://github.com/citation-style-language/schema/raw/master/csl-citation.json"} </w:instrText>
            </w:r>
            <w:r w:rsidRPr="00DA44BA">
              <w:rPr>
                <w:rFonts w:ascii="Palatino Linotype" w:eastAsia="Times New Roman" w:hAnsi="Palatino Linotype"/>
                <w:color w:val="000000"/>
                <w:sz w:val="16"/>
                <w:szCs w:val="16"/>
                <w:lang w:val="en-US"/>
              </w:rPr>
              <w:fldChar w:fldCharType="separate"/>
            </w:r>
            <w:r w:rsidRPr="00DA44BA">
              <w:rPr>
                <w:rFonts w:ascii="Palatino Linotype" w:hAnsi="Palatino Linotype"/>
                <w:sz w:val="16"/>
              </w:rPr>
              <w:t>[30]</w:t>
            </w:r>
            <w:r w:rsidRPr="00DA44BA">
              <w:rPr>
                <w:rFonts w:ascii="Palatino Linotype" w:eastAsia="Times New Roman" w:hAnsi="Palatino Linotype"/>
                <w:color w:val="000000"/>
                <w:sz w:val="16"/>
                <w:szCs w:val="16"/>
                <w:lang w:val="en-US"/>
              </w:rPr>
              <w:fldChar w:fldCharType="end"/>
            </w:r>
          </w:p>
        </w:tc>
        <w:tc>
          <w:tcPr>
            <w:tcW w:w="1985" w:type="dxa"/>
            <w:vAlign w:val="center"/>
            <w:hideMark/>
          </w:tcPr>
          <w:p w14:paraId="1C62844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EEG (antiCap, Brain Products, Germany)</w:t>
            </w:r>
          </w:p>
        </w:tc>
        <w:tc>
          <w:tcPr>
            <w:tcW w:w="1002" w:type="dxa"/>
            <w:noWrap/>
            <w:vAlign w:val="center"/>
            <w:hideMark/>
          </w:tcPr>
          <w:p w14:paraId="0A79752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500 Hz</w:t>
            </w:r>
          </w:p>
        </w:tc>
        <w:tc>
          <w:tcPr>
            <w:tcW w:w="665" w:type="dxa"/>
            <w:noWrap/>
            <w:vAlign w:val="center"/>
            <w:hideMark/>
          </w:tcPr>
          <w:p w14:paraId="70903F71"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683" w:type="dxa"/>
            <w:noWrap/>
            <w:vAlign w:val="center"/>
            <w:hideMark/>
          </w:tcPr>
          <w:p w14:paraId="68DECFEE"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700" w:type="dxa"/>
            <w:noWrap/>
            <w:vAlign w:val="center"/>
            <w:hideMark/>
          </w:tcPr>
          <w:p w14:paraId="46DBBD4B"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852" w:type="dxa"/>
            <w:noWrap/>
            <w:vAlign w:val="center"/>
            <w:hideMark/>
          </w:tcPr>
          <w:p w14:paraId="76F9CC4C"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807" w:type="dxa"/>
            <w:noWrap/>
            <w:vAlign w:val="center"/>
            <w:hideMark/>
          </w:tcPr>
          <w:p w14:paraId="681F6895"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2662" w:type="dxa"/>
            <w:vAlign w:val="center"/>
            <w:hideMark/>
          </w:tcPr>
          <w:p w14:paraId="17FC0867"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90 trials were made in 6 blocks of 15 trials. The target (a wooden box fixed to the ground (10 x 9 x 15 cm)) was positioned three meters away</w:t>
            </w:r>
          </w:p>
        </w:tc>
        <w:tc>
          <w:tcPr>
            <w:tcW w:w="851" w:type="dxa"/>
            <w:vAlign w:val="center"/>
            <w:hideMark/>
          </w:tcPr>
          <w:p w14:paraId="3ADB1CF4"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Preferred</w:t>
            </w:r>
          </w:p>
        </w:tc>
        <w:tc>
          <w:tcPr>
            <w:tcW w:w="1197" w:type="dxa"/>
            <w:vAlign w:val="center"/>
            <w:hideMark/>
          </w:tcPr>
          <w:p w14:paraId="02F285B3"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Laboratory</w:t>
            </w:r>
          </w:p>
        </w:tc>
        <w:tc>
          <w:tcPr>
            <w:tcW w:w="887" w:type="dxa"/>
            <w:vAlign w:val="center"/>
            <w:hideMark/>
          </w:tcPr>
          <w:p w14:paraId="2CFFDB53"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No</w:t>
            </w:r>
          </w:p>
        </w:tc>
        <w:tc>
          <w:tcPr>
            <w:tcW w:w="2451" w:type="dxa"/>
            <w:vAlign w:val="center"/>
            <w:hideMark/>
          </w:tcPr>
          <w:p w14:paraId="6E8DDAF0"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 xml:space="preserve"> Wearable IMU system (myoMOTION, Noraxon, USA); 6 sensors were used bilaterally attached on the feet, shanks and upper thighs, whereas the pelvis sensor was placed on the sacral surface of the pelvis</w:t>
            </w:r>
          </w:p>
        </w:tc>
      </w:tr>
      <w:tr w:rsidR="000210B2" w:rsidRPr="00DA44BA" w14:paraId="5791156E" w14:textId="77777777" w:rsidTr="00A33288">
        <w:trPr>
          <w:trHeight w:val="2640"/>
        </w:trPr>
        <w:tc>
          <w:tcPr>
            <w:tcW w:w="1844" w:type="dxa"/>
            <w:vAlign w:val="center"/>
            <w:hideMark/>
          </w:tcPr>
          <w:p w14:paraId="6E82ABD5"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n-US"/>
              </w:rPr>
              <w:lastRenderedPageBreak/>
              <w:t xml:space="preserve">Schmaderer et al. </w:t>
            </w:r>
            <w:r w:rsidRPr="00DA44BA">
              <w:rPr>
                <w:rFonts w:ascii="Palatino Linotype" w:eastAsia="Times New Roman" w:hAnsi="Palatino Linotype"/>
                <w:color w:val="000000"/>
                <w:sz w:val="16"/>
                <w:szCs w:val="16"/>
                <w:lang w:val="en-US"/>
              </w:rPr>
              <w:fldChar w:fldCharType="begin"/>
            </w:r>
            <w:r w:rsidRPr="00DA44BA">
              <w:rPr>
                <w:rFonts w:ascii="Palatino Linotype" w:eastAsia="Times New Roman" w:hAnsi="Palatino Linotype"/>
                <w:color w:val="000000"/>
                <w:sz w:val="16"/>
                <w:szCs w:val="16"/>
                <w:lang w:val="en-US"/>
              </w:rPr>
              <w:instrText xml:space="preserve"> ADDIN ZOTERO_ITEM CSL_CITATION {"citationID":"JPzWoM2g","properties":{"formattedCitation":"[53]","plainCitation":"[53]","noteIndex":0},"citationItems":[{"id":1092,"uris":["http://zotero.org/users/17215328/items/VWUFKTPN"],"itemData":{"id":1092,"type":"article-journal","abstract":"The importance of both general and sport-specific perceptual-cognitive abilities in soccer players has been investigated in several studies. Although these  perceptual-cognitive skills could contribute significantly to soccer players'  expertise, the underlying cortical mechanisms have not been clarified yet.  Examining activity changes in the prefrontal cortex under different cognitive  demands may help to better understand the underlying mechanisms of sports  expertise. The aim of this study was to analyse the prefrontal activity of soccer  experts during general and sport-specific cognitive tasks. For this purpose, 39  semi-professional soccer players performed four perceptual-cognitive tests, two  of which assessed general cognition, the other two assessed sport-specific  cognition. Since soccer is a movement-intensive sport, two tests were performed  in motion. While performing cognitive tests, prefrontal activity was recorded  using functional near-infrared spectroscopy (fNIRS) (NIRSport, NIRx Medical  Technologies, USA). Differences of prefrontal activity in general and  sport-specific cognitive tasks were analysed using paired t-tests. The results  showed significant increases in prefrontal activity during general cognitive  tests (novel stimuli) compared to sport-specific tests (familiar stimuli). The  comparatively lower prefrontal activity change during sport-specific cognition  might be due to learned automatisms of experts in this field. These results seem  in line with previous findings on novel and automated cognition, \"repetition  suppression theory\" and \"neural efficiency theory\". Furthermore, the different  cortical processes could be caused by altered prefrontal structures of experts  and might represent a decisive factor for expertise in team sports. However,  further research is needed to clarify the prefrontal involvement on expertise in  general and sport-specific cognition.","container-title":"European journal of sport science","DOI":"10.1080/17461391.2023.2238699","ISSN":"1536-7290","issue":"12","journalAbbreviation":"Eur J Sport Sci","language":"eng","note":"publisher-place: Germany","page":"2389-2399","PMID":"37535067","title":"What happens in the prefrontal cortex? Cognitive processing of novel and familiar stimuli in soccer: An exploratory fNIRS study.","volume":"23","author":[{"family":"Schmaderer","given":"Lena F."},{"family":"Meyer","given":"Mathilda"},{"family":"Reer","given":"Rüdiger"},{"family":"Schumacher","given":"Nils"}],"issued":{"date-parts":[["2023",12]]}}}],"schema":"https://github.com/citation-style-language/schema/raw/master/csl-citation.json"} </w:instrText>
            </w:r>
            <w:r w:rsidRPr="00DA44BA">
              <w:rPr>
                <w:rFonts w:ascii="Palatino Linotype" w:eastAsia="Times New Roman" w:hAnsi="Palatino Linotype"/>
                <w:color w:val="000000"/>
                <w:sz w:val="16"/>
                <w:szCs w:val="16"/>
                <w:lang w:val="en-US"/>
              </w:rPr>
              <w:fldChar w:fldCharType="separate"/>
            </w:r>
            <w:r w:rsidRPr="00DA44BA">
              <w:rPr>
                <w:rFonts w:ascii="Palatino Linotype" w:hAnsi="Palatino Linotype"/>
                <w:sz w:val="16"/>
              </w:rPr>
              <w:t>[53]</w:t>
            </w:r>
            <w:r w:rsidRPr="00DA44BA">
              <w:rPr>
                <w:rFonts w:ascii="Palatino Linotype" w:eastAsia="Times New Roman" w:hAnsi="Palatino Linotype"/>
                <w:color w:val="000000"/>
                <w:sz w:val="16"/>
                <w:szCs w:val="16"/>
                <w:lang w:val="en-US"/>
              </w:rPr>
              <w:fldChar w:fldCharType="end"/>
            </w:r>
            <w:r w:rsidRPr="00DA44BA">
              <w:rPr>
                <w:rFonts w:ascii="Palatino Linotype" w:eastAsia="Times New Roman" w:hAnsi="Palatino Linotype"/>
                <w:color w:val="000000"/>
                <w:sz w:val="16"/>
                <w:szCs w:val="16"/>
                <w:lang w:val="en-US"/>
              </w:rPr>
              <w:t xml:space="preserve"> </w:t>
            </w:r>
          </w:p>
        </w:tc>
        <w:tc>
          <w:tcPr>
            <w:tcW w:w="1985" w:type="dxa"/>
            <w:vAlign w:val="center"/>
            <w:hideMark/>
          </w:tcPr>
          <w:p w14:paraId="2606EA24"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fNIRS (NIRSport, NIRx Medical Technologies LLC, New York, USA)</w:t>
            </w:r>
          </w:p>
        </w:tc>
        <w:tc>
          <w:tcPr>
            <w:tcW w:w="1002" w:type="dxa"/>
            <w:noWrap/>
            <w:vAlign w:val="center"/>
            <w:hideMark/>
          </w:tcPr>
          <w:p w14:paraId="72511FF2"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8.7193 Hz</w:t>
            </w:r>
          </w:p>
        </w:tc>
        <w:tc>
          <w:tcPr>
            <w:tcW w:w="665" w:type="dxa"/>
            <w:noWrap/>
            <w:vAlign w:val="center"/>
            <w:hideMark/>
          </w:tcPr>
          <w:p w14:paraId="2D4381F3"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r w:rsidRPr="00DA44BA">
              <w:rPr>
                <w:rFonts w:ascii="Wingdings" w:eastAsia="Times New Roman" w:hAnsi="Wingdings"/>
                <w:color w:val="000000"/>
                <w:sz w:val="28"/>
                <w:szCs w:val="28"/>
                <w:lang w:val="es-PE"/>
              </w:rPr>
              <w:t></w:t>
            </w:r>
          </w:p>
        </w:tc>
        <w:tc>
          <w:tcPr>
            <w:tcW w:w="683" w:type="dxa"/>
            <w:noWrap/>
            <w:vAlign w:val="center"/>
            <w:hideMark/>
          </w:tcPr>
          <w:p w14:paraId="11DD04A6"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s-PE"/>
              </w:rPr>
            </w:pPr>
          </w:p>
        </w:tc>
        <w:tc>
          <w:tcPr>
            <w:tcW w:w="700" w:type="dxa"/>
            <w:noWrap/>
            <w:vAlign w:val="center"/>
            <w:hideMark/>
          </w:tcPr>
          <w:p w14:paraId="6707FEB6"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p>
        </w:tc>
        <w:tc>
          <w:tcPr>
            <w:tcW w:w="852" w:type="dxa"/>
            <w:noWrap/>
            <w:vAlign w:val="center"/>
            <w:hideMark/>
          </w:tcPr>
          <w:p w14:paraId="38C384FA"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p>
        </w:tc>
        <w:tc>
          <w:tcPr>
            <w:tcW w:w="807" w:type="dxa"/>
            <w:noWrap/>
            <w:vAlign w:val="center"/>
            <w:hideMark/>
          </w:tcPr>
          <w:p w14:paraId="3FD14423"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s-PE"/>
              </w:rPr>
            </w:pPr>
          </w:p>
        </w:tc>
        <w:tc>
          <w:tcPr>
            <w:tcW w:w="2662" w:type="dxa"/>
            <w:vAlign w:val="center"/>
            <w:hideMark/>
          </w:tcPr>
          <w:p w14:paraId="5A2FB9F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40 passes. The participant must pass the ball as quickly as possible against one of the three back walls, positioned in a semicircle at 0°, 45°, and 90° angles around the participant, with a radius of 4 meters</w:t>
            </w:r>
          </w:p>
        </w:tc>
        <w:tc>
          <w:tcPr>
            <w:tcW w:w="851" w:type="dxa"/>
            <w:vAlign w:val="center"/>
            <w:hideMark/>
          </w:tcPr>
          <w:p w14:paraId="73FE5554"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w:t>
            </w:r>
          </w:p>
        </w:tc>
        <w:tc>
          <w:tcPr>
            <w:tcW w:w="1197" w:type="dxa"/>
            <w:vAlign w:val="center"/>
            <w:hideMark/>
          </w:tcPr>
          <w:p w14:paraId="7F1C697A"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Laboratoty</w:t>
            </w:r>
          </w:p>
        </w:tc>
        <w:tc>
          <w:tcPr>
            <w:tcW w:w="887" w:type="dxa"/>
            <w:vAlign w:val="center"/>
            <w:hideMark/>
          </w:tcPr>
          <w:p w14:paraId="0007782B"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s-PE"/>
              </w:rPr>
            </w:pPr>
            <w:r w:rsidRPr="00DA44BA">
              <w:rPr>
                <w:rFonts w:ascii="Palatino Linotype" w:eastAsia="Times New Roman" w:hAnsi="Palatino Linotype"/>
                <w:color w:val="000000"/>
                <w:sz w:val="16"/>
                <w:szCs w:val="16"/>
                <w:lang w:val="es-PE"/>
              </w:rPr>
              <w:t>No</w:t>
            </w:r>
          </w:p>
        </w:tc>
        <w:tc>
          <w:tcPr>
            <w:tcW w:w="2451" w:type="dxa"/>
            <w:vAlign w:val="center"/>
            <w:hideMark/>
          </w:tcPr>
          <w:p w14:paraId="3999AD10"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Vienna Test System (Schuhfried GmbH, Mödling, Austria) to measure reactivity and decision-making; Witty SEM (Microgate GmbH, Bolzano, Italy) to measure cognitive decision-making, sustained attention, reactivity, and decision-making in football situations and passes; Polar RS400 (Polar Electro Oy, Kempele, Finland) for measuring heart rate</w:t>
            </w:r>
          </w:p>
        </w:tc>
      </w:tr>
      <w:tr w:rsidR="000210B2" w:rsidRPr="00DA44BA" w14:paraId="4E8BA9A0" w14:textId="77777777" w:rsidTr="00A33288">
        <w:trPr>
          <w:trHeight w:val="1980"/>
        </w:trPr>
        <w:tc>
          <w:tcPr>
            <w:tcW w:w="1844" w:type="dxa"/>
            <w:vAlign w:val="center"/>
            <w:hideMark/>
          </w:tcPr>
          <w:p w14:paraId="73F00389" w14:textId="77777777" w:rsidR="000210B2" w:rsidRPr="00DA44BA" w:rsidRDefault="000210B2" w:rsidP="00A33288">
            <w:pPr>
              <w:spacing w:line="240" w:lineRule="auto"/>
              <w:ind w:firstLine="0"/>
              <w:jc w:val="left"/>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 xml:space="preserve">Slutter et al. </w:t>
            </w:r>
            <w:r w:rsidRPr="00DA44BA">
              <w:rPr>
                <w:rFonts w:ascii="Palatino Linotype" w:eastAsia="Times New Roman" w:hAnsi="Palatino Linotype"/>
                <w:color w:val="000000"/>
                <w:sz w:val="16"/>
                <w:szCs w:val="16"/>
                <w:lang w:val="en-US"/>
              </w:rPr>
              <w:fldChar w:fldCharType="begin"/>
            </w:r>
            <w:r w:rsidRPr="00DA44BA">
              <w:rPr>
                <w:rFonts w:ascii="Palatino Linotype" w:eastAsia="Times New Roman" w:hAnsi="Palatino Linotype"/>
                <w:color w:val="000000"/>
                <w:sz w:val="16"/>
                <w:szCs w:val="16"/>
                <w:lang w:val="en-US"/>
              </w:rPr>
              <w:instrText xml:space="preserve"> ADDIN ZOTERO_ITEM CSL_CITATION {"citationID":"K4HnLixE","properties":{"formattedCitation":"[54]","plainCitation":"[54]","noteIndex":0},"citationItems":[{"id":1456,"uris":["http://zotero.org/users/17215328/items/EFGQM4RV"],"itemData":{"id":1456,"type":"article-journal","abstract":"At vital moments in professional soccer matches, penalties were often missed. Psychological factors, such as anxiety and pressure, are among the critical causes of the mistakes, commonly known as choking under pressure. Nevertheless, the factors have not been fully explored. In this study, we used functional near-infrared spectroscopy (fNIRS) to investigate the influence of the brain on this process. An in-situ study was set-up (N = 22), in which each participant took 15 penalties under three different pressure conditions: without a goalkeeper, with an amiable goalkeeper, and with a competitive goalkeeper. Both experienced and inexperienced soccer players were recruited, and the brain activation was compared across groups. Besides, fNIRS activation was compared between sessions that participants felt anxious against sessions without anxiety report, and between penalty-scoring and -missing sessions. The results show that the task-relevant brain region, the motor cortex, was more activated when players were not experiencing performance anxiety. The activation of task-irrelevant areas was shown to be related to players experiencing anxiety and missing penalties, especially the prefrontal cortex (PFC). More particularly, an overall higher activation of the PFC and an increase of PFC lateral asymmetry were related to anxious players and missed penalties, which can be caused by players' worries about the consequences of scoring or missing the penalty kicks. When experienced players were feeling anxious, their left temporal cortex activation increased, which could be an indication that experienced overthink the situation and neglect their automated skills. Besides, the left temporal cortex activation is higher when inexperienced players succeeded to score a penalty. Overall, the results of this study are in line with the neural efficiency theory and demonstrate the feasibility and ecological validity to detect neurological clues relevant to anxiety and performance from fNIRS recordings in the field. © Copyright © 2021 Slutter, Thammasan and Poel.","archive":"Scopus","container-title":"Frontiers in Computer Science","DOI":"10.3389/fcomp.2021.661466","ISSN":"26249898 (ISSN)","journalAbbreviation":"Frontier. Comput. Sci.","language":"English","publisher":"Frontiers Media S.A.","title":"Exploring the Brain Activity Related to Missing Penalty Kicks: An fNIRS Study","URL":"https://scopus.pucp.elogim.com/inward/record.uri?eid=2-s2.0-85108212567&amp;doi=10.3389%2ffcomp.2021.661466&amp;partnerID=40&amp;md5=3ba9f412df8fa4879fa0d6d0d22f1698","volume":"3","author":[{"family":"Slutter","given":"M.W.J."},{"family":"Thammasan","given":"N."},{"family":"Poel","given":"M."}],"issued":{"date-parts":[["2021"]]}}}],"schema":"https://github.com/citation-style-language/schema/raw/master/csl-citation.json"} </w:instrText>
            </w:r>
            <w:r w:rsidRPr="00DA44BA">
              <w:rPr>
                <w:rFonts w:ascii="Palatino Linotype" w:eastAsia="Times New Roman" w:hAnsi="Palatino Linotype"/>
                <w:color w:val="000000"/>
                <w:sz w:val="16"/>
                <w:szCs w:val="16"/>
                <w:lang w:val="en-US"/>
              </w:rPr>
              <w:fldChar w:fldCharType="separate"/>
            </w:r>
            <w:r w:rsidRPr="00DA44BA">
              <w:rPr>
                <w:rFonts w:ascii="Palatino Linotype" w:hAnsi="Palatino Linotype"/>
                <w:sz w:val="16"/>
              </w:rPr>
              <w:t>[54]</w:t>
            </w:r>
            <w:r w:rsidRPr="00DA44BA">
              <w:rPr>
                <w:rFonts w:ascii="Palatino Linotype" w:eastAsia="Times New Roman" w:hAnsi="Palatino Linotype"/>
                <w:color w:val="000000"/>
                <w:sz w:val="16"/>
                <w:szCs w:val="16"/>
                <w:lang w:val="en-US"/>
              </w:rPr>
              <w:fldChar w:fldCharType="end"/>
            </w:r>
            <w:r w:rsidRPr="00DA44BA">
              <w:rPr>
                <w:rFonts w:ascii="Palatino Linotype" w:eastAsia="Times New Roman" w:hAnsi="Palatino Linotype"/>
                <w:color w:val="000000"/>
                <w:sz w:val="16"/>
                <w:szCs w:val="16"/>
                <w:lang w:val="en-US"/>
              </w:rPr>
              <w:t xml:space="preserve"> </w:t>
            </w:r>
          </w:p>
        </w:tc>
        <w:tc>
          <w:tcPr>
            <w:tcW w:w="1985" w:type="dxa"/>
            <w:vAlign w:val="center"/>
            <w:hideMark/>
          </w:tcPr>
          <w:p w14:paraId="59C49228"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fNIRS (Artinis Brite 24, The Netherlands)</w:t>
            </w:r>
          </w:p>
        </w:tc>
        <w:tc>
          <w:tcPr>
            <w:tcW w:w="1002" w:type="dxa"/>
            <w:noWrap/>
            <w:vAlign w:val="center"/>
            <w:hideMark/>
          </w:tcPr>
          <w:p w14:paraId="6527FE3E"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10 Hz</w:t>
            </w:r>
          </w:p>
        </w:tc>
        <w:tc>
          <w:tcPr>
            <w:tcW w:w="665" w:type="dxa"/>
            <w:noWrap/>
            <w:vAlign w:val="center"/>
            <w:hideMark/>
          </w:tcPr>
          <w:p w14:paraId="4A517813"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US"/>
              </w:rPr>
            </w:pPr>
            <w:r w:rsidRPr="00DA44BA">
              <w:rPr>
                <w:rFonts w:ascii="Wingdings" w:eastAsia="Times New Roman" w:hAnsi="Wingdings"/>
                <w:color w:val="000000"/>
                <w:sz w:val="28"/>
                <w:szCs w:val="28"/>
                <w:lang w:val="es-PE"/>
              </w:rPr>
              <w:t></w:t>
            </w:r>
          </w:p>
        </w:tc>
        <w:tc>
          <w:tcPr>
            <w:tcW w:w="683" w:type="dxa"/>
            <w:noWrap/>
            <w:vAlign w:val="center"/>
            <w:hideMark/>
          </w:tcPr>
          <w:p w14:paraId="32784BCB"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US"/>
              </w:rPr>
            </w:pPr>
          </w:p>
        </w:tc>
        <w:tc>
          <w:tcPr>
            <w:tcW w:w="700" w:type="dxa"/>
            <w:noWrap/>
            <w:vAlign w:val="center"/>
            <w:hideMark/>
          </w:tcPr>
          <w:p w14:paraId="4C006AE2" w14:textId="77777777" w:rsidR="000210B2" w:rsidRPr="00DA44BA" w:rsidRDefault="000210B2" w:rsidP="00A33288">
            <w:pPr>
              <w:spacing w:line="240" w:lineRule="auto"/>
              <w:ind w:firstLine="0"/>
              <w:jc w:val="center"/>
              <w:rPr>
                <w:rFonts w:ascii="Times New Roman" w:eastAsia="Times New Roman" w:hAnsi="Times New Roman" w:cs="Times New Roman"/>
                <w:sz w:val="20"/>
                <w:szCs w:val="20"/>
                <w:lang w:val="en-US"/>
              </w:rPr>
            </w:pPr>
          </w:p>
        </w:tc>
        <w:tc>
          <w:tcPr>
            <w:tcW w:w="852" w:type="dxa"/>
            <w:noWrap/>
            <w:vAlign w:val="center"/>
            <w:hideMark/>
          </w:tcPr>
          <w:p w14:paraId="47114C86"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US"/>
              </w:rPr>
            </w:pPr>
            <w:r w:rsidRPr="00DA44BA">
              <w:rPr>
                <w:rFonts w:ascii="Wingdings" w:eastAsia="Times New Roman" w:hAnsi="Wingdings"/>
                <w:color w:val="000000"/>
                <w:sz w:val="28"/>
                <w:szCs w:val="28"/>
                <w:lang w:val="es-PE"/>
              </w:rPr>
              <w:t></w:t>
            </w:r>
          </w:p>
        </w:tc>
        <w:tc>
          <w:tcPr>
            <w:tcW w:w="807" w:type="dxa"/>
            <w:noWrap/>
            <w:vAlign w:val="center"/>
            <w:hideMark/>
          </w:tcPr>
          <w:p w14:paraId="7DB18425" w14:textId="77777777" w:rsidR="000210B2" w:rsidRPr="00DA44BA" w:rsidRDefault="000210B2" w:rsidP="00A33288">
            <w:pPr>
              <w:spacing w:line="240" w:lineRule="auto"/>
              <w:ind w:firstLine="0"/>
              <w:jc w:val="center"/>
              <w:rPr>
                <w:rFonts w:ascii="Wingdings" w:eastAsia="Times New Roman" w:hAnsi="Wingdings"/>
                <w:color w:val="000000"/>
                <w:sz w:val="28"/>
                <w:szCs w:val="28"/>
                <w:lang w:val="en-US"/>
              </w:rPr>
            </w:pPr>
          </w:p>
        </w:tc>
        <w:tc>
          <w:tcPr>
            <w:tcW w:w="2662" w:type="dxa"/>
            <w:vAlign w:val="center"/>
            <w:hideMark/>
          </w:tcPr>
          <w:p w14:paraId="1E278CFC"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15 penalty kicking task were made in three rounds, each of which consisted of five penalties with the goalkeeper. The pressure increased per round</w:t>
            </w:r>
          </w:p>
        </w:tc>
        <w:tc>
          <w:tcPr>
            <w:tcW w:w="851" w:type="dxa"/>
            <w:vAlign w:val="center"/>
            <w:hideMark/>
          </w:tcPr>
          <w:p w14:paraId="6E5857AA"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Preferred</w:t>
            </w:r>
          </w:p>
        </w:tc>
        <w:tc>
          <w:tcPr>
            <w:tcW w:w="1197" w:type="dxa"/>
            <w:vAlign w:val="center"/>
            <w:hideMark/>
          </w:tcPr>
          <w:p w14:paraId="4E2816D5"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Artificial soccer pitch</w:t>
            </w:r>
          </w:p>
        </w:tc>
        <w:tc>
          <w:tcPr>
            <w:tcW w:w="887" w:type="dxa"/>
            <w:vAlign w:val="center"/>
            <w:hideMark/>
          </w:tcPr>
          <w:p w14:paraId="7300CFCE"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Yes - GK</w:t>
            </w:r>
          </w:p>
        </w:tc>
        <w:tc>
          <w:tcPr>
            <w:tcW w:w="2451" w:type="dxa"/>
            <w:vAlign w:val="center"/>
            <w:hideMark/>
          </w:tcPr>
          <w:p w14:paraId="0130F74B" w14:textId="77777777" w:rsidR="000210B2" w:rsidRPr="00DA44BA" w:rsidRDefault="000210B2" w:rsidP="00A33288">
            <w:pPr>
              <w:spacing w:line="240" w:lineRule="auto"/>
              <w:ind w:firstLine="0"/>
              <w:jc w:val="center"/>
              <w:rPr>
                <w:rFonts w:ascii="Palatino Linotype" w:eastAsia="Times New Roman" w:hAnsi="Palatino Linotype"/>
                <w:color w:val="000000"/>
                <w:sz w:val="16"/>
                <w:szCs w:val="16"/>
                <w:lang w:val="en-US"/>
              </w:rPr>
            </w:pPr>
            <w:r w:rsidRPr="00DA44BA">
              <w:rPr>
                <w:rFonts w:ascii="Palatino Linotype" w:eastAsia="Times New Roman" w:hAnsi="Palatino Linotype"/>
                <w:color w:val="000000"/>
                <w:sz w:val="16"/>
                <w:szCs w:val="16"/>
                <w:lang w:val="en-US"/>
              </w:rPr>
              <w:t>2D kinematics (2 GoPro® cameras - 60 Hz) one for measuring placement and power of the shot. Another GoPro was used to measure the duration for which players looked at the goalkeeper</w:t>
            </w:r>
          </w:p>
        </w:tc>
      </w:tr>
    </w:tbl>
    <w:p w14:paraId="5EF72D80" w14:textId="77777777" w:rsidR="000210B2" w:rsidRPr="00DA44BA" w:rsidRDefault="000210B2" w:rsidP="000210B2">
      <w:pPr>
        <w:widowControl w:val="0"/>
        <w:pBdr>
          <w:top w:val="nil"/>
          <w:left w:val="nil"/>
          <w:bottom w:val="nil"/>
          <w:right w:val="nil"/>
          <w:between w:val="nil"/>
        </w:pBdr>
        <w:spacing w:line="480" w:lineRule="auto"/>
        <w:ind w:firstLine="0"/>
        <w:rPr>
          <w:rFonts w:ascii="Times New Roman" w:eastAsia="Times New Roman" w:hAnsi="Times New Roman" w:cs="Times New Roman"/>
          <w:i/>
          <w:iCs/>
          <w:sz w:val="24"/>
          <w:szCs w:val="24"/>
          <w:lang w:val="en-US"/>
        </w:rPr>
      </w:pPr>
    </w:p>
    <w:p w14:paraId="4B996CA7" w14:textId="77777777" w:rsidR="000210B2" w:rsidRPr="00DA44BA" w:rsidRDefault="000210B2" w:rsidP="000210B2">
      <w:pPr>
        <w:widowControl w:val="0"/>
        <w:pBdr>
          <w:top w:val="nil"/>
          <w:left w:val="nil"/>
          <w:bottom w:val="nil"/>
          <w:right w:val="nil"/>
          <w:between w:val="nil"/>
        </w:pBdr>
        <w:ind w:firstLine="0"/>
        <w:rPr>
          <w:rFonts w:ascii="Times New Roman" w:eastAsia="Times New Roman" w:hAnsi="Times New Roman" w:cs="Times New Roman"/>
          <w:sz w:val="24"/>
          <w:szCs w:val="24"/>
          <w:lang w:val="en-US"/>
        </w:rPr>
      </w:pPr>
      <w:r w:rsidRPr="00DA44BA">
        <w:rPr>
          <w:rFonts w:ascii="Times New Roman" w:eastAsia="Times New Roman" w:hAnsi="Times New Roman" w:cs="Times New Roman"/>
          <w:i/>
          <w:iCs/>
          <w:sz w:val="24"/>
          <w:szCs w:val="24"/>
          <w:lang w:val="en-US"/>
        </w:rPr>
        <w:t>Note</w:t>
      </w:r>
      <w:r w:rsidRPr="00DA44BA">
        <w:rPr>
          <w:rFonts w:ascii="Times New Roman" w:eastAsia="Times New Roman" w:hAnsi="Times New Roman" w:cs="Times New Roman"/>
          <w:sz w:val="24"/>
          <w:szCs w:val="24"/>
          <w:lang w:val="en-US"/>
        </w:rPr>
        <w:t>: IMU = inertial measurement unit; GK = goalkeeper; EEG = electroencephalogram; fNIRS = functional near-infrared spectroscopy. -- = information not reported or unclear.</w:t>
      </w:r>
    </w:p>
    <w:p w14:paraId="57EA24BF" w14:textId="77777777" w:rsidR="000210B2" w:rsidRPr="00DA44BA" w:rsidRDefault="000210B2" w:rsidP="000210B2">
      <w:pPr>
        <w:widowControl w:val="0"/>
        <w:pBdr>
          <w:top w:val="nil"/>
          <w:left w:val="nil"/>
          <w:bottom w:val="nil"/>
          <w:right w:val="nil"/>
          <w:between w:val="nil"/>
        </w:pBdr>
        <w:spacing w:line="480" w:lineRule="auto"/>
        <w:ind w:firstLine="0"/>
        <w:rPr>
          <w:rFonts w:ascii="Times New Roman" w:eastAsia="Times New Roman" w:hAnsi="Times New Roman" w:cs="Times New Roman"/>
          <w:sz w:val="24"/>
          <w:szCs w:val="24"/>
          <w:lang w:val="en-US"/>
        </w:rPr>
      </w:pPr>
    </w:p>
    <w:p w14:paraId="4C90AAAC" w14:textId="77777777" w:rsidR="000210B2" w:rsidRPr="00DA44BA" w:rsidRDefault="000210B2" w:rsidP="000210B2">
      <w:pPr>
        <w:rPr>
          <w:rFonts w:ascii="Times New Roman" w:eastAsia="Times New Roman" w:hAnsi="Times New Roman" w:cs="Times New Roman"/>
          <w:sz w:val="24"/>
          <w:szCs w:val="24"/>
          <w:lang w:val="en-US"/>
        </w:rPr>
      </w:pPr>
      <w:r w:rsidRPr="00DA44BA">
        <w:rPr>
          <w:rFonts w:ascii="Times New Roman" w:eastAsia="Times New Roman" w:hAnsi="Times New Roman" w:cs="Times New Roman"/>
          <w:sz w:val="24"/>
          <w:szCs w:val="24"/>
          <w:lang w:val="en-US"/>
        </w:rPr>
        <w:br w:type="page"/>
      </w:r>
    </w:p>
    <w:p w14:paraId="1FECC850"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0B2"/>
    <w:rsid w:val="000210B2"/>
    <w:rsid w:val="000C4033"/>
    <w:rsid w:val="004B42CB"/>
    <w:rsid w:val="005F2B46"/>
    <w:rsid w:val="006E1731"/>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93BD8"/>
  <w15:chartTrackingRefBased/>
  <w15:docId w15:val="{1F39D7FC-3C6E-4421-894E-DD851BE50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0B2"/>
    <w:pPr>
      <w:spacing w:after="0" w:line="360" w:lineRule="auto"/>
      <w:ind w:firstLine="567"/>
      <w:jc w:val="both"/>
    </w:pPr>
    <w:rPr>
      <w:rFonts w:ascii="Calibri" w:eastAsia="Calibri" w:hAnsi="Calibri" w:cs="Calibri"/>
      <w:kern w:val="0"/>
      <w:sz w:val="22"/>
      <w:szCs w:val="22"/>
      <w:lang w:val="en" w:eastAsia="es-PE"/>
      <w14:ligatures w14:val="none"/>
    </w:rPr>
  </w:style>
  <w:style w:type="paragraph" w:styleId="Heading1">
    <w:name w:val="heading 1"/>
    <w:basedOn w:val="Normal"/>
    <w:next w:val="Normal"/>
    <w:link w:val="Heading1Char"/>
    <w:uiPriority w:val="9"/>
    <w:qFormat/>
    <w:rsid w:val="000210B2"/>
    <w:pPr>
      <w:keepNext/>
      <w:keepLines/>
      <w:spacing w:before="360" w:after="80" w:line="278" w:lineRule="auto"/>
      <w:ind w:firstLine="0"/>
      <w:jc w:val="left"/>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0210B2"/>
    <w:pPr>
      <w:keepNext/>
      <w:keepLines/>
      <w:spacing w:before="160" w:after="80" w:line="278" w:lineRule="auto"/>
      <w:ind w:firstLine="0"/>
      <w:jc w:val="left"/>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0210B2"/>
    <w:pPr>
      <w:keepNext/>
      <w:keepLines/>
      <w:spacing w:before="160" w:after="80" w:line="278" w:lineRule="auto"/>
      <w:ind w:firstLine="0"/>
      <w:jc w:val="left"/>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0210B2"/>
    <w:pPr>
      <w:keepNext/>
      <w:keepLines/>
      <w:spacing w:before="80" w:after="40" w:line="278" w:lineRule="auto"/>
      <w:ind w:firstLine="0"/>
      <w:jc w:val="left"/>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0210B2"/>
    <w:pPr>
      <w:keepNext/>
      <w:keepLines/>
      <w:spacing w:before="80" w:after="40" w:line="278" w:lineRule="auto"/>
      <w:ind w:firstLine="0"/>
      <w:jc w:val="left"/>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0210B2"/>
    <w:pPr>
      <w:keepNext/>
      <w:keepLines/>
      <w:spacing w:before="40" w:line="278" w:lineRule="auto"/>
      <w:ind w:firstLine="0"/>
      <w:jc w:val="left"/>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0210B2"/>
    <w:pPr>
      <w:keepNext/>
      <w:keepLines/>
      <w:spacing w:before="40" w:line="278" w:lineRule="auto"/>
      <w:ind w:firstLine="0"/>
      <w:jc w:val="left"/>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0210B2"/>
    <w:pPr>
      <w:keepNext/>
      <w:keepLines/>
      <w:spacing w:line="278" w:lineRule="auto"/>
      <w:ind w:firstLine="0"/>
      <w:jc w:val="left"/>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0210B2"/>
    <w:pPr>
      <w:keepNext/>
      <w:keepLines/>
      <w:spacing w:line="278" w:lineRule="auto"/>
      <w:ind w:firstLine="0"/>
      <w:jc w:val="left"/>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0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0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0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0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0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0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0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0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0B2"/>
    <w:rPr>
      <w:rFonts w:eastAsiaTheme="majorEastAsia" w:cstheme="majorBidi"/>
      <w:color w:val="272727" w:themeColor="text1" w:themeTint="D8"/>
    </w:rPr>
  </w:style>
  <w:style w:type="paragraph" w:styleId="Title">
    <w:name w:val="Title"/>
    <w:basedOn w:val="Normal"/>
    <w:next w:val="Normal"/>
    <w:link w:val="TitleChar"/>
    <w:uiPriority w:val="10"/>
    <w:qFormat/>
    <w:rsid w:val="000210B2"/>
    <w:pPr>
      <w:spacing w:after="80" w:line="240" w:lineRule="auto"/>
      <w:ind w:firstLine="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0210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0B2"/>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0210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0B2"/>
    <w:pPr>
      <w:spacing w:before="160" w:after="160" w:line="278" w:lineRule="auto"/>
      <w:ind w:firstLine="0"/>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0210B2"/>
    <w:rPr>
      <w:i/>
      <w:iCs/>
      <w:color w:val="404040" w:themeColor="text1" w:themeTint="BF"/>
    </w:rPr>
  </w:style>
  <w:style w:type="paragraph" w:styleId="ListParagraph">
    <w:name w:val="List Paragraph"/>
    <w:basedOn w:val="Normal"/>
    <w:uiPriority w:val="34"/>
    <w:qFormat/>
    <w:rsid w:val="000210B2"/>
    <w:pPr>
      <w:spacing w:after="160" w:line="278" w:lineRule="auto"/>
      <w:ind w:left="720" w:firstLine="0"/>
      <w:contextualSpacing/>
      <w:jc w:val="left"/>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0210B2"/>
    <w:rPr>
      <w:i/>
      <w:iCs/>
      <w:color w:val="0F4761" w:themeColor="accent1" w:themeShade="BF"/>
    </w:rPr>
  </w:style>
  <w:style w:type="paragraph" w:styleId="IntenseQuote">
    <w:name w:val="Intense Quote"/>
    <w:basedOn w:val="Normal"/>
    <w:next w:val="Normal"/>
    <w:link w:val="IntenseQuoteChar"/>
    <w:uiPriority w:val="30"/>
    <w:qFormat/>
    <w:rsid w:val="000210B2"/>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0210B2"/>
    <w:rPr>
      <w:i/>
      <w:iCs/>
      <w:color w:val="0F4761" w:themeColor="accent1" w:themeShade="BF"/>
    </w:rPr>
  </w:style>
  <w:style w:type="character" w:styleId="IntenseReference">
    <w:name w:val="Intense Reference"/>
    <w:basedOn w:val="DefaultParagraphFont"/>
    <w:uiPriority w:val="32"/>
    <w:qFormat/>
    <w:rsid w:val="000210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3616</Words>
  <Characters>22095</Characters>
  <Application>Microsoft Office Word</Application>
  <DocSecurity>0</DocSecurity>
  <Lines>513</Lines>
  <Paragraphs>168</Paragraphs>
  <ScaleCrop>false</ScaleCrop>
  <Company/>
  <LinksUpToDate>false</LinksUpToDate>
  <CharactersWithSpaces>25543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2026-03-12T20:26:00Z</dcterms:created>
  <dcterms:modified xsi:type="dcterms:W3CDTF">2026-03-12T20:26:00Z</dcterms:modified>
</cp:coreProperties>
</file>