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DE7" w:rsidRDefault="00F83DE7" w:rsidP="00F83DE7">
      <w:pPr>
        <w:rPr>
          <w:rFonts w:ascii="Times New Roman" w:hAnsi="Times New Roman" w:cs="Times New Roman"/>
          <w:b/>
          <w:sz w:val="28"/>
          <w:szCs w:val="28"/>
        </w:rPr>
      </w:pPr>
      <w:r>
        <w:rPr>
          <w:rFonts w:ascii="Times New Roman" w:hAnsi="Times New Roman" w:cs="Times New Roman"/>
          <w:b/>
          <w:sz w:val="28"/>
          <w:szCs w:val="28"/>
        </w:rPr>
        <w:t>Supplementary:</w:t>
      </w:r>
    </w:p>
    <w:p w:rsidR="00F83DE7" w:rsidRDefault="00F83DE7" w:rsidP="00F83DE7">
      <w:pPr>
        <w:rPr>
          <w:rFonts w:ascii="Times New Roman" w:hAnsi="Times New Roman" w:cs="Times New Roman"/>
          <w:b/>
          <w:sz w:val="28"/>
          <w:szCs w:val="28"/>
        </w:rPr>
      </w:pPr>
    </w:p>
    <w:p w:rsidR="00F83DE7" w:rsidRPr="00F8116A" w:rsidRDefault="00F83DE7" w:rsidP="00F83DE7">
      <w:pPr>
        <w:rPr>
          <w:rFonts w:ascii="Times New Roman" w:hAnsi="Times New Roman" w:cs="Times New Roman"/>
        </w:rPr>
      </w:pPr>
      <w:r w:rsidRPr="00F8116A">
        <w:rPr>
          <w:rFonts w:ascii="Times New Roman" w:hAnsi="Times New Roman" w:cs="Times New Roman"/>
          <w:b/>
        </w:rPr>
        <w:t xml:space="preserve">Table S1. </w:t>
      </w:r>
      <w:r w:rsidRPr="00F8116A">
        <w:rPr>
          <w:rFonts w:ascii="Times New Roman" w:hAnsi="Times New Roman" w:cs="Times New Roman"/>
        </w:rPr>
        <w:t xml:space="preserve">Annotated population input data used to reconstruct long-term dynamics of the reintroduced </w:t>
      </w:r>
      <w:r w:rsidRPr="00F8116A">
        <w:rPr>
          <w:rFonts w:ascii="Times New Roman" w:hAnsi="Times New Roman" w:cs="Times New Roman"/>
          <w:i/>
        </w:rPr>
        <w:t>Parnassius apollo</w:t>
      </w:r>
      <w:r w:rsidRPr="00F8116A">
        <w:rPr>
          <w:rFonts w:ascii="Times New Roman" w:hAnsi="Times New Roman" w:cs="Times New Roman"/>
        </w:rPr>
        <w:t xml:space="preserve"> population in Štramberk (1986–2024).</w:t>
      </w:r>
    </w:p>
    <w:tbl>
      <w:tblPr>
        <w:tblStyle w:val="Mkatabul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
        <w:gridCol w:w="1695"/>
        <w:gridCol w:w="1985"/>
        <w:gridCol w:w="2126"/>
        <w:gridCol w:w="3544"/>
      </w:tblGrid>
      <w:tr w:rsidR="00F83DE7" w:rsidRPr="007B7869" w:rsidTr="00AF3D17">
        <w:tc>
          <w:tcPr>
            <w:tcW w:w="681" w:type="dxa"/>
            <w:tcBorders>
              <w:top w:val="single" w:sz="4" w:space="0" w:color="auto"/>
              <w:bottom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b/>
              </w:rPr>
              <w:t>Year</w:t>
            </w:r>
          </w:p>
        </w:tc>
        <w:tc>
          <w:tcPr>
            <w:tcW w:w="1695" w:type="dxa"/>
            <w:tcBorders>
              <w:top w:val="single" w:sz="4" w:space="0" w:color="auto"/>
              <w:bottom w:val="single" w:sz="4" w:space="0" w:color="auto"/>
            </w:tcBorders>
          </w:tcPr>
          <w:p w:rsidR="00F83DE7" w:rsidRPr="007B7869" w:rsidRDefault="00F83DE7" w:rsidP="00AF3D17">
            <w:pPr>
              <w:ind w:right="-108"/>
              <w:rPr>
                <w:rFonts w:ascii="Times New Roman" w:hAnsi="Times New Roman" w:cs="Times New Roman"/>
              </w:rPr>
            </w:pPr>
            <w:r w:rsidRPr="007B7869">
              <w:rPr>
                <w:rFonts w:ascii="Times New Roman" w:hAnsi="Times New Roman" w:cs="Times New Roman"/>
                <w:b/>
              </w:rPr>
              <w:t>Estimated adult abundance (</w:t>
            </w:r>
            <w:r w:rsidRPr="007B7869">
              <w:rPr>
                <w:rFonts w:ascii="Times New Roman" w:hAnsi="Times New Roman" w:cs="Times New Roman"/>
                <w:b/>
                <w:i/>
              </w:rPr>
              <w:t>N</w:t>
            </w:r>
            <w:r w:rsidRPr="007B7869">
              <w:rPr>
                <w:rFonts w:ascii="Times New Roman" w:hAnsi="Times New Roman" w:cs="Times New Roman"/>
                <w:b/>
              </w:rPr>
              <w:t>)</w:t>
            </w:r>
          </w:p>
        </w:tc>
        <w:tc>
          <w:tcPr>
            <w:tcW w:w="1985" w:type="dxa"/>
            <w:tcBorders>
              <w:top w:val="single" w:sz="4" w:space="0" w:color="auto"/>
              <w:bottom w:val="single" w:sz="4" w:space="0" w:color="auto"/>
            </w:tcBorders>
          </w:tcPr>
          <w:p w:rsidR="00F83DE7" w:rsidRPr="007B7869" w:rsidRDefault="00F83DE7" w:rsidP="00AF3D17">
            <w:pPr>
              <w:ind w:right="-108"/>
              <w:rPr>
                <w:rFonts w:ascii="Times New Roman" w:hAnsi="Times New Roman" w:cs="Times New Roman"/>
              </w:rPr>
            </w:pPr>
            <w:r w:rsidRPr="007B7869">
              <w:rPr>
                <w:rFonts w:ascii="Times New Roman" w:hAnsi="Times New Roman" w:cs="Times New Roman"/>
                <w:b/>
              </w:rPr>
              <w:t>Semi-quantitative scale (</w:t>
            </w:r>
            <w:r w:rsidRPr="007B7869">
              <w:rPr>
                <w:rFonts w:ascii="Times New Roman" w:hAnsi="Times New Roman" w:cs="Times New Roman"/>
                <w:b/>
                <w:i/>
              </w:rPr>
              <w:t>AB_semi100</w:t>
            </w:r>
            <w:r w:rsidRPr="007B7869">
              <w:rPr>
                <w:rFonts w:ascii="Times New Roman" w:hAnsi="Times New Roman" w:cs="Times New Roman"/>
                <w:b/>
              </w:rPr>
              <w:t>)</w:t>
            </w:r>
          </w:p>
        </w:tc>
        <w:tc>
          <w:tcPr>
            <w:tcW w:w="2126" w:type="dxa"/>
            <w:tcBorders>
              <w:top w:val="single" w:sz="4" w:space="0" w:color="auto"/>
              <w:bottom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b/>
              </w:rPr>
              <w:t>Source</w:t>
            </w:r>
          </w:p>
        </w:tc>
        <w:tc>
          <w:tcPr>
            <w:tcW w:w="3544" w:type="dxa"/>
            <w:tcBorders>
              <w:top w:val="single" w:sz="4" w:space="0" w:color="auto"/>
              <w:bottom w:val="single" w:sz="4" w:space="0" w:color="auto"/>
            </w:tcBorders>
          </w:tcPr>
          <w:p w:rsidR="00F83DE7" w:rsidRPr="007B7869" w:rsidRDefault="00F83DE7" w:rsidP="00AF3D17">
            <w:pPr>
              <w:ind w:right="-108"/>
              <w:rPr>
                <w:rFonts w:ascii="Times New Roman" w:hAnsi="Times New Roman" w:cs="Times New Roman"/>
              </w:rPr>
            </w:pPr>
            <w:r w:rsidRPr="007B7869">
              <w:rPr>
                <w:rFonts w:ascii="Times New Roman" w:hAnsi="Times New Roman" w:cs="Times New Roman"/>
                <w:b/>
              </w:rPr>
              <w:t>Method / key annotation (comparability)</w:t>
            </w:r>
          </w:p>
        </w:tc>
      </w:tr>
      <w:tr w:rsidR="00F83DE7" w:rsidRPr="007B7869" w:rsidTr="00AF3D17">
        <w:tc>
          <w:tcPr>
            <w:tcW w:w="681" w:type="dxa"/>
            <w:tcBorders>
              <w:top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rPr>
              <w:t>1986</w:t>
            </w:r>
          </w:p>
        </w:tc>
        <w:tc>
          <w:tcPr>
            <w:tcW w:w="1695" w:type="dxa"/>
            <w:tcBorders>
              <w:top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rPr>
              <w:t>10</w:t>
            </w:r>
          </w:p>
        </w:tc>
        <w:tc>
          <w:tcPr>
            <w:tcW w:w="1985" w:type="dxa"/>
            <w:tcBorders>
              <w:top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rPr>
              <w:t>excluded</w:t>
            </w:r>
          </w:p>
        </w:tc>
        <w:tc>
          <w:tcPr>
            <w:tcW w:w="2126" w:type="dxa"/>
            <w:tcBorders>
              <w:top w:val="single" w:sz="4" w:space="0" w:color="auto"/>
            </w:tcBorders>
          </w:tcPr>
          <w:p w:rsidR="00F83DE7" w:rsidRPr="007B7869" w:rsidRDefault="00F83DE7" w:rsidP="00AF3D17">
            <w:pPr>
              <w:ind w:right="-108"/>
              <w:rPr>
                <w:rFonts w:ascii="Times New Roman" w:hAnsi="Times New Roman" w:cs="Times New Roman"/>
              </w:rPr>
            </w:pPr>
            <w:r w:rsidRPr="007B7869">
              <w:rPr>
                <w:rFonts w:ascii="Times New Roman" w:hAnsi="Times New Roman" w:cs="Times New Roman"/>
              </w:rPr>
              <w:t>Kudrna et al. (1994); Lukášek (1998)</w:t>
            </w:r>
          </w:p>
        </w:tc>
        <w:tc>
          <w:tcPr>
            <w:tcW w:w="3544" w:type="dxa"/>
            <w:tcBorders>
              <w:top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rPr>
              <w:t>Supplementation phase (captive rearing/releases).</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1987</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40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excluded</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Kudrna et al. (1994); Lukášek (1998); Lukášek &amp; Moravec (2002)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Supplementation phase; releases across multiple sites.</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1988</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50</w:t>
            </w:r>
          </w:p>
        </w:tc>
        <w:tc>
          <w:tcPr>
            <w:tcW w:w="1985" w:type="dxa"/>
          </w:tcPr>
          <w:p w:rsidR="00F83DE7" w:rsidRPr="007B7869" w:rsidRDefault="00F83DE7" w:rsidP="00AF3D17">
            <w:pPr>
              <w:rPr>
                <w:rFonts w:ascii="Times New Roman" w:hAnsi="Times New Roman" w:cs="Times New Roman"/>
              </w:rPr>
            </w:pPr>
            <w:r>
              <w:rPr>
                <w:rFonts w:ascii="Times New Roman" w:hAnsi="Times New Roman" w:cs="Times New Roman"/>
              </w:rPr>
              <w:t>e</w:t>
            </w:r>
            <w:r w:rsidRPr="007B7869">
              <w:rPr>
                <w:rFonts w:ascii="Times New Roman" w:hAnsi="Times New Roman" w:cs="Times New Roman"/>
              </w:rPr>
              <w:t>xcluded</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Kudrna et al. (1994); Lukášek (1998)</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Supplementation phase; transition to semi-natural insectary rearing (method shift).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1989</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w:t>
            </w:r>
          </w:p>
        </w:tc>
        <w:tc>
          <w:tcPr>
            <w:tcW w:w="1985" w:type="dxa"/>
          </w:tcPr>
          <w:p w:rsidR="00F83DE7" w:rsidRPr="007B7869" w:rsidRDefault="00F83DE7" w:rsidP="00AF3D17">
            <w:pPr>
              <w:rPr>
                <w:rFonts w:ascii="Times New Roman" w:hAnsi="Times New Roman" w:cs="Times New Roman"/>
              </w:rPr>
            </w:pPr>
            <w:r>
              <w:rPr>
                <w:rFonts w:ascii="Times New Roman" w:hAnsi="Times New Roman" w:cs="Times New Roman"/>
              </w:rPr>
              <w:t>e</w:t>
            </w:r>
            <w:r w:rsidRPr="007B7869">
              <w:rPr>
                <w:rFonts w:ascii="Times New Roman" w:hAnsi="Times New Roman" w:cs="Times New Roman"/>
              </w:rPr>
              <w:t>xcluded</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Kudrna et al. (1994); Lukášek (1998)</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Supplementation phase; insectary-based breeding reported.</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1990</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250</w:t>
            </w:r>
          </w:p>
        </w:tc>
        <w:tc>
          <w:tcPr>
            <w:tcW w:w="1985" w:type="dxa"/>
          </w:tcPr>
          <w:p w:rsidR="00F83DE7" w:rsidRPr="007B7869" w:rsidRDefault="00F83DE7" w:rsidP="00AF3D17">
            <w:pPr>
              <w:rPr>
                <w:rFonts w:ascii="Times New Roman" w:hAnsi="Times New Roman" w:cs="Times New Roman"/>
              </w:rPr>
            </w:pPr>
            <w:r>
              <w:rPr>
                <w:rFonts w:ascii="Times New Roman" w:hAnsi="Times New Roman" w:cs="Times New Roman"/>
              </w:rPr>
              <w:t>e</w:t>
            </w:r>
            <w:r w:rsidRPr="007B7869">
              <w:rPr>
                <w:rFonts w:ascii="Times New Roman" w:hAnsi="Times New Roman" w:cs="Times New Roman"/>
              </w:rPr>
              <w:t>xcluded</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Kudrna et al. (1994)</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Supplementation phase.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1991</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400</w:t>
            </w:r>
          </w:p>
        </w:tc>
        <w:tc>
          <w:tcPr>
            <w:tcW w:w="1985" w:type="dxa"/>
          </w:tcPr>
          <w:p w:rsidR="00F83DE7" w:rsidRPr="007B7869" w:rsidRDefault="00F83DE7" w:rsidP="00AF3D17">
            <w:pPr>
              <w:rPr>
                <w:rFonts w:ascii="Times New Roman" w:hAnsi="Times New Roman" w:cs="Times New Roman"/>
              </w:rPr>
            </w:pPr>
            <w:r>
              <w:rPr>
                <w:rFonts w:ascii="Times New Roman" w:hAnsi="Times New Roman" w:cs="Times New Roman"/>
              </w:rPr>
              <w:t>e</w:t>
            </w:r>
            <w:r w:rsidRPr="007B7869">
              <w:rPr>
                <w:rFonts w:ascii="Times New Roman" w:hAnsi="Times New Roman" w:cs="Times New Roman"/>
              </w:rPr>
              <w:t>xcluded</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Kudrna et al. (1994); Lukášek (1998)</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Supplementation phase; field pupae/larvae also recorded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1992</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600</w:t>
            </w:r>
          </w:p>
        </w:tc>
        <w:tc>
          <w:tcPr>
            <w:tcW w:w="1985" w:type="dxa"/>
          </w:tcPr>
          <w:p w:rsidR="00F83DE7" w:rsidRPr="007B7869" w:rsidRDefault="00F83DE7" w:rsidP="00AF3D17">
            <w:pPr>
              <w:rPr>
                <w:rFonts w:ascii="Times New Roman" w:hAnsi="Times New Roman" w:cs="Times New Roman"/>
              </w:rPr>
            </w:pPr>
            <w:r>
              <w:rPr>
                <w:rFonts w:ascii="Times New Roman" w:hAnsi="Times New Roman" w:cs="Times New Roman"/>
              </w:rPr>
              <w:t>e</w:t>
            </w:r>
            <w:r w:rsidRPr="007B7869">
              <w:rPr>
                <w:rFonts w:ascii="Times New Roman" w:hAnsi="Times New Roman" w:cs="Times New Roman"/>
              </w:rPr>
              <w:t>xcluded</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Kudrna et al. (1994); Lukášek (1998)</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Supplementation phase; strong weather constraints reported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1993</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600–700</w:t>
            </w:r>
          </w:p>
          <w:p w:rsidR="00F83DE7" w:rsidRPr="007B7869" w:rsidRDefault="00F83DE7" w:rsidP="00AF3D17">
            <w:pPr>
              <w:rPr>
                <w:rFonts w:ascii="Times New Roman" w:hAnsi="Times New Roman" w:cs="Times New Roman"/>
              </w:rPr>
            </w:pPr>
            <w:r w:rsidRPr="007B7869">
              <w:rPr>
                <w:rFonts w:ascii="Times New Roman" w:hAnsi="Times New Roman" w:cs="Times New Roman"/>
              </w:rPr>
              <w:t>(central ~650)</w:t>
            </w:r>
          </w:p>
        </w:tc>
        <w:tc>
          <w:tcPr>
            <w:tcW w:w="1985" w:type="dxa"/>
          </w:tcPr>
          <w:p w:rsidR="00F83DE7" w:rsidRPr="007B7869" w:rsidRDefault="00F83DE7" w:rsidP="00AF3D17">
            <w:pPr>
              <w:rPr>
                <w:rFonts w:ascii="Times New Roman" w:hAnsi="Times New Roman" w:cs="Times New Roman"/>
              </w:rPr>
            </w:pPr>
            <w:r>
              <w:rPr>
                <w:rFonts w:ascii="Times New Roman" w:hAnsi="Times New Roman" w:cs="Times New Roman"/>
              </w:rPr>
              <w:t>e</w:t>
            </w:r>
            <w:r w:rsidRPr="007B7869">
              <w:rPr>
                <w:rFonts w:ascii="Times New Roman" w:hAnsi="Times New Roman" w:cs="Times New Roman"/>
              </w:rPr>
              <w:t>xcluded</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Lukášek (1998)</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 xml:space="preserve">Spatial scope expanded beyond Kotouč </w:t>
            </w:r>
            <w:r w:rsidRPr="007B7869">
              <w:rPr>
                <w:rFonts w:ascii="Times New Roman" w:hAnsi="Times New Roman" w:cs="Times New Roman"/>
                <w:lang w:val="cs-CZ"/>
              </w:rPr>
              <w:t xml:space="preserve">(loc. D) </w:t>
            </w:r>
            <w:r w:rsidRPr="007B7869">
              <w:rPr>
                <w:rFonts w:ascii="Times New Roman" w:hAnsi="Times New Roman" w:cs="Times New Roman"/>
              </w:rPr>
              <w:t>to include Kamenárka (B, C) and Zámecký (A) vrch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1994</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1555</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16</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Lukášek (1998); Lukášek (2002)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Start of modelling period; individual marking used; recording coverage estimated at ~65–70%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1995</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1100–1300</w:t>
            </w:r>
          </w:p>
          <w:p w:rsidR="00F83DE7" w:rsidRPr="007B7869" w:rsidRDefault="00F83DE7" w:rsidP="00AF3D17">
            <w:pPr>
              <w:rPr>
                <w:rFonts w:ascii="Times New Roman" w:hAnsi="Times New Roman" w:cs="Times New Roman"/>
              </w:rPr>
            </w:pPr>
            <w:r w:rsidRPr="007B7869">
              <w:rPr>
                <w:rFonts w:ascii="Times New Roman" w:hAnsi="Times New Roman" w:cs="Times New Roman"/>
              </w:rPr>
              <w:t>(central ~1200)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12</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Kříž (2011) (citing Lukášek 1999)</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Expert estimate reported as &gt;1000 annually (range).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1996</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1500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15</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Kříž (2011) (citing Lukášek 1999)</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Seasonal estimate.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1997</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2100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21</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Lukášek &amp; Moravec (2002); Lukášek (2002); Fric et al. (2022)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Peak year (&gt;2000 adults) consistently reported across sources.</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1998</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1600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16</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Lukášek (2002)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Reported count/estimate.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1999</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1300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13</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Fric et al. (2022)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Reported estimate.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2000</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602</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7</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Lukášek (2002)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Reported count.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2001</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600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6</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Lukášek (2002)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Reported estimate.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2002</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600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6</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Lukášek (2002)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Reported estimate.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2003</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150–400 (central ~350)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4</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R. </w:t>
            </w:r>
            <w:r w:rsidRPr="007B7869">
              <w:rPr>
                <w:rFonts w:ascii="Times New Roman" w:hAnsi="Times New Roman" w:cs="Times New Roman"/>
              </w:rPr>
              <w:t xml:space="preserve">Schneider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Expert interval estimate.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2004</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150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R. </w:t>
            </w:r>
            <w:r w:rsidRPr="007B7869">
              <w:rPr>
                <w:rFonts w:ascii="Times New Roman" w:hAnsi="Times New Roman" w:cs="Times New Roman"/>
              </w:rPr>
              <w:t xml:space="preserve">Schneider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Effort-based expert estimate (1–10 visits/season; daily maxima typically 50–80;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2005</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250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3</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R. </w:t>
            </w:r>
            <w:r w:rsidRPr="007B7869">
              <w:rPr>
                <w:rFonts w:ascii="Times New Roman" w:hAnsi="Times New Roman" w:cs="Times New Roman"/>
              </w:rPr>
              <w:t xml:space="preserve">Schneider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 xml:space="preserve">Effort-based expert estimate (1–10 visits/season; daily maxima typically </w:t>
            </w:r>
            <w:r w:rsidRPr="007B7869">
              <w:rPr>
                <w:rFonts w:ascii="Times New Roman" w:hAnsi="Times New Roman" w:cs="Times New Roman"/>
              </w:rPr>
              <w:lastRenderedPageBreak/>
              <w:t>50–80;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lastRenderedPageBreak/>
              <w:t>2006</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120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Fric et al. (2022)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Reported estimate.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2007</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35</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Fric et al. (2022)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Low tens reported across multiple micro-sites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2008</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150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R. </w:t>
            </w:r>
            <w:r w:rsidRPr="007B7869">
              <w:rPr>
                <w:rFonts w:ascii="Times New Roman" w:hAnsi="Times New Roman" w:cs="Times New Roman"/>
              </w:rPr>
              <w:t xml:space="preserve">Schneider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Effort-based expert estimate (1–10 visits/season; daily maxima typically 50–80;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2009</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Pr>
                <w:rFonts w:ascii="Times New Roman" w:hAnsi="Times New Roman" w:cs="Times New Roman"/>
              </w:rPr>
              <w:t>N</w:t>
            </w:r>
            <w:r w:rsidRPr="007B7869">
              <w:rPr>
                <w:rFonts w:ascii="Times New Roman" w:hAnsi="Times New Roman" w:cs="Times New Roman"/>
              </w:rPr>
              <w:t>o reliable data available; year omitted</w:t>
            </w:r>
            <w:r>
              <w:rPr>
                <w:rFonts w:ascii="Times New Roman" w:hAnsi="Times New Roman" w:cs="Times New Roman"/>
              </w:rPr>
              <w: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2010</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Pr>
                <w:rFonts w:ascii="Times New Roman" w:hAnsi="Times New Roman" w:cs="Times New Roman"/>
              </w:rPr>
              <w:t>N</w:t>
            </w:r>
            <w:r w:rsidRPr="007B7869">
              <w:rPr>
                <w:rFonts w:ascii="Times New Roman" w:hAnsi="Times New Roman" w:cs="Times New Roman"/>
              </w:rPr>
              <w:t>o reliable data available; year omitted</w:t>
            </w:r>
            <w:r>
              <w:rPr>
                <w:rFonts w:ascii="Times New Roman" w:hAnsi="Times New Roman" w:cs="Times New Roman"/>
              </w:rPr>
              <w: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2011</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Pr>
                <w:rFonts w:ascii="Times New Roman" w:hAnsi="Times New Roman" w:cs="Times New Roman"/>
              </w:rPr>
              <w:t>N</w:t>
            </w:r>
            <w:r w:rsidRPr="007B7869">
              <w:rPr>
                <w:rFonts w:ascii="Times New Roman" w:hAnsi="Times New Roman" w:cs="Times New Roman"/>
              </w:rPr>
              <w:t>o reliable data available; year omitted</w:t>
            </w:r>
            <w:r>
              <w:rPr>
                <w:rFonts w:ascii="Times New Roman" w:hAnsi="Times New Roman" w:cs="Times New Roman"/>
              </w:rPr>
              <w: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2012</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Pr>
                <w:rFonts w:ascii="Times New Roman" w:hAnsi="Times New Roman" w:cs="Times New Roman"/>
              </w:rPr>
              <w:t>N</w:t>
            </w:r>
            <w:r w:rsidRPr="007B7869">
              <w:rPr>
                <w:rFonts w:ascii="Times New Roman" w:hAnsi="Times New Roman" w:cs="Times New Roman"/>
              </w:rPr>
              <w:t>o reliable data available; year omitted</w:t>
            </w:r>
            <w:r>
              <w:rPr>
                <w:rFonts w:ascii="Times New Roman" w:hAnsi="Times New Roman" w:cs="Times New Roman"/>
              </w:rPr>
              <w: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2013</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Pr>
                <w:rFonts w:ascii="Times New Roman" w:hAnsi="Times New Roman" w:cs="Times New Roman"/>
              </w:rPr>
              <w:t>N</w:t>
            </w:r>
            <w:r w:rsidRPr="007B7869">
              <w:rPr>
                <w:rFonts w:ascii="Times New Roman" w:hAnsi="Times New Roman" w:cs="Times New Roman"/>
              </w:rPr>
              <w:t>o reliable data available; year omitted</w:t>
            </w:r>
            <w:r>
              <w:rPr>
                <w:rFonts w:ascii="Times New Roman" w:hAnsi="Times New Roman" w:cs="Times New Roman"/>
              </w:rPr>
              <w: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2014</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40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M. </w:t>
            </w:r>
            <w:r w:rsidRPr="007B7869">
              <w:rPr>
                <w:rFonts w:ascii="Times New Roman" w:hAnsi="Times New Roman" w:cs="Times New Roman"/>
              </w:rPr>
              <w:t xml:space="preserve">Polák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Effort-based observation; treated as seasonal expert estimate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2015</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150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J. </w:t>
            </w:r>
            <w:r w:rsidRPr="007B7869">
              <w:rPr>
                <w:rFonts w:ascii="Times New Roman" w:hAnsi="Times New Roman" w:cs="Times New Roman"/>
              </w:rPr>
              <w:t xml:space="preserve">Schneider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Expert seasonal assessment; episodic increase reported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2016</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90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R. </w:t>
            </w:r>
            <w:r w:rsidRPr="007B7869">
              <w:rPr>
                <w:rFonts w:ascii="Times New Roman" w:hAnsi="Times New Roman" w:cs="Times New Roman"/>
              </w:rPr>
              <w:t xml:space="preserve">Schneider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Effort-based expert estimate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2017</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50–70 (central ~60)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M. </w:t>
            </w:r>
            <w:r w:rsidRPr="007B7869">
              <w:rPr>
                <w:rFonts w:ascii="Times New Roman" w:hAnsi="Times New Roman" w:cs="Times New Roman"/>
              </w:rPr>
              <w:t xml:space="preserve">Kostelník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Encounter rate reported (~5 individuals/hour of search effort;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2018</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40–60 (central ~50)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M. </w:t>
            </w:r>
            <w:r w:rsidRPr="007B7869">
              <w:rPr>
                <w:rFonts w:ascii="Times New Roman" w:hAnsi="Times New Roman" w:cs="Times New Roman"/>
              </w:rPr>
              <w:t xml:space="preserve">Kostelník (2025, </w:t>
            </w:r>
            <w:r w:rsidRPr="00D472D6">
              <w:rPr>
                <w:rFonts w:ascii="Times New Roman" w:hAnsi="Times New Roman" w:cs="Times New Roman"/>
                <w:i/>
              </w:rPr>
              <w:t>pers. comm</w:t>
            </w: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Encounter rate reported (~4 individuals/hour of search effort;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2019</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Pr>
                <w:rFonts w:ascii="Times New Roman" w:hAnsi="Times New Roman" w:cs="Times New Roman"/>
              </w:rPr>
              <w:t>N</w:t>
            </w:r>
            <w:r w:rsidRPr="007B7869">
              <w:rPr>
                <w:rFonts w:ascii="Times New Roman" w:hAnsi="Times New Roman" w:cs="Times New Roman"/>
              </w:rPr>
              <w:t>o reliable data available; year omitted</w:t>
            </w:r>
            <w:r>
              <w:rPr>
                <w:rFonts w:ascii="Times New Roman" w:hAnsi="Times New Roman" w:cs="Times New Roman"/>
              </w:rPr>
              <w: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2020</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NA</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w:t>
            </w:r>
          </w:p>
        </w:tc>
        <w:tc>
          <w:tcPr>
            <w:tcW w:w="3544" w:type="dxa"/>
          </w:tcPr>
          <w:p w:rsidR="00F83DE7" w:rsidRPr="007B7869" w:rsidRDefault="00F83DE7" w:rsidP="00AF3D17">
            <w:pPr>
              <w:rPr>
                <w:rFonts w:ascii="Times New Roman" w:hAnsi="Times New Roman" w:cs="Times New Roman"/>
              </w:rPr>
            </w:pPr>
            <w:r>
              <w:rPr>
                <w:rFonts w:ascii="Times New Roman" w:hAnsi="Times New Roman" w:cs="Times New Roman"/>
              </w:rPr>
              <w:t>N</w:t>
            </w:r>
            <w:r w:rsidRPr="007B7869">
              <w:rPr>
                <w:rFonts w:ascii="Times New Roman" w:hAnsi="Times New Roman" w:cs="Times New Roman"/>
              </w:rPr>
              <w:t>o reliable data available; year omitted</w:t>
            </w:r>
            <w:r>
              <w:rPr>
                <w:rFonts w:ascii="Times New Roman" w:hAnsi="Times New Roman" w:cs="Times New Roman"/>
              </w:rPr>
              <w:t>.</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2021</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30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Fric et al. (2022)</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Adults reported in low tens (per source).</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2022</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30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R. </w:t>
            </w:r>
            <w:r w:rsidRPr="007B7869">
              <w:rPr>
                <w:rFonts w:ascii="Times New Roman" w:hAnsi="Times New Roman" w:cs="Times New Roman"/>
              </w:rPr>
              <w:t xml:space="preserve">Schneider (2024, </w:t>
            </w:r>
            <w:r w:rsidRPr="00D472D6">
              <w:rPr>
                <w:rFonts w:ascii="Times New Roman" w:hAnsi="Times New Roman" w:cs="Times New Roman"/>
                <w:i/>
              </w:rPr>
              <w:t>pers. comm</w:t>
            </w:r>
            <w:r w:rsidRPr="007B7869">
              <w:rPr>
                <w:rFonts w:ascii="Times New Roman" w:hAnsi="Times New Roman" w:cs="Times New Roman"/>
              </w:rPr>
              <w:t xml:space="preserve">.); Fric </w:t>
            </w:r>
            <w:r>
              <w:rPr>
                <w:rFonts w:ascii="Times New Roman" w:hAnsi="Times New Roman" w:cs="Times New Roman"/>
              </w:rPr>
              <w:t xml:space="preserve">et al. </w:t>
            </w:r>
            <w:r w:rsidRPr="007B7869">
              <w:rPr>
                <w:rFonts w:ascii="Times New Roman" w:hAnsi="Times New Roman" w:cs="Times New Roman"/>
              </w:rPr>
              <w:t xml:space="preserve">(2022); </w:t>
            </w:r>
            <w:r w:rsidRPr="00D472D6">
              <w:rPr>
                <w:rFonts w:ascii="Times New Roman" w:hAnsi="Times New Roman" w:cs="Times New Roman"/>
                <w:i/>
              </w:rPr>
              <w:t>pers. observ.</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Adults in low tens; larval abundance also recorded (~160 larvae; Schneider 2024).</w:t>
            </w:r>
          </w:p>
        </w:tc>
      </w:tr>
      <w:tr w:rsidR="00F83DE7" w:rsidRPr="007B7869" w:rsidTr="00AF3D17">
        <w:tc>
          <w:tcPr>
            <w:tcW w:w="681"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2023</w:t>
            </w:r>
          </w:p>
        </w:tc>
        <w:tc>
          <w:tcPr>
            <w:tcW w:w="169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60</w:t>
            </w:r>
          </w:p>
        </w:tc>
        <w:tc>
          <w:tcPr>
            <w:tcW w:w="1985"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Pr>
          <w:p w:rsidR="00F83DE7" w:rsidRPr="007B7869" w:rsidRDefault="00F83DE7" w:rsidP="00AF3D17">
            <w:pPr>
              <w:rPr>
                <w:rFonts w:ascii="Times New Roman" w:hAnsi="Times New Roman" w:cs="Times New Roman"/>
              </w:rPr>
            </w:pPr>
            <w:r>
              <w:rPr>
                <w:rFonts w:ascii="Times New Roman" w:hAnsi="Times New Roman" w:cs="Times New Roman"/>
              </w:rPr>
              <w:t xml:space="preserve">R. </w:t>
            </w:r>
            <w:r w:rsidRPr="007B7869">
              <w:rPr>
                <w:rFonts w:ascii="Times New Roman" w:hAnsi="Times New Roman" w:cs="Times New Roman"/>
              </w:rPr>
              <w:t xml:space="preserve">Schneider (2024, </w:t>
            </w:r>
            <w:r w:rsidRPr="00D472D6">
              <w:rPr>
                <w:rFonts w:ascii="Times New Roman" w:hAnsi="Times New Roman" w:cs="Times New Roman"/>
                <w:i/>
              </w:rPr>
              <w:t>pers. comm</w:t>
            </w:r>
            <w:r w:rsidRPr="007B7869">
              <w:rPr>
                <w:rFonts w:ascii="Times New Roman" w:hAnsi="Times New Roman" w:cs="Times New Roman"/>
              </w:rPr>
              <w:t xml:space="preserve">.); Číp (2023); </w:t>
            </w:r>
            <w:r w:rsidRPr="00D472D6">
              <w:rPr>
                <w:rFonts w:ascii="Times New Roman" w:hAnsi="Times New Roman" w:cs="Times New Roman"/>
                <w:i/>
              </w:rPr>
              <w:t>pers. observ.</w:t>
            </w:r>
          </w:p>
        </w:tc>
        <w:tc>
          <w:tcPr>
            <w:tcW w:w="3544" w:type="dxa"/>
          </w:tcPr>
          <w:p w:rsidR="00F83DE7" w:rsidRPr="007B7869" w:rsidRDefault="00F83DE7" w:rsidP="00AF3D17">
            <w:pPr>
              <w:rPr>
                <w:rFonts w:ascii="Times New Roman" w:hAnsi="Times New Roman" w:cs="Times New Roman"/>
              </w:rPr>
            </w:pPr>
            <w:r w:rsidRPr="007B7869">
              <w:rPr>
                <w:rFonts w:ascii="Times New Roman" w:hAnsi="Times New Roman" w:cs="Times New Roman"/>
              </w:rPr>
              <w:t>Expert estimate.</w:t>
            </w:r>
          </w:p>
        </w:tc>
      </w:tr>
      <w:tr w:rsidR="00F83DE7" w:rsidRPr="007B7869" w:rsidTr="00AF3D17">
        <w:tc>
          <w:tcPr>
            <w:tcW w:w="681" w:type="dxa"/>
            <w:tcBorders>
              <w:bottom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rPr>
              <w:t>2024</w:t>
            </w:r>
          </w:p>
        </w:tc>
        <w:tc>
          <w:tcPr>
            <w:tcW w:w="1695" w:type="dxa"/>
            <w:tcBorders>
              <w:bottom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rPr>
              <w:t>40</w:t>
            </w:r>
          </w:p>
        </w:tc>
        <w:tc>
          <w:tcPr>
            <w:tcW w:w="1985" w:type="dxa"/>
            <w:tcBorders>
              <w:bottom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rPr>
              <w:t>1</w:t>
            </w:r>
          </w:p>
        </w:tc>
        <w:tc>
          <w:tcPr>
            <w:tcW w:w="2126" w:type="dxa"/>
            <w:tcBorders>
              <w:bottom w:val="single" w:sz="4" w:space="0" w:color="auto"/>
            </w:tcBorders>
          </w:tcPr>
          <w:p w:rsidR="00F83DE7" w:rsidRPr="007B7869" w:rsidRDefault="00F83DE7" w:rsidP="00AF3D17">
            <w:pPr>
              <w:rPr>
                <w:rFonts w:ascii="Times New Roman" w:hAnsi="Times New Roman" w:cs="Times New Roman"/>
              </w:rPr>
            </w:pPr>
            <w:r>
              <w:rPr>
                <w:rFonts w:ascii="Times New Roman" w:hAnsi="Times New Roman" w:cs="Times New Roman"/>
              </w:rPr>
              <w:t xml:space="preserve">R. </w:t>
            </w:r>
            <w:r w:rsidRPr="007B7869">
              <w:rPr>
                <w:rFonts w:ascii="Times New Roman" w:hAnsi="Times New Roman" w:cs="Times New Roman"/>
              </w:rPr>
              <w:t xml:space="preserve">Schneider (2024, </w:t>
            </w:r>
            <w:r w:rsidRPr="00D472D6">
              <w:rPr>
                <w:rFonts w:ascii="Times New Roman" w:hAnsi="Times New Roman" w:cs="Times New Roman"/>
                <w:i/>
              </w:rPr>
              <w:t>pers. comm</w:t>
            </w:r>
            <w:r w:rsidRPr="007B7869">
              <w:rPr>
                <w:rFonts w:ascii="Times New Roman" w:hAnsi="Times New Roman" w:cs="Times New Roman"/>
              </w:rPr>
              <w:t xml:space="preserve">.); </w:t>
            </w:r>
            <w:r w:rsidRPr="00D472D6">
              <w:rPr>
                <w:rFonts w:ascii="Times New Roman" w:hAnsi="Times New Roman" w:cs="Times New Roman"/>
                <w:i/>
              </w:rPr>
              <w:t>pers. observ.</w:t>
            </w:r>
          </w:p>
        </w:tc>
        <w:tc>
          <w:tcPr>
            <w:tcW w:w="3544" w:type="dxa"/>
            <w:tcBorders>
              <w:bottom w:val="single" w:sz="4" w:space="0" w:color="auto"/>
            </w:tcBorders>
          </w:tcPr>
          <w:p w:rsidR="00F83DE7" w:rsidRPr="007B7869" w:rsidRDefault="00F83DE7" w:rsidP="00AF3D17">
            <w:pPr>
              <w:rPr>
                <w:rFonts w:ascii="Times New Roman" w:hAnsi="Times New Roman" w:cs="Times New Roman"/>
              </w:rPr>
            </w:pPr>
            <w:r w:rsidRPr="007B7869">
              <w:rPr>
                <w:rFonts w:ascii="Times New Roman" w:hAnsi="Times New Roman" w:cs="Times New Roman"/>
              </w:rPr>
              <w:t>Expert estimate.</w:t>
            </w:r>
          </w:p>
        </w:tc>
      </w:tr>
    </w:tbl>
    <w:p w:rsidR="00F83DE7" w:rsidRDefault="00F83DE7" w:rsidP="00F83DE7">
      <w:pPr>
        <w:spacing w:after="0" w:line="240" w:lineRule="auto"/>
      </w:pPr>
      <w:r w:rsidRPr="009E1257">
        <w:rPr>
          <w:rFonts w:ascii="Times New Roman" w:hAnsi="Times New Roman" w:cs="Times New Roman"/>
          <w:sz w:val="20"/>
        </w:rPr>
        <w:t xml:space="preserve">Note: </w:t>
      </w:r>
      <w:r w:rsidRPr="009E1257">
        <w:rPr>
          <w:rFonts w:ascii="Times New Roman" w:hAnsi="Times New Roman" w:cs="Times New Roman"/>
          <w:i/>
          <w:sz w:val="20"/>
        </w:rPr>
        <w:t>N</w:t>
      </w:r>
      <w:r w:rsidRPr="009E1257">
        <w:rPr>
          <w:rFonts w:ascii="Times New Roman" w:hAnsi="Times New Roman" w:cs="Times New Roman"/>
          <w:sz w:val="20"/>
        </w:rPr>
        <w:t xml:space="preserve"> = reported</w:t>
      </w:r>
      <w:r>
        <w:rPr>
          <w:rFonts w:ascii="Times New Roman" w:hAnsi="Times New Roman" w:cs="Times New Roman"/>
          <w:sz w:val="20"/>
        </w:rPr>
        <w:t>/estimated abundance of adults</w:t>
      </w:r>
      <w:r w:rsidRPr="009E1257">
        <w:rPr>
          <w:rFonts w:ascii="Times New Roman" w:hAnsi="Times New Roman" w:cs="Times New Roman"/>
          <w:sz w:val="20"/>
        </w:rPr>
        <w:t xml:space="preserve">, unless stated otherwise. </w:t>
      </w:r>
      <w:r w:rsidRPr="009E1257">
        <w:rPr>
          <w:rFonts w:ascii="Times New Roman" w:hAnsi="Times New Roman" w:cs="Times New Roman"/>
          <w:i/>
          <w:sz w:val="20"/>
        </w:rPr>
        <w:t>AB_semi100</w:t>
      </w:r>
      <w:r w:rsidRPr="009E1257">
        <w:rPr>
          <w:rFonts w:ascii="Times New Roman" w:hAnsi="Times New Roman" w:cs="Times New Roman"/>
          <w:sz w:val="20"/>
        </w:rPr>
        <w:t xml:space="preserve"> = semi-quantitative ordinal class with 100-individual increments (1 = 1–100, 2 = 101–200, …). For interval estimates, </w:t>
      </w:r>
      <w:r w:rsidRPr="009E1257">
        <w:rPr>
          <w:rFonts w:ascii="Times New Roman" w:hAnsi="Times New Roman" w:cs="Times New Roman"/>
          <w:i/>
          <w:sz w:val="20"/>
        </w:rPr>
        <w:t>AB_semi100</w:t>
      </w:r>
      <w:r w:rsidRPr="009E1257">
        <w:rPr>
          <w:rFonts w:ascii="Times New Roman" w:hAnsi="Times New Roman" w:cs="Times New Roman"/>
          <w:sz w:val="20"/>
        </w:rPr>
        <w:t xml:space="preserve"> was assigned using the central estimate. Years 1986–1993 represent the supplementation phase and were excluded from environmental modelling. Years 2009–2013 and 2019–2020 were omitted because no reliable population size data were available (shown as NA).</w:t>
      </w:r>
      <w:r>
        <w:rPr>
          <w:rFonts w:ascii="Times New Roman" w:hAnsi="Times New Roman" w:cs="Times New Roman"/>
          <w:sz w:val="20"/>
        </w:rPr>
        <w:t xml:space="preserve"> </w:t>
      </w:r>
      <w:r w:rsidRPr="00FB3195">
        <w:rPr>
          <w:rFonts w:ascii="Times New Roman" w:hAnsi="Times New Roman" w:cs="Times New Roman"/>
          <w:sz w:val="20"/>
        </w:rPr>
        <w:t>Sources cited as "Lukášek (1998, 1999, 2002)"</w:t>
      </w:r>
      <w:r>
        <w:rPr>
          <w:rFonts w:ascii="Times New Roman" w:hAnsi="Times New Roman" w:cs="Times New Roman"/>
          <w:sz w:val="20"/>
        </w:rPr>
        <w:t xml:space="preserve">, </w:t>
      </w:r>
      <w:r w:rsidRPr="00FB3195">
        <w:rPr>
          <w:rFonts w:ascii="Times New Roman" w:hAnsi="Times New Roman" w:cs="Times New Roman"/>
          <w:sz w:val="20"/>
        </w:rPr>
        <w:t>"</w:t>
      </w:r>
      <w:r>
        <w:rPr>
          <w:rFonts w:ascii="Times New Roman" w:hAnsi="Times New Roman" w:cs="Times New Roman"/>
          <w:sz w:val="20"/>
        </w:rPr>
        <w:t>Fric et al. (2022)“</w:t>
      </w:r>
      <w:r w:rsidRPr="00FB3195">
        <w:rPr>
          <w:rFonts w:ascii="Times New Roman" w:hAnsi="Times New Roman" w:cs="Times New Roman"/>
          <w:sz w:val="20"/>
        </w:rPr>
        <w:t xml:space="preserve"> and "Lukášek &amp; Moravec (2002)" refer to unpublished technical reports and monitoring summaries submitted to the Nature Conservation Agency of the Czech Republic (</w:t>
      </w:r>
      <w:r w:rsidRPr="00D472D6">
        <w:rPr>
          <w:rFonts w:ascii="Times New Roman" w:hAnsi="Times New Roman" w:cs="Times New Roman"/>
          <w:sz w:val="20"/>
        </w:rPr>
        <w:t>NCA CR</w:t>
      </w:r>
      <w:r w:rsidRPr="00FB3195">
        <w:rPr>
          <w:rFonts w:ascii="Times New Roman" w:hAnsi="Times New Roman" w:cs="Times New Roman"/>
          <w:sz w:val="20"/>
        </w:rPr>
        <w:t>).</w:t>
      </w:r>
    </w:p>
    <w:p w:rsidR="00F83DE7" w:rsidRDefault="00F83DE7" w:rsidP="00F83DE7">
      <w:pPr>
        <w:rPr>
          <w:rFonts w:ascii="Times New Roman" w:hAnsi="Times New Roman" w:cs="Times New Roman"/>
          <w:b/>
          <w:sz w:val="28"/>
          <w:szCs w:val="28"/>
        </w:rPr>
      </w:pPr>
      <w:r>
        <w:rPr>
          <w:rFonts w:ascii="Times New Roman" w:hAnsi="Times New Roman" w:cs="Times New Roman"/>
          <w:b/>
          <w:sz w:val="28"/>
          <w:szCs w:val="28"/>
        </w:rPr>
        <w:br w:type="page"/>
      </w:r>
    </w:p>
    <w:p w:rsidR="00F83DE7" w:rsidRPr="00F036A4" w:rsidRDefault="00F83DE7" w:rsidP="00F83DE7">
      <w:pPr>
        <w:spacing w:after="0" w:line="240" w:lineRule="auto"/>
        <w:jc w:val="both"/>
        <w:rPr>
          <w:rFonts w:ascii="Times New Roman" w:hAnsi="Times New Roman" w:cs="Times New Roman"/>
        </w:rPr>
      </w:pPr>
      <w:r w:rsidRPr="00F036A4">
        <w:rPr>
          <w:rFonts w:ascii="Times New Roman" w:hAnsi="Times New Roman" w:cs="Times New Roman"/>
          <w:b/>
        </w:rPr>
        <w:lastRenderedPageBreak/>
        <w:t>Table S</w:t>
      </w:r>
      <w:r>
        <w:rPr>
          <w:rFonts w:ascii="Times New Roman" w:hAnsi="Times New Roman" w:cs="Times New Roman"/>
          <w:b/>
        </w:rPr>
        <w:t>2</w:t>
      </w:r>
      <w:r w:rsidRPr="00F036A4">
        <w:rPr>
          <w:rFonts w:ascii="Times New Roman" w:hAnsi="Times New Roman" w:cs="Times New Roman"/>
        </w:rPr>
        <w:t xml:space="preserve"> </w:t>
      </w:r>
      <w:r w:rsidRPr="00096D92">
        <w:rPr>
          <w:rFonts w:ascii="Times New Roman" w:hAnsi="Times New Roman" w:cs="Times New Roman"/>
        </w:rPr>
        <w:t>Complete model selection and parameter estimates for all candidate ordinal logistic regression models of the reintroduced Apollo butterfly (</w:t>
      </w:r>
      <w:r w:rsidRPr="00D472D6">
        <w:rPr>
          <w:rFonts w:ascii="Times New Roman" w:hAnsi="Times New Roman" w:cs="Times New Roman"/>
          <w:i/>
        </w:rPr>
        <w:t>Parnassius apollo</w:t>
      </w:r>
      <w:r w:rsidRPr="00096D92">
        <w:rPr>
          <w:rFonts w:ascii="Times New Roman" w:hAnsi="Times New Roman" w:cs="Times New Roman"/>
        </w:rPr>
        <w:t>) population in Štramberk (Czech Republic)</w:t>
      </w:r>
    </w:p>
    <w:p w:rsidR="00F83DE7" w:rsidRPr="00E50410" w:rsidRDefault="00F83DE7" w:rsidP="00F83DE7">
      <w:pPr>
        <w:spacing w:after="0" w:line="240" w:lineRule="auto"/>
        <w:jc w:val="both"/>
        <w:rPr>
          <w:rFonts w:ascii="Cambria" w:hAnsi="Cambria" w:cs="Times New Roman"/>
        </w:rPr>
      </w:pPr>
    </w:p>
    <w:tbl>
      <w:tblPr>
        <w:tblW w:w="9654" w:type="dxa"/>
        <w:tblInd w:w="55" w:type="dxa"/>
        <w:tblCellMar>
          <w:left w:w="70" w:type="dxa"/>
          <w:right w:w="70" w:type="dxa"/>
        </w:tblCellMar>
        <w:tblLook w:val="04A0" w:firstRow="1" w:lastRow="0" w:firstColumn="1" w:lastColumn="0" w:noHBand="0" w:noVBand="1"/>
      </w:tblPr>
      <w:tblGrid>
        <w:gridCol w:w="1291"/>
        <w:gridCol w:w="1276"/>
        <w:gridCol w:w="1701"/>
        <w:gridCol w:w="1134"/>
        <w:gridCol w:w="567"/>
        <w:gridCol w:w="1417"/>
        <w:gridCol w:w="851"/>
        <w:gridCol w:w="567"/>
        <w:gridCol w:w="850"/>
      </w:tblGrid>
      <w:tr w:rsidR="00F83DE7" w:rsidRPr="00E50410" w:rsidTr="00AF3D17">
        <w:trPr>
          <w:trHeight w:val="300"/>
        </w:trPr>
        <w:tc>
          <w:tcPr>
            <w:tcW w:w="1291" w:type="dxa"/>
            <w:tcBorders>
              <w:top w:val="single" w:sz="4" w:space="0" w:color="auto"/>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b/>
                <w:bCs/>
                <w:color w:val="000000"/>
                <w:sz w:val="20"/>
                <w:szCs w:val="20"/>
                <w:lang w:eastAsia="cs-CZ"/>
              </w:rPr>
            </w:pPr>
            <w:r w:rsidRPr="00E50410">
              <w:rPr>
                <w:rFonts w:ascii="Times New Roman" w:eastAsia="Times New Roman" w:hAnsi="Times New Roman" w:cs="Times New Roman"/>
                <w:b/>
                <w:bCs/>
                <w:color w:val="000000"/>
                <w:sz w:val="20"/>
                <w:szCs w:val="20"/>
                <w:lang w:eastAsia="cs-CZ"/>
              </w:rPr>
              <w:t>Scenario</w:t>
            </w:r>
          </w:p>
        </w:tc>
        <w:tc>
          <w:tcPr>
            <w:tcW w:w="1276" w:type="dxa"/>
            <w:tcBorders>
              <w:top w:val="single" w:sz="4" w:space="0" w:color="auto"/>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b/>
                <w:bCs/>
                <w:color w:val="000000"/>
                <w:sz w:val="20"/>
                <w:szCs w:val="20"/>
                <w:lang w:eastAsia="cs-CZ"/>
              </w:rPr>
            </w:pPr>
            <w:r w:rsidRPr="00E50410">
              <w:rPr>
                <w:rFonts w:ascii="Times New Roman" w:eastAsia="Times New Roman" w:hAnsi="Times New Roman" w:cs="Times New Roman"/>
                <w:b/>
                <w:bCs/>
                <w:color w:val="000000"/>
                <w:sz w:val="20"/>
                <w:szCs w:val="20"/>
                <w:lang w:eastAsia="cs-CZ"/>
              </w:rPr>
              <w:t>Model</w:t>
            </w:r>
          </w:p>
        </w:tc>
        <w:tc>
          <w:tcPr>
            <w:tcW w:w="1701" w:type="dxa"/>
            <w:tcBorders>
              <w:top w:val="single" w:sz="4" w:space="0" w:color="auto"/>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b/>
                <w:bCs/>
                <w:color w:val="000000"/>
                <w:sz w:val="20"/>
                <w:szCs w:val="20"/>
                <w:lang w:eastAsia="cs-CZ"/>
              </w:rPr>
            </w:pPr>
            <w:r w:rsidRPr="00E50410">
              <w:rPr>
                <w:rFonts w:ascii="Times New Roman" w:eastAsia="Times New Roman" w:hAnsi="Times New Roman" w:cs="Times New Roman"/>
                <w:b/>
                <w:bCs/>
                <w:color w:val="000000"/>
                <w:sz w:val="20"/>
                <w:szCs w:val="20"/>
                <w:lang w:eastAsia="cs-CZ"/>
              </w:rPr>
              <w:t>Predictor</w:t>
            </w:r>
          </w:p>
        </w:tc>
        <w:tc>
          <w:tcPr>
            <w:tcW w:w="1134" w:type="dxa"/>
            <w:tcBorders>
              <w:top w:val="single" w:sz="4" w:space="0" w:color="auto"/>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b/>
                <w:bCs/>
                <w:color w:val="000000"/>
                <w:sz w:val="20"/>
                <w:szCs w:val="20"/>
                <w:lang w:eastAsia="cs-CZ"/>
              </w:rPr>
            </w:pPr>
            <w:r w:rsidRPr="00E50410">
              <w:rPr>
                <w:rFonts w:ascii="Times New Roman" w:eastAsia="Times New Roman" w:hAnsi="Times New Roman" w:cs="Times New Roman"/>
                <w:b/>
                <w:bCs/>
                <w:i/>
                <w:color w:val="000000"/>
                <w:sz w:val="20"/>
                <w:szCs w:val="20"/>
                <w:lang w:eastAsia="cs-CZ"/>
              </w:rPr>
              <w:t>β</w:t>
            </w:r>
            <w:r w:rsidRPr="00E50410">
              <w:rPr>
                <w:rFonts w:ascii="Times New Roman" w:eastAsia="Times New Roman" w:hAnsi="Times New Roman" w:cs="Times New Roman"/>
                <w:b/>
                <w:bCs/>
                <w:color w:val="000000"/>
                <w:sz w:val="20"/>
                <w:szCs w:val="20"/>
                <w:lang w:eastAsia="cs-CZ"/>
              </w:rPr>
              <w:t xml:space="preserve"> (SE)</w:t>
            </w:r>
          </w:p>
        </w:tc>
        <w:tc>
          <w:tcPr>
            <w:tcW w:w="567" w:type="dxa"/>
            <w:tcBorders>
              <w:top w:val="single" w:sz="4" w:space="0" w:color="auto"/>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b/>
                <w:bCs/>
                <w:color w:val="000000"/>
                <w:sz w:val="20"/>
                <w:szCs w:val="20"/>
                <w:lang w:eastAsia="cs-CZ"/>
              </w:rPr>
            </w:pPr>
            <w:r w:rsidRPr="00E50410">
              <w:rPr>
                <w:rFonts w:ascii="Times New Roman" w:eastAsia="Times New Roman" w:hAnsi="Times New Roman" w:cs="Times New Roman"/>
                <w:b/>
                <w:bCs/>
                <w:color w:val="000000"/>
                <w:sz w:val="20"/>
                <w:szCs w:val="20"/>
                <w:lang w:eastAsia="cs-CZ"/>
              </w:rPr>
              <w:t>OR</w:t>
            </w:r>
          </w:p>
        </w:tc>
        <w:tc>
          <w:tcPr>
            <w:tcW w:w="1417" w:type="dxa"/>
            <w:tcBorders>
              <w:top w:val="single" w:sz="4" w:space="0" w:color="auto"/>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b/>
                <w:bCs/>
                <w:color w:val="000000"/>
                <w:sz w:val="20"/>
                <w:szCs w:val="20"/>
                <w:lang w:eastAsia="cs-CZ"/>
              </w:rPr>
            </w:pPr>
            <w:r w:rsidRPr="00E50410">
              <w:rPr>
                <w:rFonts w:ascii="Times New Roman" w:eastAsia="Times New Roman" w:hAnsi="Times New Roman" w:cs="Times New Roman"/>
                <w:b/>
                <w:bCs/>
                <w:color w:val="000000"/>
                <w:sz w:val="20"/>
                <w:szCs w:val="20"/>
                <w:lang w:eastAsia="cs-CZ"/>
              </w:rPr>
              <w:t>95% CI (OR)</w:t>
            </w:r>
          </w:p>
        </w:tc>
        <w:tc>
          <w:tcPr>
            <w:tcW w:w="851" w:type="dxa"/>
            <w:tcBorders>
              <w:top w:val="single" w:sz="4" w:space="0" w:color="auto"/>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b/>
                <w:bCs/>
                <w:color w:val="000000"/>
                <w:sz w:val="20"/>
                <w:szCs w:val="20"/>
                <w:lang w:eastAsia="cs-CZ"/>
              </w:rPr>
            </w:pPr>
            <w:r w:rsidRPr="00485271">
              <w:rPr>
                <w:rFonts w:ascii="Times New Roman" w:eastAsia="Times New Roman" w:hAnsi="Times New Roman" w:cs="Times New Roman"/>
                <w:b/>
                <w:bCs/>
                <w:i/>
                <w:color w:val="000000"/>
                <w:sz w:val="20"/>
                <w:szCs w:val="20"/>
                <w:lang w:eastAsia="cs-CZ"/>
              </w:rPr>
              <w:t>p</w:t>
            </w:r>
            <w:r w:rsidRPr="00E50410">
              <w:rPr>
                <w:rFonts w:ascii="Times New Roman" w:eastAsia="Times New Roman" w:hAnsi="Times New Roman" w:cs="Times New Roman"/>
                <w:b/>
                <w:bCs/>
                <w:color w:val="000000"/>
                <w:sz w:val="20"/>
                <w:szCs w:val="20"/>
                <w:lang w:eastAsia="cs-CZ"/>
              </w:rPr>
              <w:t>-value</w:t>
            </w:r>
          </w:p>
        </w:tc>
        <w:tc>
          <w:tcPr>
            <w:tcW w:w="567" w:type="dxa"/>
            <w:tcBorders>
              <w:top w:val="single" w:sz="4" w:space="0" w:color="auto"/>
              <w:left w:val="nil"/>
              <w:bottom w:val="single" w:sz="4" w:space="0" w:color="auto"/>
              <w:right w:val="nil"/>
            </w:tcBorders>
            <w:shd w:val="clear" w:color="auto" w:fill="auto"/>
            <w:noWrap/>
            <w:vAlign w:val="bottom"/>
            <w:hideMark/>
          </w:tcPr>
          <w:p w:rsidR="00F83DE7" w:rsidRPr="00485271" w:rsidRDefault="00F83DE7" w:rsidP="00AF3D17">
            <w:pPr>
              <w:spacing w:after="0" w:line="240" w:lineRule="auto"/>
              <w:rPr>
                <w:rFonts w:ascii="Times New Roman" w:eastAsia="Times New Roman" w:hAnsi="Times New Roman" w:cs="Times New Roman"/>
                <w:b/>
                <w:bCs/>
                <w:i/>
                <w:color w:val="000000"/>
                <w:sz w:val="20"/>
                <w:szCs w:val="20"/>
                <w:lang w:eastAsia="cs-CZ"/>
              </w:rPr>
            </w:pPr>
            <w:r w:rsidRPr="00485271">
              <w:rPr>
                <w:rFonts w:ascii="Times New Roman" w:eastAsia="Times New Roman" w:hAnsi="Times New Roman" w:cs="Times New Roman"/>
                <w:b/>
                <w:bCs/>
                <w:i/>
                <w:color w:val="000000"/>
                <w:sz w:val="20"/>
                <w:szCs w:val="20"/>
                <w:lang w:eastAsia="cs-CZ"/>
              </w:rPr>
              <w:t>n</w:t>
            </w:r>
          </w:p>
        </w:tc>
        <w:tc>
          <w:tcPr>
            <w:tcW w:w="850" w:type="dxa"/>
            <w:tcBorders>
              <w:top w:val="single" w:sz="4" w:space="0" w:color="auto"/>
              <w:left w:val="nil"/>
              <w:bottom w:val="single" w:sz="4" w:space="0" w:color="auto"/>
              <w:right w:val="nil"/>
            </w:tcBorders>
            <w:shd w:val="clear" w:color="auto" w:fill="auto"/>
            <w:noWrap/>
            <w:vAlign w:val="bottom"/>
            <w:hideMark/>
          </w:tcPr>
          <w:p w:rsidR="00F83DE7" w:rsidRPr="00485271" w:rsidRDefault="00F83DE7" w:rsidP="00AF3D17">
            <w:pPr>
              <w:spacing w:after="0" w:line="240" w:lineRule="auto"/>
              <w:rPr>
                <w:rFonts w:ascii="Times New Roman" w:eastAsia="Times New Roman" w:hAnsi="Times New Roman" w:cs="Times New Roman"/>
                <w:b/>
                <w:bCs/>
                <w:i/>
                <w:color w:val="000000"/>
                <w:sz w:val="20"/>
                <w:szCs w:val="20"/>
                <w:lang w:eastAsia="cs-CZ"/>
              </w:rPr>
            </w:pPr>
            <w:r w:rsidRPr="00485271">
              <w:rPr>
                <w:rFonts w:ascii="Times New Roman" w:eastAsia="Times New Roman" w:hAnsi="Times New Roman" w:cs="Times New Roman"/>
                <w:b/>
                <w:bCs/>
                <w:i/>
                <w:color w:val="000000"/>
                <w:sz w:val="20"/>
                <w:szCs w:val="20"/>
                <w:lang w:eastAsia="cs-CZ"/>
              </w:rPr>
              <w:t>k</w:t>
            </w:r>
          </w:p>
        </w:tc>
      </w:tr>
      <w:tr w:rsidR="00F83DE7" w:rsidRPr="00E50410" w:rsidTr="00AF3D17">
        <w:trPr>
          <w:trHeight w:val="300"/>
        </w:trPr>
        <w:tc>
          <w:tcPr>
            <w:tcW w:w="1291"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rPr>
                <w:rFonts w:ascii="Times New Roman" w:eastAsia="Times New Roman" w:hAnsi="Times New Roman" w:cs="Times New Roman"/>
                <w:b/>
                <w:color w:val="000000"/>
                <w:sz w:val="20"/>
                <w:szCs w:val="20"/>
                <w:lang w:eastAsia="cs-CZ"/>
              </w:rPr>
            </w:pPr>
            <w:r w:rsidRPr="00E50410">
              <w:rPr>
                <w:rFonts w:ascii="Times New Roman" w:eastAsia="Times New Roman" w:hAnsi="Times New Roman" w:cs="Times New Roman"/>
                <w:b/>
                <w:color w:val="000000"/>
                <w:sz w:val="20"/>
                <w:szCs w:val="20"/>
                <w:lang w:eastAsia="cs-CZ"/>
              </w:rPr>
              <w:t>A. Without year control</w:t>
            </w:r>
            <w:r w:rsidRPr="00F036A4">
              <w:rPr>
                <w:rFonts w:ascii="Times New Roman" w:eastAsia="Times New Roman" w:hAnsi="Times New Roman" w:cs="Times New Roman"/>
                <w:b/>
                <w:color w:val="000000"/>
                <w:sz w:val="20"/>
                <w:szCs w:val="20"/>
                <w:lang w:eastAsia="cs-CZ"/>
              </w:rPr>
              <w:t>:</w:t>
            </w:r>
          </w:p>
        </w:tc>
        <w:tc>
          <w:tcPr>
            <w:tcW w:w="1276"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NDVI</w:t>
            </w:r>
          </w:p>
        </w:tc>
        <w:tc>
          <w:tcPr>
            <w:tcW w:w="1701"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NDVI (z-score)</w:t>
            </w:r>
          </w:p>
        </w:tc>
        <w:tc>
          <w:tcPr>
            <w:tcW w:w="1134"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1.96 (0.53)</w:t>
            </w:r>
          </w:p>
        </w:tc>
        <w:tc>
          <w:tcPr>
            <w:tcW w:w="567"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0.14</w:t>
            </w:r>
          </w:p>
        </w:tc>
        <w:tc>
          <w:tcPr>
            <w:tcW w:w="1417"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0.05–0.40</w:t>
            </w:r>
          </w:p>
        </w:tc>
        <w:tc>
          <w:tcPr>
            <w:tcW w:w="851"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&lt;0.001</w:t>
            </w:r>
          </w:p>
        </w:tc>
        <w:tc>
          <w:tcPr>
            <w:tcW w:w="567"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single" w:sz="4" w:space="0" w:color="auto"/>
              <w:left w:val="nil"/>
              <w:bottom w:val="nil"/>
              <w:right w:val="nil"/>
            </w:tcBorders>
            <w:shd w:val="clear" w:color="auto" w:fill="auto"/>
            <w:noWrap/>
            <w:vAlign w:val="bottom"/>
            <w:hideMark/>
          </w:tcPr>
          <w:p w:rsidR="00F83DE7" w:rsidRPr="00E50410" w:rsidRDefault="00F83DE7" w:rsidP="00AF3D17">
            <w:pPr>
              <w:spacing w:before="60"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12</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b/>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T_avg</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T_avg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1.51 (0.45)</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0.22</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0.09–0.53</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&lt;0.001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12</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b/>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H_spring</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H_spring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1.32 (0.42)</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3.74</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1.64–8.53</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0.002</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12</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b/>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S_ann</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S_ann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0.94 (0.41)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0.39</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0.17–0.88</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0.023</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12</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b/>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BIO10</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BIO10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0.80 (0.41)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0.45</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0.20–1.00</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0.05</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12</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b/>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BIO17</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BIO17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0.34 (0.35)</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0.71</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0.36–1.40</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0.323</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12</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b/>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BIO14</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BIO14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0.35 (0.36)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0.35–1.42</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0.327</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12</w:t>
            </w:r>
          </w:p>
        </w:tc>
      </w:tr>
      <w:tr w:rsidR="00F83DE7" w:rsidRPr="00E50410" w:rsidTr="00AF3D17">
        <w:trPr>
          <w:trHeight w:val="300"/>
        </w:trPr>
        <w:tc>
          <w:tcPr>
            <w:tcW w:w="1291" w:type="dxa"/>
            <w:tcBorders>
              <w:top w:val="nil"/>
              <w:left w:val="nil"/>
              <w:bottom w:val="nil"/>
              <w:right w:val="nil"/>
            </w:tcBorders>
            <w:shd w:val="clear" w:color="auto" w:fill="auto"/>
            <w:noWrap/>
            <w:vAlign w:val="bottom"/>
            <w:hideMark/>
          </w:tcPr>
          <w:p w:rsidR="00F83DE7" w:rsidRPr="00E50410" w:rsidRDefault="00F83DE7" w:rsidP="00AF3D17">
            <w:pPr>
              <w:spacing w:before="60" w:after="0" w:line="240" w:lineRule="auto"/>
              <w:rPr>
                <w:rFonts w:ascii="Times New Roman" w:eastAsia="Times New Roman" w:hAnsi="Times New Roman" w:cs="Times New Roman"/>
                <w:b/>
                <w:color w:val="000000"/>
                <w:sz w:val="20"/>
                <w:szCs w:val="20"/>
                <w:lang w:eastAsia="cs-CZ"/>
              </w:rPr>
            </w:pPr>
            <w:r w:rsidRPr="00E50410">
              <w:rPr>
                <w:rFonts w:ascii="Times New Roman" w:eastAsia="Times New Roman" w:hAnsi="Times New Roman" w:cs="Times New Roman"/>
                <w:b/>
                <w:color w:val="000000"/>
                <w:sz w:val="20"/>
                <w:szCs w:val="20"/>
                <w:lang w:eastAsia="cs-CZ"/>
              </w:rPr>
              <w:t>B. With year control</w:t>
            </w:r>
            <w:r w:rsidRPr="00F036A4">
              <w:rPr>
                <w:rFonts w:ascii="Times New Roman" w:eastAsia="Times New Roman" w:hAnsi="Times New Roman" w:cs="Times New Roman"/>
                <w:b/>
                <w:color w:val="000000"/>
                <w:sz w:val="20"/>
                <w:szCs w:val="20"/>
                <w:lang w:eastAsia="cs-CZ"/>
              </w:rPr>
              <w:t>:</w:t>
            </w: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(per +1 year)</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0.23 (0.06)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0.79</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0.71–0.89</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&lt;0.001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12</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BIO17</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BIO17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0.97 (0.46)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0.38</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0.15–0.94</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0.036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BIO17</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(per +1 year)</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0.26 (0.06)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0.77</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0.68–0.87</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&lt;0.001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T_avg</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T_avg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0.89 (0.50)</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0.41</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0.15–1.08</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0.071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T_avg</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(per +1 year)</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0.19 (0.06)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0.82</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0.73–0.93</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0.002</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BIO14</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BIO14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0.73 (0.40)</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0.48</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0.22–1.06</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0.07</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BIO14</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(per +1 year)</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0.24 (0.06)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0.78</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0.69–0.88</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&lt;0.001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BIO10</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BIO10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0.59 (0.36)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0.56</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0.28–1.12</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0.102</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BIO10</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(per +1 year)</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0.23 (0.06)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0.8</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0.71–0.90</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&lt;0.001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H_spring</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H_spring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0.68 (0.46)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1.98</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0.81–4.84</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0.134</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H_spring</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(per +1 year)</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0.20 (0.06)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0.82</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0.73–0.93</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0.002</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S_ann</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S_ann (z-score)</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0.50 (0.41)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0.6</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0.27–1.35</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0.219</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S_ann</w:t>
            </w:r>
          </w:p>
        </w:tc>
        <w:tc>
          <w:tcPr>
            <w:tcW w:w="170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(per +1 year)</w:t>
            </w:r>
          </w:p>
        </w:tc>
        <w:tc>
          <w:tcPr>
            <w:tcW w:w="1134"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0.21 (0.06)</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0.81</w:t>
            </w:r>
          </w:p>
        </w:tc>
        <w:tc>
          <w:tcPr>
            <w:tcW w:w="141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0.72–0.91</w:t>
            </w:r>
          </w:p>
        </w:tc>
        <w:tc>
          <w:tcPr>
            <w:tcW w:w="851"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&lt;0.001</w:t>
            </w:r>
          </w:p>
        </w:tc>
        <w:tc>
          <w:tcPr>
            <w:tcW w:w="567"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NDVI</w:t>
            </w:r>
          </w:p>
        </w:tc>
        <w:tc>
          <w:tcPr>
            <w:tcW w:w="1701" w:type="dxa"/>
            <w:tcBorders>
              <w:top w:val="nil"/>
              <w:left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NDVI (z-score)</w:t>
            </w:r>
          </w:p>
        </w:tc>
        <w:tc>
          <w:tcPr>
            <w:tcW w:w="1134" w:type="dxa"/>
            <w:tcBorders>
              <w:top w:val="nil"/>
              <w:left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1.39 (1.87)</w:t>
            </w:r>
          </w:p>
        </w:tc>
        <w:tc>
          <w:tcPr>
            <w:tcW w:w="567" w:type="dxa"/>
            <w:tcBorders>
              <w:top w:val="nil"/>
              <w:left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4.02</w:t>
            </w:r>
          </w:p>
        </w:tc>
        <w:tc>
          <w:tcPr>
            <w:tcW w:w="1417" w:type="dxa"/>
            <w:tcBorders>
              <w:top w:val="nil"/>
              <w:left w:val="nil"/>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0.10–157.60</w:t>
            </w:r>
          </w:p>
        </w:tc>
        <w:tc>
          <w:tcPr>
            <w:tcW w:w="851" w:type="dxa"/>
            <w:tcBorders>
              <w:top w:val="nil"/>
              <w:left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0.457</w:t>
            </w:r>
          </w:p>
        </w:tc>
        <w:tc>
          <w:tcPr>
            <w:tcW w:w="567" w:type="dxa"/>
            <w:tcBorders>
              <w:top w:val="nil"/>
              <w:left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r w:rsidR="00F83DE7" w:rsidRPr="00E50410" w:rsidTr="00AF3D17">
        <w:trPr>
          <w:trHeight w:val="300"/>
        </w:trPr>
        <w:tc>
          <w:tcPr>
            <w:tcW w:w="1291" w:type="dxa"/>
            <w:tcBorders>
              <w:top w:val="nil"/>
              <w:left w:val="nil"/>
              <w:bottom w:val="single" w:sz="4" w:space="0" w:color="auto"/>
              <w:right w:val="nil"/>
            </w:tcBorders>
            <w:shd w:val="clear" w:color="auto" w:fill="auto"/>
            <w:noWrap/>
            <w:vAlign w:val="bottom"/>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p>
        </w:tc>
        <w:tc>
          <w:tcPr>
            <w:tcW w:w="1276" w:type="dxa"/>
            <w:tcBorders>
              <w:top w:val="nil"/>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 NDVI</w:t>
            </w:r>
          </w:p>
        </w:tc>
        <w:tc>
          <w:tcPr>
            <w:tcW w:w="1701" w:type="dxa"/>
            <w:tcBorders>
              <w:top w:val="nil"/>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Year (per +1 year)</w:t>
            </w:r>
          </w:p>
        </w:tc>
        <w:tc>
          <w:tcPr>
            <w:tcW w:w="1134" w:type="dxa"/>
            <w:tcBorders>
              <w:top w:val="nil"/>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096D92">
              <w:rPr>
                <w:rFonts w:ascii="Times New Roman" w:eastAsia="Times New Roman" w:hAnsi="Times New Roman" w:cs="Times New Roman"/>
                <w:color w:val="000000"/>
                <w:sz w:val="20"/>
                <w:szCs w:val="20"/>
                <w:lang w:eastAsia="cs-CZ"/>
              </w:rPr>
              <w:t>–</w:t>
            </w:r>
            <w:r w:rsidRPr="00E50410">
              <w:rPr>
                <w:rFonts w:ascii="Times New Roman" w:eastAsia="Times New Roman" w:hAnsi="Times New Roman" w:cs="Times New Roman"/>
                <w:color w:val="000000"/>
                <w:sz w:val="20"/>
                <w:szCs w:val="20"/>
                <w:lang w:eastAsia="cs-CZ"/>
              </w:rPr>
              <w:t>0.37 (0.21)</w:t>
            </w:r>
          </w:p>
        </w:tc>
        <w:tc>
          <w:tcPr>
            <w:tcW w:w="567" w:type="dxa"/>
            <w:tcBorders>
              <w:top w:val="nil"/>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0.69</w:t>
            </w:r>
          </w:p>
        </w:tc>
        <w:tc>
          <w:tcPr>
            <w:tcW w:w="1417" w:type="dxa"/>
            <w:tcBorders>
              <w:top w:val="nil"/>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0.46–1.03</w:t>
            </w:r>
          </w:p>
        </w:tc>
        <w:tc>
          <w:tcPr>
            <w:tcW w:w="851" w:type="dxa"/>
            <w:tcBorders>
              <w:top w:val="nil"/>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0.069</w:t>
            </w:r>
          </w:p>
        </w:tc>
        <w:tc>
          <w:tcPr>
            <w:tcW w:w="567" w:type="dxa"/>
            <w:tcBorders>
              <w:top w:val="nil"/>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24</w:t>
            </w:r>
          </w:p>
        </w:tc>
        <w:tc>
          <w:tcPr>
            <w:tcW w:w="850" w:type="dxa"/>
            <w:tcBorders>
              <w:top w:val="nil"/>
              <w:left w:val="nil"/>
              <w:bottom w:val="single" w:sz="4" w:space="0" w:color="auto"/>
              <w:right w:val="nil"/>
            </w:tcBorders>
            <w:shd w:val="clear" w:color="auto" w:fill="auto"/>
            <w:noWrap/>
            <w:vAlign w:val="bottom"/>
            <w:hideMark/>
          </w:tcPr>
          <w:p w:rsidR="00F83DE7" w:rsidRPr="00E50410" w:rsidRDefault="00F83DE7" w:rsidP="00AF3D17">
            <w:pPr>
              <w:spacing w:after="0" w:line="240" w:lineRule="auto"/>
              <w:jc w:val="right"/>
              <w:rPr>
                <w:rFonts w:ascii="Times New Roman" w:eastAsia="Times New Roman" w:hAnsi="Times New Roman" w:cs="Times New Roman"/>
                <w:color w:val="000000"/>
                <w:sz w:val="20"/>
                <w:szCs w:val="20"/>
                <w:lang w:eastAsia="cs-CZ"/>
              </w:rPr>
            </w:pPr>
            <w:r w:rsidRPr="00E50410">
              <w:rPr>
                <w:rFonts w:ascii="Times New Roman" w:eastAsia="Times New Roman" w:hAnsi="Times New Roman" w:cs="Times New Roman"/>
                <w:color w:val="000000"/>
                <w:sz w:val="20"/>
                <w:szCs w:val="20"/>
                <w:lang w:eastAsia="cs-CZ"/>
              </w:rPr>
              <w:t>13</w:t>
            </w:r>
          </w:p>
        </w:tc>
      </w:tr>
    </w:tbl>
    <w:p w:rsidR="00F83DE7" w:rsidRPr="00734C83" w:rsidRDefault="00F83DE7" w:rsidP="00F83DE7">
      <w:pPr>
        <w:spacing w:after="0" w:line="240" w:lineRule="auto"/>
        <w:rPr>
          <w:rFonts w:ascii="Times New Roman" w:hAnsi="Times New Roman" w:cs="Times New Roman"/>
          <w:sz w:val="20"/>
          <w:szCs w:val="20"/>
        </w:rPr>
      </w:pPr>
      <w:r w:rsidRPr="00734C83">
        <w:rPr>
          <w:rFonts w:ascii="Times New Roman" w:hAnsi="Times New Roman" w:cs="Times New Roman"/>
          <w:sz w:val="20"/>
          <w:szCs w:val="20"/>
        </w:rPr>
        <w:t xml:space="preserve">Note: </w:t>
      </w:r>
      <w:r w:rsidRPr="00485271">
        <w:rPr>
          <w:rFonts w:ascii="Times New Roman" w:hAnsi="Times New Roman" w:cs="Times New Roman"/>
          <w:sz w:val="20"/>
          <w:szCs w:val="20"/>
        </w:rPr>
        <w:t xml:space="preserve">Predictor codes follow Table 1. Candidate models represent the reduced set </w:t>
      </w:r>
      <w:r>
        <w:rPr>
          <w:rFonts w:ascii="Times New Roman" w:hAnsi="Times New Roman" w:cs="Times New Roman"/>
          <w:sz w:val="20"/>
          <w:szCs w:val="20"/>
        </w:rPr>
        <w:t xml:space="preserve">after collinearity filtering. </w:t>
      </w:r>
      <w:r w:rsidRPr="00485271">
        <w:rPr>
          <w:rFonts w:ascii="Times New Roman" w:hAnsi="Times New Roman" w:cs="Times New Roman"/>
          <w:i/>
          <w:sz w:val="20"/>
          <w:szCs w:val="20"/>
        </w:rPr>
        <w:t>β</w:t>
      </w:r>
      <w:r w:rsidRPr="00485271">
        <w:rPr>
          <w:rFonts w:ascii="Times New Roman" w:hAnsi="Times New Roman" w:cs="Times New Roman"/>
          <w:sz w:val="20"/>
          <w:szCs w:val="20"/>
        </w:rPr>
        <w:t xml:space="preserve"> = coefficient (environmental predictors are z-standardized; year is on the original scale); SE = standard error; OR = odds ratio; CI = confidence interval; </w:t>
      </w:r>
      <w:r w:rsidRPr="00485271">
        <w:rPr>
          <w:rFonts w:ascii="Times New Roman" w:hAnsi="Times New Roman" w:cs="Times New Roman"/>
          <w:i/>
          <w:sz w:val="20"/>
          <w:szCs w:val="20"/>
        </w:rPr>
        <w:t>p</w:t>
      </w:r>
      <w:r w:rsidRPr="00485271">
        <w:rPr>
          <w:rFonts w:ascii="Times New Roman" w:hAnsi="Times New Roman" w:cs="Times New Roman"/>
          <w:sz w:val="20"/>
          <w:szCs w:val="20"/>
        </w:rPr>
        <w:t xml:space="preserve">-value = significance level; </w:t>
      </w:r>
      <w:r w:rsidRPr="00485271">
        <w:rPr>
          <w:rFonts w:ascii="Times New Roman" w:hAnsi="Times New Roman" w:cs="Times New Roman"/>
          <w:i/>
          <w:sz w:val="20"/>
          <w:szCs w:val="20"/>
        </w:rPr>
        <w:t>n</w:t>
      </w:r>
      <w:r w:rsidRPr="00485271">
        <w:rPr>
          <w:rFonts w:ascii="Times New Roman" w:hAnsi="Times New Roman" w:cs="Times New Roman"/>
          <w:sz w:val="20"/>
          <w:szCs w:val="20"/>
        </w:rPr>
        <w:t xml:space="preserve"> = number of observations (years); </w:t>
      </w:r>
      <w:r w:rsidRPr="00485271">
        <w:rPr>
          <w:rFonts w:ascii="Times New Roman" w:hAnsi="Times New Roman" w:cs="Times New Roman"/>
          <w:i/>
          <w:sz w:val="20"/>
          <w:szCs w:val="20"/>
        </w:rPr>
        <w:t>k</w:t>
      </w:r>
      <w:r w:rsidRPr="00485271">
        <w:rPr>
          <w:rFonts w:ascii="Times New Roman" w:hAnsi="Times New Roman" w:cs="Times New Roman"/>
          <w:sz w:val="20"/>
          <w:szCs w:val="20"/>
        </w:rPr>
        <w:t xml:space="preserve"> = number of estimated parameters (including ordinal thresholds). The high standard errors and non-significance in the "year + NDVI" model are attributed to extreme multicollinearity between these two predictors (</w:t>
      </w:r>
      <w:r w:rsidRPr="00D472D6">
        <w:rPr>
          <w:rFonts w:ascii="Times New Roman" w:hAnsi="Times New Roman" w:cs="Times New Roman"/>
          <w:i/>
          <w:sz w:val="20"/>
          <w:szCs w:val="20"/>
        </w:rPr>
        <w:t>r</w:t>
      </w:r>
      <w:r w:rsidRPr="00485271">
        <w:rPr>
          <w:rFonts w:ascii="Times New Roman" w:hAnsi="Times New Roman" w:cs="Times New Roman"/>
          <w:sz w:val="20"/>
          <w:szCs w:val="20"/>
        </w:rPr>
        <w:t xml:space="preserve"> = 0.98).</w:t>
      </w:r>
    </w:p>
    <w:p w:rsidR="00F83DE7" w:rsidRDefault="00F83DE7" w:rsidP="00F83DE7">
      <w:pPr>
        <w:spacing w:after="0" w:line="360" w:lineRule="auto"/>
        <w:rPr>
          <w:rFonts w:ascii="Times New Roman" w:hAnsi="Times New Roman" w:cs="Times New Roman"/>
        </w:rPr>
      </w:pPr>
    </w:p>
    <w:p w:rsidR="00F83DE7" w:rsidRDefault="00F83DE7" w:rsidP="00F83DE7">
      <w:pPr>
        <w:spacing w:after="0" w:line="360" w:lineRule="auto"/>
        <w:rPr>
          <w:rFonts w:ascii="Times New Roman" w:hAnsi="Times New Roman" w:cs="Times New Roman"/>
        </w:rPr>
      </w:pPr>
    </w:p>
    <w:p w:rsidR="00F83DE7" w:rsidRDefault="00F83DE7" w:rsidP="00F83DE7">
      <w:pPr>
        <w:spacing w:after="0" w:line="360" w:lineRule="auto"/>
        <w:rPr>
          <w:rFonts w:ascii="Times New Roman" w:hAnsi="Times New Roman" w:cs="Times New Roman"/>
        </w:rPr>
      </w:pPr>
    </w:p>
    <w:p w:rsidR="00F83DE7" w:rsidRDefault="00F83DE7" w:rsidP="00F83DE7">
      <w:pPr>
        <w:spacing w:after="0" w:line="360" w:lineRule="auto"/>
        <w:rPr>
          <w:rFonts w:ascii="Times New Roman" w:hAnsi="Times New Roman" w:cs="Times New Roman"/>
        </w:rPr>
      </w:pPr>
    </w:p>
    <w:p w:rsidR="00F83DE7" w:rsidRDefault="00F83DE7" w:rsidP="00F83DE7">
      <w:pPr>
        <w:spacing w:after="0" w:line="360" w:lineRule="auto"/>
        <w:rPr>
          <w:rFonts w:ascii="Times New Roman" w:hAnsi="Times New Roman" w:cs="Times New Roman"/>
        </w:rPr>
      </w:pPr>
    </w:p>
    <w:p w:rsidR="00C92FB8" w:rsidRDefault="00C92FB8">
      <w:bookmarkStart w:id="0" w:name="_GoBack"/>
      <w:bookmarkEnd w:id="0"/>
    </w:p>
    <w:sectPr w:rsidR="00C92FB8" w:rsidSect="00467B72">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E7"/>
    <w:rsid w:val="00467B72"/>
    <w:rsid w:val="00C92FB8"/>
    <w:rsid w:val="00F330A6"/>
    <w:rsid w:val="00F83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DE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83DE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DE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83DE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6106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RNDr. Tomáš Kuras, Ph.D.</dc:creator>
  <cp:lastModifiedBy>RNDr. Tomáš Kuras, Ph.D.</cp:lastModifiedBy>
  <cp:revision>1</cp:revision>
  <dcterms:created xsi:type="dcterms:W3CDTF">2026-02-22T17:23:00Z</dcterms:created>
  <dcterms:modified xsi:type="dcterms:W3CDTF">2026-02-22T17:24:00Z</dcterms:modified>
</cp:coreProperties>
</file>