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52A2E" w14:textId="77777777" w:rsidR="00C47EEE" w:rsidRPr="002527EF" w:rsidRDefault="00C47EEE" w:rsidP="00C47EEE">
      <w:pPr>
        <w:spacing w:line="480" w:lineRule="auto"/>
        <w:rPr>
          <w:rFonts w:cs="Arial"/>
          <w:b/>
          <w:bCs/>
          <w:color w:val="000000" w:themeColor="text1"/>
          <w:sz w:val="28"/>
          <w:szCs w:val="28"/>
          <w:u w:val="single"/>
        </w:rPr>
      </w:pPr>
    </w:p>
    <w:p w14:paraId="1A5FFCA8" w14:textId="77777777" w:rsidR="00C47EEE" w:rsidRPr="002527EF" w:rsidRDefault="00C47EEE" w:rsidP="00C47EEE">
      <w:pPr>
        <w:spacing w:line="480" w:lineRule="auto"/>
        <w:jc w:val="center"/>
        <w:rPr>
          <w:rFonts w:cs="Arial"/>
          <w:color w:val="000000" w:themeColor="text1"/>
        </w:rPr>
      </w:pPr>
      <w:bookmarkStart w:id="0" w:name="_Hlk79742824"/>
      <w:r w:rsidRPr="002527EF">
        <w:rPr>
          <w:rFonts w:cs="Arial"/>
          <w:color w:val="000000" w:themeColor="text1"/>
        </w:rPr>
        <w:t>Enhanced Activity of Alzheimer Disease-associated Variant of</w:t>
      </w:r>
    </w:p>
    <w:p w14:paraId="6F6C799E" w14:textId="77777777" w:rsidR="00C47EEE" w:rsidRPr="002527EF" w:rsidRDefault="00C47EEE" w:rsidP="00C47EEE">
      <w:pPr>
        <w:spacing w:line="480" w:lineRule="auto"/>
        <w:jc w:val="center"/>
        <w:rPr>
          <w:rFonts w:cs="Arial"/>
          <w:color w:val="000000" w:themeColor="text1"/>
        </w:rPr>
      </w:pPr>
      <w:r w:rsidRPr="002527EF">
        <w:rPr>
          <w:rFonts w:cs="Arial"/>
          <w:color w:val="000000" w:themeColor="text1"/>
        </w:rPr>
        <w:t>Protein Kinase Cα Drives Cognitive Decline</w:t>
      </w:r>
    </w:p>
    <w:p w14:paraId="2F829245" w14:textId="77777777" w:rsidR="00C47EEE" w:rsidRPr="002527EF" w:rsidRDefault="00C47EEE" w:rsidP="00C47EEE">
      <w:pPr>
        <w:spacing w:line="480" w:lineRule="auto"/>
        <w:jc w:val="center"/>
        <w:rPr>
          <w:rFonts w:cs="Arial"/>
          <w:color w:val="000000" w:themeColor="text1"/>
          <w:sz w:val="18"/>
          <w:szCs w:val="18"/>
        </w:rPr>
      </w:pPr>
      <w:r w:rsidRPr="002527EF">
        <w:rPr>
          <w:rFonts w:cs="Arial"/>
          <w:color w:val="000000" w:themeColor="text1"/>
          <w:sz w:val="18"/>
          <w:szCs w:val="18"/>
        </w:rPr>
        <w:t xml:space="preserve"> </w:t>
      </w:r>
    </w:p>
    <w:p w14:paraId="3F321BE3" w14:textId="77777777" w:rsidR="00C47EEE" w:rsidRPr="002527EF" w:rsidRDefault="00C47EEE" w:rsidP="00C47EEE">
      <w:pPr>
        <w:rPr>
          <w:rFonts w:ascii="Calibri" w:hAnsi="Calibri" w:cs="Calibri"/>
          <w:color w:val="000000" w:themeColor="text1"/>
        </w:rPr>
      </w:pPr>
      <w:proofErr w:type="spellStart"/>
      <w:r w:rsidRPr="002527EF">
        <w:rPr>
          <w:rFonts w:cs="Arial"/>
          <w:color w:val="000000" w:themeColor="text1"/>
          <w:sz w:val="18"/>
          <w:szCs w:val="18"/>
        </w:rPr>
        <w:t>Gema</w:t>
      </w:r>
      <w:proofErr w:type="spellEnd"/>
      <w:r w:rsidRPr="002527EF">
        <w:rPr>
          <w:rFonts w:cs="Arial"/>
          <w:color w:val="000000" w:themeColor="text1"/>
          <w:sz w:val="18"/>
          <w:szCs w:val="18"/>
        </w:rPr>
        <w:t xml:space="preserve"> Lordén</w:t>
      </w:r>
      <w:r w:rsidRPr="002527EF">
        <w:rPr>
          <w:rFonts w:cs="Arial"/>
          <w:color w:val="000000" w:themeColor="text1"/>
          <w:sz w:val="18"/>
          <w:szCs w:val="18"/>
          <w:vertAlign w:val="superscript"/>
        </w:rPr>
        <w:t>1</w:t>
      </w:r>
      <w:r w:rsidRPr="002527EF">
        <w:rPr>
          <w:rFonts w:cs="Arial"/>
          <w:color w:val="000000" w:themeColor="text1"/>
          <w:sz w:val="18"/>
          <w:szCs w:val="18"/>
        </w:rPr>
        <w:t>, Jacob M. Wozniak</w:t>
      </w:r>
      <w:r w:rsidRPr="002527EF">
        <w:rPr>
          <w:rFonts w:cs="Arial"/>
          <w:color w:val="000000" w:themeColor="text1"/>
          <w:sz w:val="18"/>
          <w:szCs w:val="18"/>
          <w:vertAlign w:val="superscript"/>
        </w:rPr>
        <w:t>1,2</w:t>
      </w:r>
      <w:r w:rsidRPr="002527EF">
        <w:rPr>
          <w:rFonts w:cs="Arial"/>
          <w:color w:val="000000" w:themeColor="text1"/>
          <w:sz w:val="18"/>
          <w:szCs w:val="18"/>
        </w:rPr>
        <w:t>, Kim Doré</w:t>
      </w:r>
      <w:r w:rsidRPr="002527EF">
        <w:rPr>
          <w:rFonts w:cs="Arial"/>
          <w:color w:val="000000" w:themeColor="text1"/>
          <w:sz w:val="18"/>
          <w:szCs w:val="18"/>
          <w:vertAlign w:val="superscript"/>
        </w:rPr>
        <w:t>3</w:t>
      </w:r>
      <w:r w:rsidRPr="002527EF">
        <w:rPr>
          <w:rFonts w:cs="Arial"/>
          <w:color w:val="000000" w:themeColor="text1"/>
          <w:sz w:val="18"/>
          <w:szCs w:val="18"/>
        </w:rPr>
        <w:t>, Lara E. Dozier</w:t>
      </w:r>
      <w:r w:rsidRPr="002527EF">
        <w:rPr>
          <w:rFonts w:cs="Arial"/>
          <w:color w:val="000000" w:themeColor="text1"/>
          <w:sz w:val="18"/>
          <w:szCs w:val="18"/>
          <w:vertAlign w:val="superscript"/>
        </w:rPr>
        <w:t>4</w:t>
      </w:r>
      <w:r w:rsidRPr="002527EF">
        <w:rPr>
          <w:rFonts w:cs="Arial"/>
          <w:color w:val="000000" w:themeColor="text1"/>
          <w:sz w:val="18"/>
          <w:szCs w:val="18"/>
        </w:rPr>
        <w:t>, Chelsea Cates-Gatto</w:t>
      </w:r>
      <w:r w:rsidRPr="002527EF">
        <w:rPr>
          <w:rFonts w:cs="Arial"/>
          <w:color w:val="000000" w:themeColor="text1"/>
          <w:sz w:val="18"/>
          <w:szCs w:val="18"/>
          <w:vertAlign w:val="superscript"/>
        </w:rPr>
        <w:t>5</w:t>
      </w:r>
      <w:r w:rsidRPr="002527EF">
        <w:rPr>
          <w:rFonts w:cs="Arial"/>
          <w:color w:val="000000" w:themeColor="text1"/>
          <w:sz w:val="18"/>
          <w:szCs w:val="18"/>
        </w:rPr>
        <w:t>, Gentry N. Patrick</w:t>
      </w:r>
      <w:r w:rsidRPr="002527EF">
        <w:rPr>
          <w:rFonts w:cs="Arial"/>
          <w:color w:val="000000" w:themeColor="text1"/>
          <w:sz w:val="18"/>
          <w:szCs w:val="18"/>
          <w:vertAlign w:val="superscript"/>
        </w:rPr>
        <w:t>4</w:t>
      </w:r>
      <w:r w:rsidRPr="002527EF">
        <w:rPr>
          <w:rFonts w:cs="Arial"/>
          <w:color w:val="000000" w:themeColor="text1"/>
          <w:sz w:val="18"/>
          <w:szCs w:val="18"/>
        </w:rPr>
        <w:t>, David J. Gonzalez</w:t>
      </w:r>
      <w:r w:rsidRPr="002527EF">
        <w:rPr>
          <w:rFonts w:cs="Arial"/>
          <w:color w:val="000000" w:themeColor="text1"/>
          <w:sz w:val="18"/>
          <w:szCs w:val="18"/>
          <w:vertAlign w:val="superscript"/>
        </w:rPr>
        <w:t>1,2</w:t>
      </w:r>
      <w:r w:rsidRPr="002527EF">
        <w:rPr>
          <w:rFonts w:cs="Arial"/>
          <w:color w:val="000000" w:themeColor="text1"/>
          <w:sz w:val="18"/>
          <w:szCs w:val="18"/>
        </w:rPr>
        <w:t>, Amanda J. Roberts</w:t>
      </w:r>
      <w:r w:rsidRPr="002527EF">
        <w:rPr>
          <w:rFonts w:cs="Arial"/>
          <w:color w:val="000000" w:themeColor="text1"/>
          <w:sz w:val="18"/>
          <w:szCs w:val="18"/>
          <w:vertAlign w:val="superscript"/>
        </w:rPr>
        <w:t>5</w:t>
      </w:r>
      <w:r w:rsidRPr="002527EF">
        <w:rPr>
          <w:rFonts w:cs="Arial"/>
          <w:color w:val="000000" w:themeColor="text1"/>
          <w:sz w:val="18"/>
          <w:szCs w:val="18"/>
        </w:rPr>
        <w:t>, Rudolph E. Tanzi</w:t>
      </w:r>
      <w:r w:rsidRPr="002527EF">
        <w:rPr>
          <w:rFonts w:cs="Arial"/>
          <w:color w:val="000000" w:themeColor="text1"/>
          <w:sz w:val="18"/>
          <w:szCs w:val="18"/>
          <w:vertAlign w:val="superscript"/>
        </w:rPr>
        <w:t>6</w:t>
      </w:r>
      <w:r w:rsidRPr="002527EF">
        <w:rPr>
          <w:rFonts w:cs="Arial"/>
          <w:color w:val="000000" w:themeColor="text1"/>
          <w:sz w:val="18"/>
          <w:szCs w:val="18"/>
        </w:rPr>
        <w:t>, Alexandra C. Newton</w:t>
      </w:r>
      <w:r w:rsidRPr="002527EF">
        <w:rPr>
          <w:rFonts w:cs="Arial"/>
          <w:color w:val="000000" w:themeColor="text1"/>
          <w:sz w:val="18"/>
          <w:szCs w:val="18"/>
          <w:vertAlign w:val="superscript"/>
        </w:rPr>
        <w:t>1*</w:t>
      </w:r>
    </w:p>
    <w:p w14:paraId="00649D80" w14:textId="77777777" w:rsidR="00C47EEE" w:rsidRPr="002527EF" w:rsidRDefault="00C47EEE" w:rsidP="00C47EEE">
      <w:pPr>
        <w:spacing w:after="0" w:line="360" w:lineRule="auto"/>
        <w:jc w:val="center"/>
        <w:rPr>
          <w:rFonts w:cs="Arial"/>
          <w:color w:val="000000" w:themeColor="text1"/>
          <w:sz w:val="16"/>
          <w:szCs w:val="16"/>
        </w:rPr>
      </w:pPr>
      <w:r w:rsidRPr="002527EF">
        <w:rPr>
          <w:rFonts w:cs="Arial"/>
          <w:color w:val="000000" w:themeColor="text1"/>
          <w:sz w:val="16"/>
          <w:szCs w:val="16"/>
          <w:vertAlign w:val="superscript"/>
        </w:rPr>
        <w:t>1</w:t>
      </w:r>
      <w:r w:rsidRPr="002527EF">
        <w:rPr>
          <w:rFonts w:cs="Arial"/>
          <w:color w:val="000000" w:themeColor="text1"/>
          <w:sz w:val="16"/>
          <w:szCs w:val="16"/>
        </w:rPr>
        <w:t>Department of Pharmacology, University of California San Diego, La Jolla, CA 92093</w:t>
      </w:r>
      <w:r>
        <w:rPr>
          <w:rFonts w:cs="Arial"/>
          <w:color w:val="000000" w:themeColor="text1"/>
          <w:sz w:val="16"/>
          <w:szCs w:val="16"/>
        </w:rPr>
        <w:t>.</w:t>
      </w:r>
    </w:p>
    <w:p w14:paraId="2EFAD64C" w14:textId="77777777" w:rsidR="00C47EEE" w:rsidRPr="002527EF" w:rsidRDefault="00C47EEE" w:rsidP="00C47EEE">
      <w:pPr>
        <w:spacing w:after="0" w:line="360" w:lineRule="auto"/>
        <w:jc w:val="center"/>
        <w:rPr>
          <w:rFonts w:cs="Arial"/>
          <w:color w:val="000000" w:themeColor="text1"/>
          <w:sz w:val="16"/>
          <w:szCs w:val="16"/>
        </w:rPr>
      </w:pPr>
      <w:r w:rsidRPr="002527EF">
        <w:rPr>
          <w:rFonts w:cs="Arial"/>
          <w:color w:val="000000" w:themeColor="text1"/>
          <w:sz w:val="16"/>
          <w:szCs w:val="16"/>
          <w:vertAlign w:val="superscript"/>
        </w:rPr>
        <w:t>2</w:t>
      </w:r>
      <w:r w:rsidRPr="002527EF">
        <w:rPr>
          <w:rFonts w:cs="Arial"/>
          <w:color w:val="000000" w:themeColor="text1"/>
          <w:sz w:val="16"/>
          <w:szCs w:val="16"/>
        </w:rPr>
        <w:t>Skaggs School of Pharmacy and Pharmaceutical Sciences, University of California San Diego, La Jolla, CA 92093</w:t>
      </w:r>
      <w:r>
        <w:rPr>
          <w:rFonts w:cs="Arial"/>
          <w:color w:val="000000" w:themeColor="text1"/>
          <w:sz w:val="16"/>
          <w:szCs w:val="16"/>
        </w:rPr>
        <w:t>.</w:t>
      </w:r>
    </w:p>
    <w:p w14:paraId="67FBEE2F" w14:textId="77777777" w:rsidR="00C47EEE" w:rsidRPr="002527EF" w:rsidRDefault="00C47EEE" w:rsidP="00C47EEE">
      <w:pPr>
        <w:spacing w:after="0" w:line="360" w:lineRule="auto"/>
        <w:jc w:val="center"/>
        <w:rPr>
          <w:rFonts w:cs="Arial"/>
          <w:color w:val="000000" w:themeColor="text1"/>
          <w:sz w:val="16"/>
          <w:szCs w:val="16"/>
        </w:rPr>
      </w:pPr>
      <w:r w:rsidRPr="002527EF">
        <w:rPr>
          <w:rFonts w:cs="Arial"/>
          <w:color w:val="000000" w:themeColor="text1"/>
          <w:sz w:val="16"/>
          <w:szCs w:val="16"/>
          <w:vertAlign w:val="superscript"/>
        </w:rPr>
        <w:t>3</w:t>
      </w:r>
      <w:r w:rsidRPr="002527EF">
        <w:rPr>
          <w:rFonts w:cs="Arial"/>
          <w:color w:val="000000" w:themeColor="text1"/>
          <w:sz w:val="16"/>
          <w:szCs w:val="16"/>
        </w:rPr>
        <w:t>Center for Neural Circuits and Behavior, Department of Neurosciences, University of California San Diego, La Jolla, CA 9209</w:t>
      </w:r>
      <w:r>
        <w:rPr>
          <w:rFonts w:cs="Arial"/>
          <w:color w:val="000000" w:themeColor="text1"/>
          <w:sz w:val="16"/>
          <w:szCs w:val="16"/>
        </w:rPr>
        <w:t>3.</w:t>
      </w:r>
    </w:p>
    <w:p w14:paraId="46ED81BA" w14:textId="77777777" w:rsidR="00C47EEE" w:rsidRPr="002527EF" w:rsidRDefault="00C47EEE" w:rsidP="00C47EEE">
      <w:pPr>
        <w:spacing w:after="0" w:line="360" w:lineRule="auto"/>
        <w:jc w:val="center"/>
        <w:rPr>
          <w:rFonts w:cs="Arial"/>
          <w:color w:val="000000" w:themeColor="text1"/>
          <w:sz w:val="16"/>
          <w:szCs w:val="16"/>
        </w:rPr>
      </w:pPr>
      <w:r w:rsidRPr="002527EF">
        <w:rPr>
          <w:rFonts w:cs="Arial"/>
          <w:color w:val="000000" w:themeColor="text1"/>
          <w:sz w:val="16"/>
          <w:szCs w:val="16"/>
          <w:vertAlign w:val="superscript"/>
        </w:rPr>
        <w:t>4</w:t>
      </w:r>
      <w:r w:rsidRPr="002527EF">
        <w:rPr>
          <w:rFonts w:cs="Arial"/>
          <w:color w:val="000000" w:themeColor="text1"/>
          <w:sz w:val="16"/>
          <w:szCs w:val="16"/>
        </w:rPr>
        <w:t>Section of Neurobiology. Division of Biological sciences, University of California San Diego, La Jolla</w:t>
      </w:r>
      <w:r>
        <w:rPr>
          <w:rFonts w:cs="Arial"/>
          <w:color w:val="000000" w:themeColor="text1"/>
          <w:sz w:val="16"/>
          <w:szCs w:val="16"/>
        </w:rPr>
        <w:t>, CA 92093</w:t>
      </w:r>
      <w:r w:rsidRPr="002527EF">
        <w:rPr>
          <w:rFonts w:cs="Arial"/>
          <w:color w:val="000000" w:themeColor="text1"/>
          <w:sz w:val="16"/>
          <w:szCs w:val="16"/>
        </w:rPr>
        <w:t>.</w:t>
      </w:r>
    </w:p>
    <w:p w14:paraId="209691B1" w14:textId="77777777" w:rsidR="00C47EEE" w:rsidRPr="002527EF" w:rsidRDefault="00C47EEE" w:rsidP="00C47EEE">
      <w:pPr>
        <w:spacing w:after="0" w:line="360" w:lineRule="auto"/>
        <w:jc w:val="center"/>
        <w:rPr>
          <w:rFonts w:cs="Arial"/>
          <w:color w:val="000000" w:themeColor="text1"/>
          <w:sz w:val="16"/>
          <w:szCs w:val="16"/>
          <w:shd w:val="clear" w:color="auto" w:fill="FFFFFF"/>
        </w:rPr>
      </w:pPr>
      <w:r w:rsidRPr="002527EF">
        <w:rPr>
          <w:rFonts w:cs="Arial"/>
          <w:color w:val="000000" w:themeColor="text1"/>
          <w:sz w:val="16"/>
          <w:szCs w:val="16"/>
          <w:vertAlign w:val="superscript"/>
        </w:rPr>
        <w:t>5</w:t>
      </w:r>
      <w:r w:rsidRPr="002527EF">
        <w:rPr>
          <w:rFonts w:cs="Arial"/>
          <w:color w:val="000000" w:themeColor="text1"/>
          <w:sz w:val="16"/>
          <w:szCs w:val="16"/>
          <w:shd w:val="clear" w:color="auto" w:fill="FFFFFF"/>
        </w:rPr>
        <w:t xml:space="preserve">Animal Models Core Facility, The Scripps Research Institute, La Jolla, </w:t>
      </w:r>
      <w:r>
        <w:rPr>
          <w:rFonts w:cs="Arial"/>
          <w:color w:val="000000" w:themeColor="text1"/>
          <w:sz w:val="16"/>
          <w:szCs w:val="16"/>
          <w:shd w:val="clear" w:color="auto" w:fill="FFFFFF"/>
        </w:rPr>
        <w:t>CA 92037</w:t>
      </w:r>
      <w:r w:rsidRPr="002527EF">
        <w:rPr>
          <w:rFonts w:cs="Arial"/>
          <w:color w:val="000000" w:themeColor="text1"/>
          <w:sz w:val="16"/>
          <w:szCs w:val="16"/>
          <w:shd w:val="clear" w:color="auto" w:fill="FFFFFF"/>
        </w:rPr>
        <w:t>.</w:t>
      </w:r>
    </w:p>
    <w:p w14:paraId="4B5FF3F7" w14:textId="426C07CB" w:rsidR="00C47EEE" w:rsidRPr="002527EF" w:rsidRDefault="00C47EEE" w:rsidP="00C47EEE">
      <w:pPr>
        <w:spacing w:after="0" w:line="360" w:lineRule="auto"/>
        <w:jc w:val="center"/>
        <w:rPr>
          <w:rFonts w:cs="Arial"/>
          <w:color w:val="000000" w:themeColor="text1"/>
          <w:sz w:val="16"/>
          <w:szCs w:val="16"/>
        </w:rPr>
      </w:pPr>
      <w:r w:rsidRPr="002527EF">
        <w:rPr>
          <w:rFonts w:cs="Arial"/>
          <w:color w:val="000000" w:themeColor="text1"/>
          <w:sz w:val="16"/>
          <w:szCs w:val="16"/>
          <w:vertAlign w:val="superscript"/>
        </w:rPr>
        <w:t>6</w:t>
      </w:r>
      <w:r w:rsidRPr="002527EF">
        <w:rPr>
          <w:rFonts w:cs="Arial"/>
          <w:color w:val="000000" w:themeColor="text1"/>
          <w:sz w:val="16"/>
          <w:szCs w:val="16"/>
          <w:shd w:val="clear" w:color="auto" w:fill="FFFFFF"/>
        </w:rPr>
        <w:t xml:space="preserve">Genetics and Aging Research Unit, </w:t>
      </w:r>
      <w:r w:rsidR="000B422F">
        <w:rPr>
          <w:rFonts w:cs="Arial"/>
          <w:color w:val="000000" w:themeColor="text1"/>
          <w:sz w:val="16"/>
          <w:szCs w:val="16"/>
          <w:shd w:val="clear" w:color="auto" w:fill="FFFFFF"/>
        </w:rPr>
        <w:t xml:space="preserve">McCance Center for Brain Health, </w:t>
      </w:r>
      <w:r w:rsidRPr="002527EF">
        <w:rPr>
          <w:rFonts w:cs="Arial"/>
          <w:color w:val="000000" w:themeColor="text1"/>
          <w:sz w:val="16"/>
          <w:szCs w:val="16"/>
          <w:shd w:val="clear" w:color="auto" w:fill="FFFFFF"/>
        </w:rPr>
        <w:t>Department of Neurology, Massachusetts General Hospital and Harvard Medical School, Charlestown, MA</w:t>
      </w:r>
      <w:r>
        <w:rPr>
          <w:rFonts w:cs="Arial"/>
          <w:color w:val="000000" w:themeColor="text1"/>
          <w:sz w:val="16"/>
          <w:szCs w:val="16"/>
          <w:shd w:val="clear" w:color="auto" w:fill="FFFFFF"/>
        </w:rPr>
        <w:t xml:space="preserve"> 02129</w:t>
      </w:r>
      <w:r w:rsidRPr="002527EF">
        <w:rPr>
          <w:rFonts w:cs="Arial"/>
          <w:color w:val="000000" w:themeColor="text1"/>
          <w:sz w:val="16"/>
          <w:szCs w:val="16"/>
          <w:shd w:val="clear" w:color="auto" w:fill="FFFFFF"/>
        </w:rPr>
        <w:t>. </w:t>
      </w:r>
    </w:p>
    <w:p w14:paraId="336376E1" w14:textId="4573C126" w:rsidR="00C47EEE" w:rsidRDefault="00C47EEE" w:rsidP="00C47EEE">
      <w:pPr>
        <w:spacing w:line="480" w:lineRule="auto"/>
        <w:rPr>
          <w:rFonts w:cs="Arial"/>
          <w:color w:val="000000" w:themeColor="text1"/>
          <w:sz w:val="16"/>
          <w:szCs w:val="16"/>
          <w:shd w:val="clear" w:color="auto" w:fill="FFFFFF"/>
        </w:rPr>
      </w:pPr>
    </w:p>
    <w:p w14:paraId="04C5B6CF" w14:textId="3002DB2C" w:rsidR="000B422F" w:rsidRDefault="000B422F" w:rsidP="00C47EEE">
      <w:pPr>
        <w:spacing w:line="480" w:lineRule="auto"/>
        <w:rPr>
          <w:rFonts w:cs="Arial"/>
          <w:color w:val="000000" w:themeColor="text1"/>
          <w:sz w:val="16"/>
          <w:szCs w:val="16"/>
          <w:shd w:val="clear" w:color="auto" w:fill="FFFFFF"/>
        </w:rPr>
      </w:pPr>
    </w:p>
    <w:p w14:paraId="789EF4C2" w14:textId="77777777" w:rsidR="000B422F" w:rsidRPr="002527EF" w:rsidRDefault="000B422F" w:rsidP="00C47EEE">
      <w:pPr>
        <w:spacing w:line="480" w:lineRule="auto"/>
        <w:rPr>
          <w:rFonts w:cs="Arial"/>
          <w:color w:val="000000" w:themeColor="text1"/>
          <w:sz w:val="18"/>
          <w:szCs w:val="18"/>
        </w:rPr>
      </w:pPr>
    </w:p>
    <w:p w14:paraId="09D4592D" w14:textId="77777777" w:rsidR="00C47EEE" w:rsidRPr="002527EF" w:rsidRDefault="00C47EEE" w:rsidP="00C47EEE">
      <w:pPr>
        <w:spacing w:line="480" w:lineRule="auto"/>
        <w:rPr>
          <w:rFonts w:cs="Arial"/>
          <w:color w:val="000000" w:themeColor="text1"/>
          <w:sz w:val="18"/>
          <w:szCs w:val="18"/>
        </w:rPr>
      </w:pPr>
    </w:p>
    <w:p w14:paraId="326DD91B" w14:textId="77777777" w:rsidR="00C47EEE" w:rsidRDefault="00C47EEE" w:rsidP="00C47EEE">
      <w:pPr>
        <w:spacing w:line="480" w:lineRule="auto"/>
        <w:rPr>
          <w:rStyle w:val="Hyperlink"/>
          <w:rFonts w:cs="Arial"/>
          <w:sz w:val="18"/>
          <w:szCs w:val="18"/>
        </w:rPr>
      </w:pPr>
      <w:r w:rsidRPr="00613057">
        <w:rPr>
          <w:rFonts w:cs="Arial"/>
          <w:sz w:val="18"/>
          <w:szCs w:val="18"/>
        </w:rPr>
        <w:t xml:space="preserve">*Correspondence to: </w:t>
      </w:r>
      <w:hyperlink r:id="rId7" w:history="1">
        <w:r w:rsidRPr="00613057">
          <w:rPr>
            <w:rStyle w:val="Hyperlink"/>
            <w:rFonts w:cs="Arial"/>
            <w:sz w:val="18"/>
            <w:szCs w:val="18"/>
          </w:rPr>
          <w:t>anewton@health.ucsd.edu</w:t>
        </w:r>
      </w:hyperlink>
    </w:p>
    <w:bookmarkEnd w:id="0"/>
    <w:p w14:paraId="60BF8FF2" w14:textId="452799AC" w:rsidR="00D92277" w:rsidRPr="00077746" w:rsidRDefault="00992C82" w:rsidP="00D92277">
      <w:pPr>
        <w:rPr>
          <w:b/>
        </w:rPr>
      </w:pPr>
      <w:r>
        <w:rPr>
          <w:b/>
        </w:rPr>
        <w:t>Supplementary information</w:t>
      </w:r>
      <w:r w:rsidR="00D92277" w:rsidRPr="00077746">
        <w:rPr>
          <w:b/>
        </w:rPr>
        <w:t xml:space="preserve"> includes:</w:t>
      </w:r>
    </w:p>
    <w:p w14:paraId="30021686" w14:textId="77777777" w:rsidR="00D92277" w:rsidRPr="00077746" w:rsidRDefault="00D92277" w:rsidP="00D92277"/>
    <w:p w14:paraId="5B26E3D3" w14:textId="4DCA6F98" w:rsidR="00D92277" w:rsidRPr="00077746" w:rsidRDefault="00D92277" w:rsidP="00D92277">
      <w:pPr>
        <w:ind w:left="720"/>
      </w:pPr>
      <w:r w:rsidRPr="00077746">
        <w:t>Material and Methods</w:t>
      </w:r>
    </w:p>
    <w:p w14:paraId="7DFF0AFD" w14:textId="74B80D88" w:rsidR="00D92277" w:rsidRPr="00077746" w:rsidRDefault="00D92277" w:rsidP="00D92277">
      <w:pPr>
        <w:ind w:left="720"/>
      </w:pPr>
      <w:r w:rsidRPr="00077746">
        <w:t>Fig</w:t>
      </w:r>
      <w:r>
        <w:t>ure</w:t>
      </w:r>
      <w:r w:rsidRPr="00077746">
        <w:t>s S1 to S</w:t>
      </w:r>
      <w:r>
        <w:t>4</w:t>
      </w:r>
    </w:p>
    <w:p w14:paraId="3C5576FC" w14:textId="5F836738" w:rsidR="00D92277" w:rsidRDefault="00D92277" w:rsidP="00D92277">
      <w:pPr>
        <w:ind w:left="720"/>
      </w:pPr>
      <w:r w:rsidRPr="00077746">
        <w:t xml:space="preserve">Captions for </w:t>
      </w:r>
      <w:r w:rsidR="00992C82">
        <w:t>Figures</w:t>
      </w:r>
      <w:r w:rsidRPr="00077746">
        <w:t xml:space="preserve"> S1 to S</w:t>
      </w:r>
      <w:r w:rsidR="00EB2A2A">
        <w:t>4</w:t>
      </w:r>
    </w:p>
    <w:p w14:paraId="0AFE8831" w14:textId="74EB2E16" w:rsidR="00992C82" w:rsidRDefault="00992C82" w:rsidP="00992C82">
      <w:pPr>
        <w:ind w:left="720"/>
      </w:pPr>
      <w:r>
        <w:t>Table dataset S1 – Submitted as a separated file</w:t>
      </w:r>
    </w:p>
    <w:p w14:paraId="2327A12D" w14:textId="3E4C8F68" w:rsidR="00992C82" w:rsidRPr="00971AA9" w:rsidRDefault="00992C82" w:rsidP="00992C82">
      <w:pPr>
        <w:ind w:left="720"/>
        <w:rPr>
          <w:color w:val="000000" w:themeColor="text1"/>
        </w:rPr>
      </w:pPr>
      <w:r>
        <w:t>Table dataset S2 – Submitted as a separated file</w:t>
      </w:r>
    </w:p>
    <w:p w14:paraId="1A266326" w14:textId="1DF53511" w:rsidR="00DD4228" w:rsidRDefault="00DD4228" w:rsidP="00992C82">
      <w:pPr>
        <w:ind w:left="720"/>
      </w:pPr>
      <w:r w:rsidRPr="00971AA9">
        <w:rPr>
          <w:color w:val="000000" w:themeColor="text1"/>
        </w:rPr>
        <w:t xml:space="preserve">The Mass spectrometry proteomics data </w:t>
      </w:r>
      <w:r w:rsidR="00185AA0" w:rsidRPr="00971AA9">
        <w:rPr>
          <w:color w:val="000000" w:themeColor="text1"/>
        </w:rPr>
        <w:t>will be</w:t>
      </w:r>
      <w:r w:rsidRPr="00971AA9">
        <w:rPr>
          <w:color w:val="000000" w:themeColor="text1"/>
        </w:rPr>
        <w:t xml:space="preserve"> deposited to the </w:t>
      </w:r>
      <w:proofErr w:type="spellStart"/>
      <w:r w:rsidRPr="00971AA9">
        <w:rPr>
          <w:color w:val="000000" w:themeColor="text1"/>
        </w:rPr>
        <w:t>ProteomeXchange</w:t>
      </w:r>
      <w:proofErr w:type="spellEnd"/>
      <w:r w:rsidRPr="00971AA9">
        <w:rPr>
          <w:color w:val="000000" w:themeColor="text1"/>
        </w:rPr>
        <w:t xml:space="preserve"> </w:t>
      </w:r>
      <w:r w:rsidRPr="00DD4228">
        <w:t>consortium</w:t>
      </w:r>
      <w:r>
        <w:t>.</w:t>
      </w:r>
    </w:p>
    <w:p w14:paraId="74E81569" w14:textId="77777777" w:rsidR="00992C82" w:rsidRDefault="00992C82" w:rsidP="00992C82">
      <w:pPr>
        <w:ind w:left="720"/>
      </w:pPr>
    </w:p>
    <w:p w14:paraId="54780AD9" w14:textId="77777777" w:rsidR="00992C82" w:rsidRPr="00077746" w:rsidRDefault="00992C82" w:rsidP="00D92277">
      <w:pPr>
        <w:ind w:left="720"/>
      </w:pPr>
    </w:p>
    <w:p w14:paraId="35C26AC1" w14:textId="77777777" w:rsidR="00D92277" w:rsidRPr="00077746" w:rsidRDefault="00D92277" w:rsidP="00D92277"/>
    <w:p w14:paraId="0B90B16F" w14:textId="77777777" w:rsidR="00D92277" w:rsidRPr="00D92277" w:rsidRDefault="00D92277" w:rsidP="00646518">
      <w:pPr>
        <w:spacing w:line="360" w:lineRule="auto"/>
        <w:rPr>
          <w:rFonts w:cs="Arial"/>
          <w:b/>
          <w:bCs/>
          <w:sz w:val="24"/>
          <w:szCs w:val="24"/>
        </w:rPr>
      </w:pPr>
      <w:r w:rsidRPr="00D92277">
        <w:rPr>
          <w:rFonts w:cs="Arial"/>
          <w:b/>
          <w:bCs/>
          <w:sz w:val="24"/>
          <w:szCs w:val="24"/>
        </w:rPr>
        <w:lastRenderedPageBreak/>
        <w:t>CONTACT FOR REAGENT AND RESOURCE SHARING</w:t>
      </w:r>
    </w:p>
    <w:p w14:paraId="48F3B6CE" w14:textId="77777777" w:rsidR="00D92277" w:rsidRPr="00D92277" w:rsidRDefault="00D92277" w:rsidP="00646518">
      <w:pPr>
        <w:spacing w:line="480" w:lineRule="auto"/>
        <w:rPr>
          <w:rFonts w:cs="Arial"/>
          <w:color w:val="000000"/>
          <w:sz w:val="18"/>
          <w:szCs w:val="18"/>
        </w:rPr>
      </w:pPr>
      <w:r w:rsidRPr="00D92277">
        <w:rPr>
          <w:rFonts w:cs="Arial"/>
          <w:color w:val="000000"/>
          <w:sz w:val="18"/>
          <w:szCs w:val="18"/>
        </w:rPr>
        <w:t>Further information and requests for resources and reagents should be directed to and will be fulfilled by the Lead Contact, Alexandra Newton (</w:t>
      </w:r>
      <w:hyperlink r:id="rId8" w:history="1">
        <w:r w:rsidRPr="00D92277">
          <w:rPr>
            <w:rFonts w:cs="Arial"/>
            <w:color w:val="000000"/>
            <w:sz w:val="18"/>
            <w:szCs w:val="18"/>
          </w:rPr>
          <w:t>anewton@ucsd.edu)</w:t>
        </w:r>
      </w:hyperlink>
      <w:r w:rsidRPr="00D92277">
        <w:rPr>
          <w:rFonts w:cs="Arial"/>
          <w:color w:val="000000"/>
          <w:sz w:val="18"/>
          <w:szCs w:val="18"/>
        </w:rPr>
        <w:t>.</w:t>
      </w:r>
    </w:p>
    <w:p w14:paraId="23E02498" w14:textId="6286ADC2" w:rsidR="00C47EEE" w:rsidRDefault="00C47EEE" w:rsidP="00646518">
      <w:pPr>
        <w:spacing w:line="360" w:lineRule="auto"/>
        <w:rPr>
          <w:rFonts w:cs="Arial"/>
          <w:b/>
          <w:bCs/>
          <w:sz w:val="24"/>
          <w:szCs w:val="24"/>
        </w:rPr>
      </w:pPr>
      <w:r>
        <w:rPr>
          <w:rFonts w:cs="Arial"/>
          <w:b/>
          <w:bCs/>
          <w:sz w:val="24"/>
          <w:szCs w:val="24"/>
        </w:rPr>
        <w:t>SUPPLEMENT</w:t>
      </w:r>
      <w:r w:rsidR="00DD7EEF">
        <w:rPr>
          <w:rFonts w:cs="Arial"/>
          <w:b/>
          <w:bCs/>
          <w:sz w:val="24"/>
          <w:szCs w:val="24"/>
        </w:rPr>
        <w:t>ARY</w:t>
      </w:r>
      <w:r>
        <w:rPr>
          <w:rFonts w:cs="Arial"/>
          <w:b/>
          <w:bCs/>
          <w:sz w:val="24"/>
          <w:szCs w:val="24"/>
        </w:rPr>
        <w:t xml:space="preserve"> </w:t>
      </w:r>
      <w:r w:rsidRPr="003B0AAF">
        <w:rPr>
          <w:rFonts w:cs="Arial"/>
          <w:b/>
          <w:bCs/>
          <w:sz w:val="24"/>
          <w:szCs w:val="24"/>
        </w:rPr>
        <w:t>MATERIAL AND METHODS</w:t>
      </w:r>
    </w:p>
    <w:p w14:paraId="0151822B" w14:textId="77777777" w:rsidR="00C47EEE" w:rsidRPr="00971AA9" w:rsidRDefault="00C47EEE" w:rsidP="00646518">
      <w:pPr>
        <w:spacing w:line="480" w:lineRule="auto"/>
        <w:rPr>
          <w:rFonts w:cs="Arial"/>
          <w:b/>
          <w:bCs/>
          <w:color w:val="000000"/>
          <w:sz w:val="20"/>
          <w:szCs w:val="20"/>
          <w:u w:val="single"/>
        </w:rPr>
      </w:pPr>
      <w:r w:rsidRPr="00971AA9">
        <w:rPr>
          <w:rFonts w:cs="Arial"/>
          <w:b/>
          <w:bCs/>
          <w:sz w:val="20"/>
          <w:szCs w:val="20"/>
          <w:u w:val="single"/>
        </w:rPr>
        <w:t>Behavioral tests</w:t>
      </w:r>
    </w:p>
    <w:p w14:paraId="09E1A91B" w14:textId="03E73D2B" w:rsidR="00C47EEE" w:rsidRPr="00971AA9" w:rsidRDefault="00C47EEE" w:rsidP="00646518">
      <w:pPr>
        <w:spacing w:line="480" w:lineRule="auto"/>
        <w:rPr>
          <w:rFonts w:cs="Arial"/>
          <w:b/>
          <w:bCs/>
          <w:color w:val="000000"/>
          <w:sz w:val="20"/>
          <w:szCs w:val="20"/>
          <w:u w:val="single"/>
        </w:rPr>
      </w:pPr>
      <w:bookmarkStart w:id="1" w:name="_Hlk82004210"/>
      <w:r w:rsidRPr="00971AA9">
        <w:rPr>
          <w:rFonts w:cs="Arial"/>
          <w:color w:val="000000"/>
          <w:sz w:val="20"/>
          <w:szCs w:val="20"/>
          <w:u w:val="single"/>
        </w:rPr>
        <w:t>Locomotor activity test.</w:t>
      </w:r>
      <w:r w:rsidRPr="00971AA9">
        <w:rPr>
          <w:rFonts w:cs="Arial"/>
          <w:b/>
          <w:bCs/>
          <w:color w:val="000000"/>
          <w:sz w:val="20"/>
          <w:szCs w:val="20"/>
        </w:rPr>
        <w:t xml:space="preserve"> </w:t>
      </w:r>
      <w:r w:rsidRPr="00971AA9">
        <w:rPr>
          <w:rFonts w:cs="Arial"/>
          <w:color w:val="000000"/>
          <w:sz w:val="20"/>
          <w:szCs w:val="20"/>
        </w:rPr>
        <w:t>Locomotor activity was measured in polycarbonate cages (42 x 22 x 20 cm) placed into frames (25.5 x 47 cm) mounted with two levels of photocell beams at 2 and 7 cm above the bottom of the cage (San Diego Instruments, San Diego, CA). These two sets of beams allowed for the recording of both horizontal (locomotion) and vertical (rearing) behavior. A thin layer of bedding material was applied to the bottom of the cage. Mice were tested for 120 minutes and data were collected in 5-minute intervals</w:t>
      </w:r>
      <w:r w:rsidR="00E36AF5" w:rsidRPr="00971AA9">
        <w:rPr>
          <w:rFonts w:cs="Arial"/>
          <w:color w:val="000000"/>
          <w:sz w:val="20"/>
          <w:szCs w:val="20"/>
        </w:rPr>
        <w:t>.</w:t>
      </w:r>
    </w:p>
    <w:p w14:paraId="312117FF" w14:textId="31948D09" w:rsidR="00C47EEE" w:rsidRPr="00971AA9" w:rsidRDefault="00C47EEE" w:rsidP="00646518">
      <w:pPr>
        <w:spacing w:line="480" w:lineRule="auto"/>
        <w:rPr>
          <w:rFonts w:cs="Arial"/>
          <w:bCs/>
          <w:iCs/>
          <w:spacing w:val="-2"/>
          <w:sz w:val="20"/>
          <w:szCs w:val="20"/>
        </w:rPr>
      </w:pPr>
      <w:bookmarkStart w:id="2" w:name="_Hlk82004252"/>
      <w:bookmarkEnd w:id="1"/>
      <w:r w:rsidRPr="00971AA9">
        <w:rPr>
          <w:rFonts w:cs="Arial"/>
          <w:color w:val="000000"/>
          <w:sz w:val="20"/>
          <w:szCs w:val="20"/>
          <w:u w:val="single"/>
        </w:rPr>
        <w:t>Light/dark test</w:t>
      </w:r>
      <w:r w:rsidRPr="00971AA9">
        <w:rPr>
          <w:rFonts w:cs="Arial"/>
          <w:spacing w:val="-2"/>
          <w:sz w:val="20"/>
          <w:szCs w:val="20"/>
          <w:u w:val="single"/>
        </w:rPr>
        <w:t>.</w:t>
      </w:r>
      <w:r w:rsidRPr="00971AA9">
        <w:rPr>
          <w:rFonts w:cs="Arial"/>
          <w:spacing w:val="-2"/>
          <w:sz w:val="20"/>
          <w:szCs w:val="20"/>
        </w:rPr>
        <w:t xml:space="preserve"> </w:t>
      </w:r>
      <w:r w:rsidRPr="00971AA9">
        <w:rPr>
          <w:rFonts w:cs="Arial"/>
          <w:bCs/>
          <w:iCs/>
          <w:spacing w:val="-2"/>
          <w:sz w:val="20"/>
          <w:szCs w:val="20"/>
        </w:rPr>
        <w:t xml:space="preserve">The light/dark transfer procedure has been used to assess anxiety-like behavior in mice by capitalizing on the conflict between exploration of a novel environment and the avoidance of a brightly lit open field </w:t>
      </w:r>
      <w:r w:rsidRPr="00971AA9">
        <w:rPr>
          <w:rFonts w:cs="Arial"/>
          <w:bCs/>
          <w:iCs/>
          <w:spacing w:val="-2"/>
          <w:sz w:val="20"/>
          <w:szCs w:val="20"/>
        </w:rPr>
        <w:fldChar w:fldCharType="begin"/>
      </w:r>
      <w:r w:rsidR="00E36AF5" w:rsidRPr="00971AA9">
        <w:rPr>
          <w:rFonts w:cs="Arial"/>
          <w:bCs/>
          <w:iCs/>
          <w:spacing w:val="-2"/>
          <w:sz w:val="20"/>
          <w:szCs w:val="20"/>
        </w:rPr>
        <w:instrText xml:space="preserve"> ADDIN EN.CITE &lt;EndNote&gt;&lt;Cite&gt;&lt;Author&gt;Crawley&lt;/Author&gt;&lt;Year&gt;1999&lt;/Year&gt;&lt;RecNum&gt;669&lt;/RecNum&gt;&lt;DisplayText&gt;&lt;style face="superscript"&gt;1&lt;/style&gt;&lt;/DisplayText&gt;&lt;record&gt;&lt;rec-number&gt;669&lt;/rec-number&gt;&lt;foreign-keys&gt;&lt;key app="EN" db-id="95ftadwru2fvrgezwe95zxrovw92eepsvrx9" timestamp="1626482035"&gt;669&lt;/key&gt;&lt;/foreign-keys&gt;&lt;ref-type name="Journal Article"&gt;17&lt;/ref-type&gt;&lt;contributors&gt;&lt;authors&gt;&lt;author&gt;Crawley, J. N.&lt;/author&gt;&lt;/authors&gt;&lt;/contributors&gt;&lt;auth-address&gt;Section on Behavioral Neuropharmacology, Experimental Therapeutics Branch, National Institute of Mental Health, Building 10, Room 4D11, Bethesda, MD 20892-1375, USA. jncrawle@codon.nih.gov&lt;/auth-address&gt;&lt;titles&gt;&lt;title&gt;Behavioral phenotyping of transgenic and knockout mice: experimental design and evaluation of general health, sensory functions, motor abilities, and specific behavioral tests&lt;/title&gt;&lt;secondary-title&gt;Brain Res&lt;/secondary-title&gt;&lt;alt-title&gt;Brain research&lt;/alt-title&gt;&lt;/titles&gt;&lt;periodical&gt;&lt;full-title&gt;Brain Res&lt;/full-title&gt;&lt;abbr-1&gt;Brain research&lt;/abbr-1&gt;&lt;/periodical&gt;&lt;alt-periodical&gt;&lt;full-title&gt;Brain Res&lt;/full-title&gt;&lt;abbr-1&gt;Brain research&lt;/abbr-1&gt;&lt;/alt-periodical&gt;&lt;pages&gt;18-26&lt;/pages&gt;&lt;volume&gt;835&lt;/volume&gt;&lt;number&gt;1&lt;/number&gt;&lt;edition&gt;1999/08/17&lt;/edition&gt;&lt;keywords&gt;&lt;keyword&gt;Animals&lt;/keyword&gt;&lt;keyword&gt;Behavior, Animal/*physiology&lt;/keyword&gt;&lt;keyword&gt;Health&lt;/keyword&gt;&lt;keyword&gt;Humans&lt;/keyword&gt;&lt;keyword&gt;Mice&lt;/keyword&gt;&lt;keyword&gt;Mice, Knockout/genetics/*physiology&lt;/keyword&gt;&lt;keyword&gt;Mice, Transgenic/genetics/*physiology&lt;/keyword&gt;&lt;keyword&gt;Phenotype&lt;/keyword&gt;&lt;keyword&gt;Psychomotor Performance/*physiology&lt;/keyword&gt;&lt;keyword&gt;Research Design&lt;/keyword&gt;&lt;keyword&gt;Sensation/*genetics/*physiology&lt;/keyword&gt;&lt;/keywords&gt;&lt;dates&gt;&lt;year&gt;1999&lt;/year&gt;&lt;pub-dates&gt;&lt;date&gt;Jul 17&lt;/date&gt;&lt;/pub-dates&gt;&lt;/dates&gt;&lt;isbn&gt;0006-8993 (Print)&amp;#xD;0006-8993&lt;/isbn&gt;&lt;accession-num&gt;10448192&lt;/accession-num&gt;&lt;urls&gt;&lt;/urls&gt;&lt;electronic-resource-num&gt;10.1016/s0006-8993(98)01258-x&lt;/electronic-resource-num&gt;&lt;remote-database-provider&gt;NLM&lt;/remote-database-provider&gt;&lt;language&gt;eng&lt;/language&gt;&lt;/record&gt;&lt;/Cite&gt;&lt;/EndNote&gt;</w:instrText>
      </w:r>
      <w:r w:rsidRPr="00971AA9">
        <w:rPr>
          <w:rFonts w:cs="Arial"/>
          <w:bCs/>
          <w:iCs/>
          <w:spacing w:val="-2"/>
          <w:sz w:val="20"/>
          <w:szCs w:val="20"/>
        </w:rPr>
        <w:fldChar w:fldCharType="separate"/>
      </w:r>
      <w:r w:rsidR="00E36AF5" w:rsidRPr="00971AA9">
        <w:rPr>
          <w:rFonts w:cs="Arial"/>
          <w:bCs/>
          <w:iCs/>
          <w:noProof/>
          <w:spacing w:val="-2"/>
          <w:sz w:val="20"/>
          <w:szCs w:val="20"/>
          <w:vertAlign w:val="superscript"/>
        </w:rPr>
        <w:t>1</w:t>
      </w:r>
      <w:r w:rsidRPr="00971AA9">
        <w:rPr>
          <w:rFonts w:cs="Arial"/>
          <w:bCs/>
          <w:iCs/>
          <w:spacing w:val="-2"/>
          <w:sz w:val="20"/>
          <w:szCs w:val="20"/>
        </w:rPr>
        <w:fldChar w:fldCharType="end"/>
      </w:r>
      <w:r w:rsidRPr="00971AA9">
        <w:rPr>
          <w:rFonts w:cs="Arial"/>
          <w:bCs/>
          <w:iCs/>
          <w:spacing w:val="-2"/>
          <w:sz w:val="20"/>
          <w:szCs w:val="20"/>
        </w:rPr>
        <w:t>. The apparatus is a rectangular box made of Plexiglas divided by a partition into two environments. One compartment (14.5x27x26.5 cm) is dark (8-16 lux) and the other compartment (28.5x27x26.5 cm) is highly illuminated (400-600 lux) by a 60 W light source located above it. The compartments are connected by an opening (7.5x7.5 cm) located at floor level in the center of the partition. The time spent in the light compartment is used as a predictor of anxiety-like behavior, i.e., a greater amount of time in the light compartment is indicative of decreased anxiety-like behavior. Mice were placed in the dark compartment to start the 5-minute test.</w:t>
      </w:r>
    </w:p>
    <w:bookmarkEnd w:id="2"/>
    <w:p w14:paraId="5DA26B66" w14:textId="34571962" w:rsidR="00DD4228" w:rsidRPr="00971AA9" w:rsidRDefault="00C47EEE" w:rsidP="00646518">
      <w:pPr>
        <w:spacing w:line="480" w:lineRule="auto"/>
        <w:rPr>
          <w:rFonts w:cs="Arial"/>
          <w:color w:val="000000"/>
          <w:sz w:val="20"/>
          <w:szCs w:val="20"/>
        </w:rPr>
      </w:pPr>
      <w:r w:rsidRPr="00971AA9">
        <w:rPr>
          <w:rFonts w:cs="Arial"/>
          <w:color w:val="000000"/>
          <w:sz w:val="20"/>
          <w:szCs w:val="20"/>
        </w:rPr>
        <w:t>ANOVA was used for the statistical analyses of behavioral results, followed by </w:t>
      </w:r>
      <w:r w:rsidRPr="00971AA9">
        <w:rPr>
          <w:rStyle w:val="Emphasis"/>
          <w:rFonts w:cs="Arial"/>
          <w:color w:val="000000"/>
          <w:sz w:val="20"/>
          <w:szCs w:val="20"/>
        </w:rPr>
        <w:t>post hoc</w:t>
      </w:r>
      <w:r w:rsidRPr="00971AA9">
        <w:rPr>
          <w:rFonts w:cs="Arial"/>
          <w:color w:val="000000"/>
          <w:sz w:val="20"/>
          <w:szCs w:val="20"/>
        </w:rPr>
        <w:t> Student's </w:t>
      </w:r>
      <w:r w:rsidRPr="00971AA9">
        <w:rPr>
          <w:rStyle w:val="Emphasis"/>
          <w:rFonts w:cs="Arial"/>
          <w:color w:val="000000"/>
          <w:sz w:val="20"/>
          <w:szCs w:val="20"/>
        </w:rPr>
        <w:t>t</w:t>
      </w:r>
      <w:r w:rsidRPr="00971AA9">
        <w:rPr>
          <w:rFonts w:cs="Arial"/>
          <w:color w:val="000000"/>
          <w:sz w:val="20"/>
          <w:szCs w:val="20"/>
        </w:rPr>
        <w:t>-tests as appropriate (*</w:t>
      </w:r>
      <w:r w:rsidRPr="00971AA9">
        <w:rPr>
          <w:rStyle w:val="Emphasis"/>
          <w:rFonts w:cs="Arial"/>
          <w:i w:val="0"/>
          <w:iCs w:val="0"/>
          <w:color w:val="000000"/>
          <w:sz w:val="20"/>
          <w:szCs w:val="20"/>
        </w:rPr>
        <w:t>p</w:t>
      </w:r>
      <w:r w:rsidRPr="00971AA9">
        <w:rPr>
          <w:rFonts w:cs="Arial"/>
          <w:i/>
          <w:iCs/>
          <w:color w:val="000000"/>
          <w:sz w:val="20"/>
          <w:szCs w:val="20"/>
        </w:rPr>
        <w:t> </w:t>
      </w:r>
      <w:r w:rsidRPr="00971AA9">
        <w:rPr>
          <w:rFonts w:cs="Arial"/>
          <w:color w:val="000000"/>
          <w:sz w:val="20"/>
          <w:szCs w:val="20"/>
        </w:rPr>
        <w:t xml:space="preserve">&lt; 0.05, </w:t>
      </w:r>
      <w:r w:rsidRPr="00971AA9">
        <w:rPr>
          <w:rFonts w:cs="Arial"/>
          <w:i/>
          <w:iCs/>
          <w:color w:val="000000"/>
          <w:sz w:val="20"/>
          <w:szCs w:val="20"/>
        </w:rPr>
        <w:t>**</w:t>
      </w:r>
      <w:r w:rsidRPr="00971AA9">
        <w:rPr>
          <w:rStyle w:val="Emphasis"/>
          <w:rFonts w:cs="Arial"/>
          <w:i w:val="0"/>
          <w:iCs w:val="0"/>
          <w:color w:val="000000"/>
          <w:sz w:val="20"/>
          <w:szCs w:val="20"/>
        </w:rPr>
        <w:t>p</w:t>
      </w:r>
      <w:r w:rsidRPr="00971AA9">
        <w:rPr>
          <w:rFonts w:cs="Arial"/>
          <w:color w:val="000000"/>
          <w:sz w:val="20"/>
          <w:szCs w:val="20"/>
        </w:rPr>
        <w:t xml:space="preserve"> &lt; 0.01, </w:t>
      </w:r>
      <w:r w:rsidRPr="00971AA9">
        <w:rPr>
          <w:rFonts w:cs="Arial"/>
          <w:i/>
          <w:iCs/>
          <w:color w:val="000000"/>
          <w:sz w:val="20"/>
          <w:szCs w:val="20"/>
        </w:rPr>
        <w:t>***</w:t>
      </w:r>
      <w:r w:rsidRPr="00971AA9">
        <w:rPr>
          <w:rStyle w:val="Emphasis"/>
          <w:rFonts w:cs="Arial"/>
          <w:i w:val="0"/>
          <w:iCs w:val="0"/>
          <w:color w:val="000000"/>
          <w:sz w:val="20"/>
          <w:szCs w:val="20"/>
        </w:rPr>
        <w:t>p</w:t>
      </w:r>
      <w:r w:rsidRPr="00971AA9">
        <w:rPr>
          <w:rFonts w:cs="Arial"/>
          <w:color w:val="000000"/>
          <w:sz w:val="20"/>
          <w:szCs w:val="20"/>
        </w:rPr>
        <w:t> &lt; 0.001).</w:t>
      </w:r>
    </w:p>
    <w:p w14:paraId="0C7585DE" w14:textId="77777777" w:rsidR="00DD4228" w:rsidRDefault="00DD4228">
      <w:pPr>
        <w:rPr>
          <w:rFonts w:cs="Arial"/>
          <w:color w:val="000000"/>
          <w:sz w:val="18"/>
          <w:szCs w:val="18"/>
        </w:rPr>
      </w:pPr>
      <w:r>
        <w:rPr>
          <w:rFonts w:cs="Arial"/>
          <w:color w:val="000000"/>
          <w:sz w:val="18"/>
          <w:szCs w:val="18"/>
        </w:rPr>
        <w:br w:type="page"/>
      </w:r>
    </w:p>
    <w:p w14:paraId="69FC3EAE" w14:textId="3D6E3BA9" w:rsidR="00C47EEE" w:rsidRDefault="00C47EEE" w:rsidP="00B00D42">
      <w:pPr>
        <w:spacing w:before="160" w:line="480" w:lineRule="auto"/>
        <w:jc w:val="both"/>
        <w:rPr>
          <w:rFonts w:cs="Arial"/>
          <w:b/>
          <w:bCs/>
          <w:sz w:val="24"/>
          <w:szCs w:val="24"/>
        </w:rPr>
      </w:pPr>
      <w:r>
        <w:rPr>
          <w:rFonts w:cs="Arial"/>
          <w:b/>
          <w:bCs/>
          <w:sz w:val="24"/>
          <w:szCs w:val="24"/>
        </w:rPr>
        <w:lastRenderedPageBreak/>
        <w:t>SUPPLEMENTARY FIGURE</w:t>
      </w:r>
      <w:r w:rsidR="00DD7EEF">
        <w:rPr>
          <w:rFonts w:cs="Arial"/>
          <w:b/>
          <w:bCs/>
          <w:sz w:val="24"/>
          <w:szCs w:val="24"/>
        </w:rPr>
        <w:t>S</w:t>
      </w:r>
    </w:p>
    <w:p w14:paraId="15B7942D" w14:textId="05EB57B4" w:rsidR="00D67F36" w:rsidRDefault="00D67F36" w:rsidP="00B00D42">
      <w:pPr>
        <w:spacing w:before="160" w:line="480" w:lineRule="auto"/>
        <w:jc w:val="both"/>
        <w:rPr>
          <w:rFonts w:cs="Arial"/>
          <w:b/>
          <w:bCs/>
          <w:sz w:val="24"/>
          <w:szCs w:val="24"/>
        </w:rPr>
      </w:pPr>
    </w:p>
    <w:p w14:paraId="309045FF" w14:textId="29DA048E" w:rsidR="00D67F36" w:rsidRDefault="00D67F36" w:rsidP="00B00D42">
      <w:pPr>
        <w:spacing w:before="160" w:line="480" w:lineRule="auto"/>
        <w:jc w:val="both"/>
        <w:rPr>
          <w:rFonts w:cs="Arial"/>
          <w:b/>
          <w:bCs/>
          <w:sz w:val="24"/>
          <w:szCs w:val="24"/>
        </w:rPr>
      </w:pPr>
    </w:p>
    <w:p w14:paraId="2BED88EA" w14:textId="52AA3DDE" w:rsidR="00D67F36" w:rsidRDefault="00D67F36" w:rsidP="00B00D42">
      <w:pPr>
        <w:spacing w:before="160" w:line="480" w:lineRule="auto"/>
        <w:jc w:val="both"/>
        <w:rPr>
          <w:rFonts w:cs="Arial"/>
          <w:b/>
          <w:bCs/>
          <w:sz w:val="24"/>
          <w:szCs w:val="24"/>
        </w:rPr>
      </w:pPr>
    </w:p>
    <w:p w14:paraId="681444B7" w14:textId="6C9CFCDD" w:rsidR="00D67F36" w:rsidRDefault="00D67F36" w:rsidP="00B00D42">
      <w:pPr>
        <w:spacing w:before="160" w:line="480" w:lineRule="auto"/>
        <w:jc w:val="both"/>
        <w:rPr>
          <w:rFonts w:cs="Arial"/>
          <w:b/>
          <w:bCs/>
          <w:sz w:val="24"/>
          <w:szCs w:val="24"/>
        </w:rPr>
      </w:pPr>
    </w:p>
    <w:p w14:paraId="5D9DA910" w14:textId="046BB18B" w:rsidR="00D67F36" w:rsidRDefault="00D67F36" w:rsidP="00B00D42">
      <w:pPr>
        <w:spacing w:before="160" w:line="480" w:lineRule="auto"/>
        <w:jc w:val="both"/>
        <w:rPr>
          <w:rFonts w:cs="Arial"/>
          <w:b/>
          <w:bCs/>
          <w:sz w:val="24"/>
          <w:szCs w:val="24"/>
        </w:rPr>
      </w:pPr>
    </w:p>
    <w:p w14:paraId="3286D619" w14:textId="77777777" w:rsidR="00D67F36" w:rsidRDefault="00D67F36" w:rsidP="00B00D42">
      <w:pPr>
        <w:spacing w:before="160" w:line="480" w:lineRule="auto"/>
        <w:jc w:val="both"/>
        <w:rPr>
          <w:rFonts w:cs="Arial"/>
          <w:b/>
          <w:bCs/>
          <w:sz w:val="24"/>
          <w:szCs w:val="24"/>
        </w:rPr>
      </w:pPr>
    </w:p>
    <w:p w14:paraId="226AB792" w14:textId="4C86D15B" w:rsidR="00B00D42" w:rsidRPr="00B00D42" w:rsidRDefault="00EB2A2A" w:rsidP="00EB2A2A">
      <w:pPr>
        <w:spacing w:before="160" w:line="480" w:lineRule="auto"/>
        <w:jc w:val="center"/>
        <w:rPr>
          <w:rFonts w:cs="Arial"/>
          <w:color w:val="000000" w:themeColor="text1"/>
        </w:rPr>
      </w:pPr>
      <w:r>
        <w:rPr>
          <w:noProof/>
        </w:rPr>
        <w:lastRenderedPageBreak/>
        <w:drawing>
          <wp:inline distT="0" distB="0" distL="0" distR="0" wp14:anchorId="7CD24550" wp14:editId="47B29F62">
            <wp:extent cx="5548750" cy="66421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4954"/>
                    <a:stretch/>
                  </pic:blipFill>
                  <pic:spPr bwMode="auto">
                    <a:xfrm>
                      <a:off x="0" y="0"/>
                      <a:ext cx="5550613" cy="6644330"/>
                    </a:xfrm>
                    <a:prstGeom prst="rect">
                      <a:avLst/>
                    </a:prstGeom>
                    <a:noFill/>
                    <a:ln>
                      <a:noFill/>
                    </a:ln>
                    <a:extLst>
                      <a:ext uri="{53640926-AAD7-44D8-BBD7-CCE9431645EC}">
                        <a14:shadowObscured xmlns:a14="http://schemas.microsoft.com/office/drawing/2010/main"/>
                      </a:ext>
                    </a:extLst>
                  </pic:spPr>
                </pic:pic>
              </a:graphicData>
            </a:graphic>
          </wp:inline>
        </w:drawing>
      </w:r>
    </w:p>
    <w:p w14:paraId="584F831D" w14:textId="1443C12A" w:rsidR="00971AA9" w:rsidRPr="002726F6" w:rsidRDefault="00C47EEE" w:rsidP="00C47EEE">
      <w:pPr>
        <w:spacing w:line="240" w:lineRule="auto"/>
        <w:jc w:val="both"/>
        <w:rPr>
          <w:rFonts w:cs="Arial"/>
          <w:sz w:val="18"/>
          <w:szCs w:val="18"/>
        </w:rPr>
      </w:pPr>
      <w:r w:rsidRPr="002726F6">
        <w:rPr>
          <w:rFonts w:cs="Arial"/>
          <w:b/>
          <w:bCs/>
          <w:sz w:val="18"/>
          <w:szCs w:val="18"/>
        </w:rPr>
        <w:t xml:space="preserve">Supplementary Figure 1 (Supp to Fig 1): Phosphoproteomics analysis in brains from WT mice and mice harboring the </w:t>
      </w:r>
      <w:r w:rsidRPr="002726F6">
        <w:rPr>
          <w:rFonts w:cs="Arial"/>
          <w:b/>
          <w:bCs/>
          <w:color w:val="000000" w:themeColor="text1"/>
          <w:sz w:val="18"/>
          <w:szCs w:val="18"/>
        </w:rPr>
        <w:t>PKCα</w:t>
      </w:r>
      <w:r w:rsidRPr="002726F6">
        <w:rPr>
          <w:rFonts w:eastAsia="Calibri" w:cs="Arial"/>
          <w:b/>
          <w:bCs/>
          <w:color w:val="000000" w:themeColor="text1"/>
          <w:kern w:val="24"/>
          <w:sz w:val="18"/>
          <w:szCs w:val="18"/>
        </w:rPr>
        <w:t xml:space="preserve"> </w:t>
      </w:r>
      <w:r w:rsidRPr="002726F6">
        <w:rPr>
          <w:rFonts w:cs="Arial"/>
          <w:b/>
          <w:bCs/>
          <w:sz w:val="18"/>
          <w:szCs w:val="18"/>
        </w:rPr>
        <w:t>M489V mutation on C57</w:t>
      </w:r>
      <w:r>
        <w:rPr>
          <w:rFonts w:cs="Arial"/>
          <w:b/>
          <w:bCs/>
          <w:sz w:val="18"/>
          <w:szCs w:val="18"/>
        </w:rPr>
        <w:t>BL/6</w:t>
      </w:r>
      <w:r w:rsidRPr="002726F6">
        <w:rPr>
          <w:rFonts w:cs="Arial"/>
          <w:b/>
          <w:bCs/>
          <w:sz w:val="18"/>
          <w:szCs w:val="18"/>
        </w:rPr>
        <w:t xml:space="preserve"> background. </w:t>
      </w:r>
      <w:r w:rsidRPr="002726F6">
        <w:rPr>
          <w:sz w:val="18"/>
          <w:szCs w:val="18"/>
        </w:rPr>
        <w:t xml:space="preserve">A. Co-efficient of variance plots for phosphoproteomics dataset 2 results. B. </w:t>
      </w:r>
      <w:r w:rsidRPr="002726F6">
        <w:rPr>
          <w:rFonts w:cs="Arial"/>
          <w:sz w:val="18"/>
          <w:szCs w:val="18"/>
        </w:rPr>
        <w:t xml:space="preserve">Pie charts of </w:t>
      </w:r>
      <w:proofErr w:type="spellStart"/>
      <w:r w:rsidRPr="002726F6">
        <w:rPr>
          <w:rFonts w:cs="Arial"/>
          <w:sz w:val="18"/>
          <w:szCs w:val="18"/>
        </w:rPr>
        <w:t>phosphosite</w:t>
      </w:r>
      <w:proofErr w:type="spellEnd"/>
      <w:r w:rsidRPr="002726F6">
        <w:rPr>
          <w:rFonts w:cs="Arial"/>
          <w:sz w:val="18"/>
          <w:szCs w:val="18"/>
        </w:rPr>
        <w:t xml:space="preserve"> distribution for the experiment in Figure 1. A total of 15,303 </w:t>
      </w:r>
      <w:proofErr w:type="spellStart"/>
      <w:r w:rsidRPr="002726F6">
        <w:rPr>
          <w:rFonts w:cs="Arial"/>
          <w:sz w:val="18"/>
          <w:szCs w:val="18"/>
        </w:rPr>
        <w:t>phosphosites</w:t>
      </w:r>
      <w:proofErr w:type="spellEnd"/>
      <w:r w:rsidRPr="002726F6">
        <w:rPr>
          <w:rFonts w:cs="Arial"/>
          <w:sz w:val="18"/>
          <w:szCs w:val="18"/>
        </w:rPr>
        <w:t xml:space="preserve"> were detected. C. Pie charts of </w:t>
      </w:r>
      <w:proofErr w:type="spellStart"/>
      <w:r w:rsidRPr="002726F6">
        <w:rPr>
          <w:rFonts w:cs="Arial"/>
          <w:sz w:val="18"/>
          <w:szCs w:val="18"/>
        </w:rPr>
        <w:t>phosphopeptide</w:t>
      </w:r>
      <w:proofErr w:type="spellEnd"/>
      <w:r w:rsidRPr="002726F6">
        <w:rPr>
          <w:rFonts w:cs="Arial"/>
          <w:sz w:val="18"/>
          <w:szCs w:val="18"/>
        </w:rPr>
        <w:t xml:space="preserve"> multiplicity for the experiment in Figure 1. A total of 10,208 peptides were quantified. D. Heatmap showing the distribution of significantly different peptides in the brains from different mice cohorts, highlighting the cluster 2 that contains peptides whose phosphorylation was decreased in a gene-dose dependent manner (WT</w:t>
      </w:r>
      <w:r>
        <w:rPr>
          <w:rFonts w:cs="Arial"/>
          <w:sz w:val="18"/>
          <w:szCs w:val="18"/>
        </w:rPr>
        <w:t>/WT</w:t>
      </w:r>
      <w:r w:rsidRPr="002726F6">
        <w:rPr>
          <w:rFonts w:cs="Arial"/>
          <w:sz w:val="18"/>
          <w:szCs w:val="18"/>
        </w:rPr>
        <w:t>&gt;WT/M489V&gt;M489V/M489V), and cluster 3 that includes the peptides whose phosphorylation was increased in a gene-dose dependent manner (WT</w:t>
      </w:r>
      <w:r>
        <w:rPr>
          <w:rFonts w:cs="Arial"/>
          <w:sz w:val="18"/>
          <w:szCs w:val="18"/>
        </w:rPr>
        <w:t>/WT</w:t>
      </w:r>
      <w:r w:rsidRPr="002726F6">
        <w:rPr>
          <w:rFonts w:cs="Arial"/>
          <w:sz w:val="18"/>
          <w:szCs w:val="18"/>
        </w:rPr>
        <w:t xml:space="preserve">&lt;WT/M489V&lt;M489V/M489V. Heatmap indicates whether the phosphorylation of a specific peptide is lower (blue) or higher (red). </w:t>
      </w:r>
    </w:p>
    <w:p w14:paraId="705D4D76" w14:textId="508BCD8B" w:rsidR="00C47EEE" w:rsidRPr="002726F6" w:rsidRDefault="00EB2A2A" w:rsidP="00EB2A2A">
      <w:pPr>
        <w:spacing w:line="240" w:lineRule="auto"/>
        <w:jc w:val="center"/>
        <w:rPr>
          <w:rFonts w:cs="Arial"/>
          <w:sz w:val="18"/>
          <w:szCs w:val="18"/>
        </w:rPr>
      </w:pPr>
      <w:r>
        <w:rPr>
          <w:noProof/>
        </w:rPr>
        <w:lastRenderedPageBreak/>
        <w:drawing>
          <wp:inline distT="0" distB="0" distL="0" distR="0" wp14:anchorId="65B9A333" wp14:editId="2ABBE7F5">
            <wp:extent cx="5943600" cy="27647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3936"/>
                    <a:stretch/>
                  </pic:blipFill>
                  <pic:spPr bwMode="auto">
                    <a:xfrm>
                      <a:off x="0" y="0"/>
                      <a:ext cx="5943600" cy="2764790"/>
                    </a:xfrm>
                    <a:prstGeom prst="rect">
                      <a:avLst/>
                    </a:prstGeom>
                    <a:noFill/>
                    <a:ln>
                      <a:noFill/>
                    </a:ln>
                    <a:extLst>
                      <a:ext uri="{53640926-AAD7-44D8-BBD7-CCE9431645EC}">
                        <a14:shadowObscured xmlns:a14="http://schemas.microsoft.com/office/drawing/2010/main"/>
                      </a:ext>
                    </a:extLst>
                  </pic:spPr>
                </pic:pic>
              </a:graphicData>
            </a:graphic>
          </wp:inline>
        </w:drawing>
      </w:r>
    </w:p>
    <w:p w14:paraId="46718B39" w14:textId="4AA06878" w:rsidR="00C47EEE" w:rsidRDefault="00C47EEE" w:rsidP="00C47EEE">
      <w:pPr>
        <w:jc w:val="both"/>
        <w:rPr>
          <w:rFonts w:cs="Arial"/>
          <w:noProof/>
          <w:sz w:val="18"/>
          <w:szCs w:val="18"/>
        </w:rPr>
      </w:pPr>
      <w:r w:rsidRPr="002726F6">
        <w:rPr>
          <w:rFonts w:cs="Arial"/>
          <w:b/>
          <w:bCs/>
          <w:sz w:val="18"/>
          <w:szCs w:val="18"/>
        </w:rPr>
        <w:t xml:space="preserve">Supplementary Figure 2 (Supp to Fig 3): </w:t>
      </w:r>
      <w:r>
        <w:rPr>
          <w:rFonts w:cs="Arial"/>
          <w:b/>
          <w:bCs/>
          <w:sz w:val="18"/>
          <w:szCs w:val="18"/>
        </w:rPr>
        <w:t xml:space="preserve">Additional behavioral tests on WT and M489V </w:t>
      </w:r>
      <w:r w:rsidRPr="002726F6">
        <w:rPr>
          <w:rFonts w:cs="Arial"/>
          <w:b/>
          <w:bCs/>
          <w:sz w:val="18"/>
          <w:szCs w:val="18"/>
        </w:rPr>
        <w:t>C57</w:t>
      </w:r>
      <w:r>
        <w:rPr>
          <w:rFonts w:cs="Arial"/>
          <w:b/>
          <w:bCs/>
          <w:sz w:val="18"/>
          <w:szCs w:val="18"/>
        </w:rPr>
        <w:t>BL/6 mice</w:t>
      </w:r>
      <w:r w:rsidRPr="00234AE5">
        <w:rPr>
          <w:rFonts w:cs="Arial"/>
          <w:sz w:val="18"/>
          <w:szCs w:val="18"/>
        </w:rPr>
        <w:t xml:space="preserve">. </w:t>
      </w:r>
      <w:r w:rsidRPr="00234AE5">
        <w:rPr>
          <w:rFonts w:cs="Arial"/>
          <w:noProof/>
          <w:sz w:val="18"/>
          <w:szCs w:val="18"/>
        </w:rPr>
        <w:t>A. Distance traveled in the Barnes maze probe test (BM), B. ambulation in the locomotor test (LM), and C. time in light in the light/dark test (LTD) in PKCα WT and M489V mice at 3, 6 and 12 months mice.</w:t>
      </w:r>
      <w:r w:rsidRPr="002726F6">
        <w:rPr>
          <w:rFonts w:cs="Arial"/>
          <w:b/>
          <w:bCs/>
          <w:noProof/>
          <w:sz w:val="18"/>
          <w:szCs w:val="18"/>
        </w:rPr>
        <w:t xml:space="preserve"> </w:t>
      </w:r>
      <w:r w:rsidRPr="002726F6">
        <w:rPr>
          <w:rFonts w:cs="Arial"/>
          <w:noProof/>
          <w:sz w:val="18"/>
          <w:szCs w:val="18"/>
        </w:rPr>
        <w:t xml:space="preserve">Same mice cohorts used in Figure 1 were subjected to these behavioral tests. </w:t>
      </w:r>
      <w:r w:rsidRPr="002726F6">
        <w:rPr>
          <w:rFonts w:cs="Arial"/>
          <w:noProof/>
          <w:color w:val="000000" w:themeColor="text1"/>
          <w:sz w:val="18"/>
          <w:szCs w:val="18"/>
        </w:rPr>
        <w:t xml:space="preserve">ANOVA was used for statistical </w:t>
      </w:r>
      <w:r w:rsidRPr="002726F6">
        <w:rPr>
          <w:rFonts w:cs="Arial"/>
          <w:noProof/>
          <w:sz w:val="18"/>
          <w:szCs w:val="18"/>
        </w:rPr>
        <w:t xml:space="preserve">analysis and no statistical differences were found. No sex effect was </w:t>
      </w:r>
      <w:r>
        <w:rPr>
          <w:rFonts w:cs="Arial"/>
          <w:noProof/>
          <w:sz w:val="18"/>
          <w:szCs w:val="18"/>
        </w:rPr>
        <w:t>observed.</w:t>
      </w:r>
    </w:p>
    <w:p w14:paraId="06D4AE85" w14:textId="320A3811" w:rsidR="00D67F36" w:rsidRPr="002726F6" w:rsidRDefault="00EB2A2A" w:rsidP="00EB2A2A">
      <w:pPr>
        <w:jc w:val="center"/>
        <w:rPr>
          <w:rFonts w:cs="Arial"/>
          <w:noProof/>
          <w:sz w:val="18"/>
          <w:szCs w:val="18"/>
        </w:rPr>
      </w:pPr>
      <w:r>
        <w:rPr>
          <w:noProof/>
        </w:rPr>
        <w:lastRenderedPageBreak/>
        <w:drawing>
          <wp:inline distT="0" distB="0" distL="0" distR="0" wp14:anchorId="483503EC" wp14:editId="34E7BC64">
            <wp:extent cx="5532204" cy="67373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920"/>
                    <a:stretch/>
                  </pic:blipFill>
                  <pic:spPr bwMode="auto">
                    <a:xfrm>
                      <a:off x="0" y="0"/>
                      <a:ext cx="5541653" cy="6748858"/>
                    </a:xfrm>
                    <a:prstGeom prst="rect">
                      <a:avLst/>
                    </a:prstGeom>
                    <a:noFill/>
                    <a:ln>
                      <a:noFill/>
                    </a:ln>
                    <a:extLst>
                      <a:ext uri="{53640926-AAD7-44D8-BBD7-CCE9431645EC}">
                        <a14:shadowObscured xmlns:a14="http://schemas.microsoft.com/office/drawing/2010/main"/>
                      </a:ext>
                    </a:extLst>
                  </pic:spPr>
                </pic:pic>
              </a:graphicData>
            </a:graphic>
          </wp:inline>
        </w:drawing>
      </w:r>
    </w:p>
    <w:p w14:paraId="75B54CD7" w14:textId="77777777" w:rsidR="00C47EEE" w:rsidRPr="002726F6" w:rsidRDefault="00C47EEE" w:rsidP="00C47EEE">
      <w:pPr>
        <w:jc w:val="both"/>
        <w:rPr>
          <w:sz w:val="18"/>
          <w:szCs w:val="18"/>
        </w:rPr>
      </w:pPr>
      <w:r w:rsidRPr="002726F6">
        <w:rPr>
          <w:b/>
          <w:bCs/>
          <w:sz w:val="18"/>
          <w:szCs w:val="18"/>
        </w:rPr>
        <w:t xml:space="preserve">Supplementary Figure 3 </w:t>
      </w:r>
      <w:r w:rsidRPr="002726F6">
        <w:rPr>
          <w:rFonts w:cs="Arial"/>
          <w:b/>
          <w:bCs/>
          <w:sz w:val="18"/>
          <w:szCs w:val="18"/>
        </w:rPr>
        <w:t>(Supp to Fig 4)</w:t>
      </w:r>
      <w:r w:rsidRPr="002726F6">
        <w:rPr>
          <w:b/>
          <w:bCs/>
          <w:sz w:val="18"/>
          <w:szCs w:val="18"/>
        </w:rPr>
        <w:t>: Phosphoproteomics analysis in brains from</w:t>
      </w:r>
      <w:r w:rsidRPr="002726F6">
        <w:rPr>
          <w:rFonts w:cs="Arial"/>
          <w:b/>
          <w:bCs/>
          <w:color w:val="000000" w:themeColor="text1"/>
          <w:sz w:val="18"/>
          <w:szCs w:val="18"/>
        </w:rPr>
        <w:t xml:space="preserve"> PKCα</w:t>
      </w:r>
      <w:r w:rsidRPr="002726F6">
        <w:rPr>
          <w:b/>
          <w:bCs/>
          <w:sz w:val="18"/>
          <w:szCs w:val="18"/>
        </w:rPr>
        <w:t xml:space="preserve"> WT and M489V mice in the presence or absence of the APP transgene. </w:t>
      </w:r>
      <w:r w:rsidRPr="002726F6">
        <w:rPr>
          <w:sz w:val="18"/>
          <w:szCs w:val="18"/>
        </w:rPr>
        <w:t xml:space="preserve">A. Co-efficient of variance plots for phosphoproteomics dataset 2 results. B. Pie charts of </w:t>
      </w:r>
      <w:proofErr w:type="spellStart"/>
      <w:r w:rsidRPr="002726F6">
        <w:rPr>
          <w:sz w:val="18"/>
          <w:szCs w:val="18"/>
        </w:rPr>
        <w:t>phosphosite</w:t>
      </w:r>
      <w:proofErr w:type="spellEnd"/>
      <w:r w:rsidRPr="002726F6">
        <w:rPr>
          <w:sz w:val="18"/>
          <w:szCs w:val="18"/>
        </w:rPr>
        <w:t xml:space="preserve"> distribution for the experiment in Figure 5. A total of 50,016 </w:t>
      </w:r>
      <w:proofErr w:type="spellStart"/>
      <w:r w:rsidRPr="002726F6">
        <w:rPr>
          <w:sz w:val="18"/>
          <w:szCs w:val="18"/>
        </w:rPr>
        <w:t>phosphosites</w:t>
      </w:r>
      <w:proofErr w:type="spellEnd"/>
      <w:r w:rsidRPr="002726F6">
        <w:rPr>
          <w:sz w:val="18"/>
          <w:szCs w:val="18"/>
        </w:rPr>
        <w:t xml:space="preserve"> were detected. C. Pie charts of </w:t>
      </w:r>
      <w:proofErr w:type="spellStart"/>
      <w:r w:rsidRPr="002726F6">
        <w:rPr>
          <w:sz w:val="18"/>
          <w:szCs w:val="18"/>
        </w:rPr>
        <w:t>phosphopeptide</w:t>
      </w:r>
      <w:proofErr w:type="spellEnd"/>
      <w:r w:rsidRPr="002726F6">
        <w:rPr>
          <w:sz w:val="18"/>
          <w:szCs w:val="18"/>
        </w:rPr>
        <w:t xml:space="preserve"> multiplicity for the experiment in Figure 5. A total of 28,084 peptides were quantified. D. Heatmap showing the distribution of significantly different peptides in the brains from WT/WT and M489V/M489V mice in the presence of the APP transgene at 4.5 and 6 months, highlighting cluster 9 that contains peptides whose phosphorylation was increased in the M489V/M489V 6 months old mice that carries the APP transgene. Heatmap indicates whether the phosphorylation of a specific peptide is lower (blue) or higher (red). </w:t>
      </w:r>
    </w:p>
    <w:p w14:paraId="4751C9AB" w14:textId="64B55710" w:rsidR="00C47EEE" w:rsidRPr="002726F6" w:rsidRDefault="00EB2A2A" w:rsidP="00EB2A2A">
      <w:pPr>
        <w:jc w:val="center"/>
        <w:rPr>
          <w:sz w:val="18"/>
          <w:szCs w:val="18"/>
        </w:rPr>
      </w:pPr>
      <w:r>
        <w:rPr>
          <w:noProof/>
        </w:rPr>
        <w:lastRenderedPageBreak/>
        <w:drawing>
          <wp:inline distT="0" distB="0" distL="0" distR="0" wp14:anchorId="169050F8" wp14:editId="43AFD273">
            <wp:extent cx="5943600" cy="4451350"/>
            <wp:effectExtent l="0" t="0" r="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1040"/>
                    <a:stretch/>
                  </pic:blipFill>
                  <pic:spPr bwMode="auto">
                    <a:xfrm>
                      <a:off x="0" y="0"/>
                      <a:ext cx="5943600" cy="4451350"/>
                    </a:xfrm>
                    <a:prstGeom prst="rect">
                      <a:avLst/>
                    </a:prstGeom>
                    <a:noFill/>
                    <a:ln>
                      <a:noFill/>
                    </a:ln>
                    <a:extLst>
                      <a:ext uri="{53640926-AAD7-44D8-BBD7-CCE9431645EC}">
                        <a14:shadowObscured xmlns:a14="http://schemas.microsoft.com/office/drawing/2010/main"/>
                      </a:ext>
                    </a:extLst>
                  </pic:spPr>
                </pic:pic>
              </a:graphicData>
            </a:graphic>
          </wp:inline>
        </w:drawing>
      </w:r>
    </w:p>
    <w:p w14:paraId="27B27ED0" w14:textId="77777777" w:rsidR="00C47EEE" w:rsidRPr="00234AE5" w:rsidRDefault="00C47EEE" w:rsidP="00C47EEE">
      <w:pPr>
        <w:jc w:val="both"/>
        <w:rPr>
          <w:rFonts w:cs="Arial"/>
          <w:noProof/>
          <w:sz w:val="18"/>
          <w:szCs w:val="18"/>
        </w:rPr>
      </w:pPr>
      <w:r w:rsidRPr="002726F6">
        <w:rPr>
          <w:b/>
          <w:bCs/>
          <w:sz w:val="18"/>
          <w:szCs w:val="18"/>
        </w:rPr>
        <w:t xml:space="preserve">Supplementary Figure 4 </w:t>
      </w:r>
      <w:r w:rsidRPr="002726F6">
        <w:rPr>
          <w:rFonts w:cs="Arial"/>
          <w:b/>
          <w:bCs/>
          <w:sz w:val="18"/>
          <w:szCs w:val="18"/>
        </w:rPr>
        <w:t>(Supp to Fig 5)</w:t>
      </w:r>
      <w:r w:rsidRPr="002726F6">
        <w:rPr>
          <w:b/>
          <w:bCs/>
          <w:sz w:val="18"/>
          <w:szCs w:val="18"/>
        </w:rPr>
        <w:t>:</w:t>
      </w:r>
      <w:r w:rsidRPr="002726F6">
        <w:rPr>
          <w:rFonts w:cs="Arial"/>
          <w:b/>
          <w:bCs/>
          <w:sz w:val="18"/>
          <w:szCs w:val="18"/>
        </w:rPr>
        <w:t xml:space="preserve"> </w:t>
      </w:r>
      <w:r>
        <w:rPr>
          <w:rFonts w:cs="Arial"/>
          <w:b/>
          <w:bCs/>
          <w:sz w:val="18"/>
          <w:szCs w:val="18"/>
        </w:rPr>
        <w:t xml:space="preserve">Additional behavioral tests on WT and M489V </w:t>
      </w:r>
      <w:r w:rsidRPr="002726F6">
        <w:rPr>
          <w:rFonts w:cs="Arial"/>
          <w:b/>
          <w:bCs/>
          <w:sz w:val="18"/>
          <w:szCs w:val="18"/>
        </w:rPr>
        <w:t>C57</w:t>
      </w:r>
      <w:r>
        <w:rPr>
          <w:rFonts w:cs="Arial"/>
          <w:b/>
          <w:bCs/>
          <w:sz w:val="18"/>
          <w:szCs w:val="18"/>
        </w:rPr>
        <w:t>BL/6 mice with and without the APP transgene</w:t>
      </w:r>
      <w:r w:rsidRPr="00234AE5">
        <w:rPr>
          <w:rFonts w:cs="Arial"/>
          <w:sz w:val="18"/>
          <w:szCs w:val="18"/>
        </w:rPr>
        <w:t xml:space="preserve">. </w:t>
      </w:r>
      <w:r w:rsidRPr="00234AE5">
        <w:rPr>
          <w:rFonts w:cs="Arial"/>
          <w:noProof/>
          <w:sz w:val="18"/>
          <w:szCs w:val="18"/>
        </w:rPr>
        <w:t xml:space="preserve">A. Distance traveled in the Barnes maze probe test (BM), B. ambulation in the locomotor test (LM), and C. time in light in the light/dark test (LDT) in </w:t>
      </w:r>
      <w:r w:rsidRPr="00234AE5">
        <w:rPr>
          <w:rFonts w:cs="Arial"/>
          <w:sz w:val="18"/>
          <w:szCs w:val="18"/>
        </w:rPr>
        <w:t xml:space="preserve">an </w:t>
      </w:r>
      <w:proofErr w:type="spellStart"/>
      <w:r w:rsidRPr="00234AE5">
        <w:rPr>
          <w:rFonts w:cs="Arial"/>
          <w:i/>
          <w:iCs/>
          <w:color w:val="000000" w:themeColor="text1"/>
          <w:sz w:val="18"/>
          <w:szCs w:val="18"/>
        </w:rPr>
        <w:t>APP</w:t>
      </w:r>
      <w:r w:rsidRPr="00234AE5">
        <w:rPr>
          <w:rFonts w:cs="Arial"/>
          <w:i/>
          <w:iCs/>
          <w:color w:val="000000" w:themeColor="text1"/>
          <w:sz w:val="18"/>
          <w:szCs w:val="18"/>
          <w:vertAlign w:val="subscript"/>
        </w:rPr>
        <w:t>swe</w:t>
      </w:r>
      <w:proofErr w:type="spellEnd"/>
      <w:r w:rsidRPr="00234AE5">
        <w:rPr>
          <w:rFonts w:cs="Arial"/>
          <w:sz w:val="18"/>
          <w:szCs w:val="18"/>
        </w:rPr>
        <w:t xml:space="preserve"> with PKCα WT (WT</w:t>
      </w:r>
      <w:r w:rsidRPr="00234AE5">
        <w:rPr>
          <w:rFonts w:cs="Arial"/>
          <w:sz w:val="18"/>
          <w:szCs w:val="18"/>
          <w:vertAlign w:val="subscript"/>
        </w:rPr>
        <w:t>APP</w:t>
      </w:r>
      <w:r w:rsidRPr="00234AE5">
        <w:rPr>
          <w:rFonts w:cs="Arial"/>
          <w:sz w:val="18"/>
          <w:szCs w:val="18"/>
        </w:rPr>
        <w:t>) and PKCα M489V (M489V</w:t>
      </w:r>
      <w:r w:rsidRPr="00234AE5">
        <w:rPr>
          <w:rFonts w:cs="Arial"/>
          <w:sz w:val="18"/>
          <w:szCs w:val="18"/>
          <w:vertAlign w:val="subscript"/>
        </w:rPr>
        <w:t>APP</w:t>
      </w:r>
      <w:r w:rsidRPr="00234AE5">
        <w:rPr>
          <w:rFonts w:cs="Arial"/>
          <w:sz w:val="18"/>
          <w:szCs w:val="18"/>
        </w:rPr>
        <w:t xml:space="preserve">) mice at 4.5, 6, and 12 months. </w:t>
      </w:r>
      <w:r w:rsidRPr="00234AE5">
        <w:rPr>
          <w:rFonts w:cs="Arial"/>
          <w:noProof/>
          <w:sz w:val="18"/>
          <w:szCs w:val="18"/>
        </w:rPr>
        <w:t>Same mice cohorts used in Figure 4 were subjected to these behavioral tests. ANOVA was used for statistical analysis and no statistical differences were found. No sex effect was observed.</w:t>
      </w:r>
    </w:p>
    <w:p w14:paraId="05B7B54D" w14:textId="77777777" w:rsidR="00C47EEE" w:rsidRPr="00810208" w:rsidRDefault="00C47EEE" w:rsidP="00C47EEE">
      <w:pPr>
        <w:jc w:val="both"/>
        <w:rPr>
          <w:sz w:val="18"/>
          <w:szCs w:val="18"/>
        </w:rPr>
      </w:pPr>
    </w:p>
    <w:p w14:paraId="73B3063D" w14:textId="77777777" w:rsidR="00C47EEE" w:rsidRPr="00810208" w:rsidRDefault="00C47EEE" w:rsidP="00C47EEE">
      <w:pPr>
        <w:jc w:val="both"/>
      </w:pPr>
    </w:p>
    <w:p w14:paraId="36034600" w14:textId="63CE0367" w:rsidR="00C47EEE" w:rsidRDefault="00C47EEE" w:rsidP="00C47EEE">
      <w:pPr>
        <w:jc w:val="both"/>
      </w:pPr>
    </w:p>
    <w:p w14:paraId="716562A7" w14:textId="7CEACF8A" w:rsidR="00D67F36" w:rsidRDefault="00D67F36" w:rsidP="00C47EEE">
      <w:pPr>
        <w:jc w:val="both"/>
      </w:pPr>
    </w:p>
    <w:p w14:paraId="5728E887" w14:textId="77777777" w:rsidR="00F43E51" w:rsidRPr="00810208" w:rsidRDefault="00F43E51" w:rsidP="00C47EEE">
      <w:pPr>
        <w:jc w:val="both"/>
      </w:pPr>
    </w:p>
    <w:p w14:paraId="530933C0" w14:textId="77777777" w:rsidR="00C47EEE" w:rsidRDefault="00C47EEE" w:rsidP="00C47EEE">
      <w:pPr>
        <w:spacing w:line="360" w:lineRule="auto"/>
        <w:rPr>
          <w:rFonts w:cs="Arial"/>
          <w:b/>
          <w:bCs/>
          <w:sz w:val="24"/>
          <w:szCs w:val="24"/>
        </w:rPr>
      </w:pPr>
    </w:p>
    <w:p w14:paraId="188E30CA" w14:textId="77777777" w:rsidR="00C47EEE" w:rsidRPr="003B0AAF" w:rsidRDefault="00C47EEE" w:rsidP="00C47EEE">
      <w:pPr>
        <w:spacing w:line="360" w:lineRule="auto"/>
        <w:rPr>
          <w:rFonts w:cs="Arial"/>
          <w:b/>
          <w:bCs/>
          <w:sz w:val="24"/>
          <w:szCs w:val="24"/>
        </w:rPr>
      </w:pPr>
    </w:p>
    <w:p w14:paraId="3D5436EA" w14:textId="77777777" w:rsidR="00E36AF5" w:rsidRDefault="00E36AF5"/>
    <w:p w14:paraId="35EEB743" w14:textId="494BA566" w:rsidR="00E36AF5" w:rsidRDefault="00E36AF5"/>
    <w:p w14:paraId="76151876" w14:textId="77777777" w:rsidR="00DD7EEF" w:rsidRDefault="00DD7EEF"/>
    <w:p w14:paraId="175C418E" w14:textId="0FB9188D" w:rsidR="00DD7EEF" w:rsidRDefault="00DD7EEF" w:rsidP="00DD7EEF">
      <w:pPr>
        <w:spacing w:before="160" w:line="480" w:lineRule="auto"/>
        <w:jc w:val="both"/>
        <w:rPr>
          <w:rFonts w:cs="Arial"/>
          <w:b/>
          <w:bCs/>
          <w:sz w:val="24"/>
          <w:szCs w:val="24"/>
        </w:rPr>
      </w:pPr>
      <w:r>
        <w:rPr>
          <w:rFonts w:cs="Arial"/>
          <w:b/>
          <w:bCs/>
          <w:sz w:val="24"/>
          <w:szCs w:val="24"/>
        </w:rPr>
        <w:lastRenderedPageBreak/>
        <w:t>SUPPLEMENTARY REFERENCES</w:t>
      </w:r>
    </w:p>
    <w:p w14:paraId="7BFF6002" w14:textId="77777777" w:rsidR="00DD7EEF" w:rsidRPr="00971AA9" w:rsidRDefault="00E36AF5" w:rsidP="00DD7EEF">
      <w:pPr>
        <w:pStyle w:val="EndNoteBibliography"/>
        <w:ind w:left="720" w:hanging="720"/>
        <w:rPr>
          <w:sz w:val="18"/>
          <w:szCs w:val="18"/>
        </w:rPr>
      </w:pPr>
      <w:r w:rsidRPr="00971AA9">
        <w:rPr>
          <w:sz w:val="18"/>
          <w:szCs w:val="18"/>
        </w:rPr>
        <w:fldChar w:fldCharType="begin"/>
      </w:r>
      <w:r w:rsidRPr="00971AA9">
        <w:rPr>
          <w:sz w:val="18"/>
          <w:szCs w:val="18"/>
        </w:rPr>
        <w:instrText xml:space="preserve"> ADDIN EN.REFLIST </w:instrText>
      </w:r>
      <w:r w:rsidRPr="00971AA9">
        <w:rPr>
          <w:sz w:val="18"/>
          <w:szCs w:val="18"/>
        </w:rPr>
        <w:fldChar w:fldCharType="separate"/>
      </w:r>
      <w:r w:rsidR="00DD7EEF" w:rsidRPr="00971AA9">
        <w:rPr>
          <w:sz w:val="18"/>
          <w:szCs w:val="18"/>
        </w:rPr>
        <w:t>1.</w:t>
      </w:r>
      <w:r w:rsidR="00DD7EEF" w:rsidRPr="00971AA9">
        <w:rPr>
          <w:sz w:val="18"/>
          <w:szCs w:val="18"/>
        </w:rPr>
        <w:tab/>
        <w:t xml:space="preserve">Crawley JN. Behavioral phenotyping of transgenic and knockout mice: experimental design and evaluation of general health, sensory functions, motor abilities, and specific behavioral tests. </w:t>
      </w:r>
      <w:r w:rsidR="00DD7EEF" w:rsidRPr="00971AA9">
        <w:rPr>
          <w:i/>
          <w:sz w:val="18"/>
          <w:szCs w:val="18"/>
        </w:rPr>
        <w:t>Brain research</w:t>
      </w:r>
      <w:r w:rsidR="00DD7EEF" w:rsidRPr="00971AA9">
        <w:rPr>
          <w:sz w:val="18"/>
          <w:szCs w:val="18"/>
        </w:rPr>
        <w:t xml:space="preserve"> </w:t>
      </w:r>
      <w:r w:rsidR="00DD7EEF" w:rsidRPr="00971AA9">
        <w:rPr>
          <w:b/>
          <w:sz w:val="18"/>
          <w:szCs w:val="18"/>
        </w:rPr>
        <w:t>835</w:t>
      </w:r>
      <w:r w:rsidR="00DD7EEF" w:rsidRPr="00971AA9">
        <w:rPr>
          <w:sz w:val="18"/>
          <w:szCs w:val="18"/>
        </w:rPr>
        <w:t>, 18-26 (1999).</w:t>
      </w:r>
    </w:p>
    <w:p w14:paraId="6E089445" w14:textId="77777777" w:rsidR="00DD7EEF" w:rsidRPr="00971AA9" w:rsidRDefault="00DD7EEF" w:rsidP="00DD7EEF">
      <w:pPr>
        <w:pStyle w:val="EndNoteBibliography"/>
        <w:rPr>
          <w:sz w:val="18"/>
          <w:szCs w:val="18"/>
        </w:rPr>
      </w:pPr>
    </w:p>
    <w:p w14:paraId="34B397D5" w14:textId="2EF47370" w:rsidR="00A73B8F" w:rsidRDefault="00E36AF5">
      <w:r w:rsidRPr="00971AA9">
        <w:rPr>
          <w:sz w:val="18"/>
          <w:szCs w:val="18"/>
        </w:rPr>
        <w:fldChar w:fldCharType="end"/>
      </w:r>
    </w:p>
    <w:sectPr w:rsidR="00A73B8F">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9C649" w14:textId="77777777" w:rsidR="00250B28" w:rsidRDefault="00250B28" w:rsidP="00250B28">
      <w:pPr>
        <w:spacing w:after="0" w:line="240" w:lineRule="auto"/>
      </w:pPr>
      <w:r>
        <w:separator/>
      </w:r>
    </w:p>
  </w:endnote>
  <w:endnote w:type="continuationSeparator" w:id="0">
    <w:p w14:paraId="0B6EDA86" w14:textId="77777777" w:rsidR="00250B28" w:rsidRDefault="00250B28" w:rsidP="00250B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3609549"/>
      <w:docPartObj>
        <w:docPartGallery w:val="Page Numbers (Bottom of Page)"/>
        <w:docPartUnique/>
      </w:docPartObj>
    </w:sdtPr>
    <w:sdtEndPr>
      <w:rPr>
        <w:noProof/>
      </w:rPr>
    </w:sdtEndPr>
    <w:sdtContent>
      <w:p w14:paraId="4EDF8852" w14:textId="1B8AAF5A" w:rsidR="00250B28" w:rsidRDefault="00250B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408E61" w14:textId="77777777" w:rsidR="00250B28" w:rsidRDefault="00250B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81570" w14:textId="77777777" w:rsidR="00250B28" w:rsidRDefault="00250B28" w:rsidP="00250B28">
      <w:pPr>
        <w:spacing w:after="0" w:line="240" w:lineRule="auto"/>
      </w:pPr>
      <w:r>
        <w:separator/>
      </w:r>
    </w:p>
  </w:footnote>
  <w:footnote w:type="continuationSeparator" w:id="0">
    <w:p w14:paraId="611593E9" w14:textId="77777777" w:rsidR="00250B28" w:rsidRDefault="00250B28" w:rsidP="00250B2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 Copy&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5ftadwru2fvrgezwe95zxrovw92eepsvrx9&quot;&gt;Gema T1D Endnote&lt;record-ids&gt;&lt;item&gt;669&lt;/item&gt;&lt;/record-ids&gt;&lt;/item&gt;&lt;/Libraries&gt;"/>
  </w:docVars>
  <w:rsids>
    <w:rsidRoot w:val="00C47EEE"/>
    <w:rsid w:val="000B422F"/>
    <w:rsid w:val="00130AFF"/>
    <w:rsid w:val="00185AA0"/>
    <w:rsid w:val="0023087C"/>
    <w:rsid w:val="00250B28"/>
    <w:rsid w:val="003F1723"/>
    <w:rsid w:val="00646518"/>
    <w:rsid w:val="00723FCA"/>
    <w:rsid w:val="00971AA9"/>
    <w:rsid w:val="00992C82"/>
    <w:rsid w:val="00A73B8F"/>
    <w:rsid w:val="00AD2DC9"/>
    <w:rsid w:val="00B00D42"/>
    <w:rsid w:val="00BA4C4A"/>
    <w:rsid w:val="00C47EEE"/>
    <w:rsid w:val="00C9735B"/>
    <w:rsid w:val="00D67F36"/>
    <w:rsid w:val="00D855B7"/>
    <w:rsid w:val="00D92277"/>
    <w:rsid w:val="00DD4228"/>
    <w:rsid w:val="00DD7EEF"/>
    <w:rsid w:val="00E36AF5"/>
    <w:rsid w:val="00EB2A2A"/>
    <w:rsid w:val="00F43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138FE"/>
  <w15:chartTrackingRefBased/>
  <w15:docId w15:val="{1CCFF73C-A87D-4767-BAA4-6A19C3BA8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EEE"/>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C47EEE"/>
    <w:rPr>
      <w:color w:val="0000FF"/>
      <w:u w:val="single"/>
    </w:rPr>
  </w:style>
  <w:style w:type="character" w:styleId="Emphasis">
    <w:name w:val="Emphasis"/>
    <w:basedOn w:val="DefaultParagraphFont"/>
    <w:uiPriority w:val="20"/>
    <w:qFormat/>
    <w:rsid w:val="00C47EEE"/>
    <w:rPr>
      <w:i/>
      <w:iCs/>
    </w:rPr>
  </w:style>
  <w:style w:type="paragraph" w:styleId="NormalWeb">
    <w:name w:val="Normal (Web)"/>
    <w:basedOn w:val="Normal"/>
    <w:uiPriority w:val="99"/>
    <w:semiHidden/>
    <w:unhideWhenUsed/>
    <w:rsid w:val="000B422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E36AF5"/>
    <w:pPr>
      <w:spacing w:after="0"/>
      <w:jc w:val="center"/>
    </w:pPr>
    <w:rPr>
      <w:rFonts w:cs="Arial"/>
      <w:noProof/>
    </w:rPr>
  </w:style>
  <w:style w:type="character" w:customStyle="1" w:styleId="EndNoteBibliographyTitleChar">
    <w:name w:val="EndNote Bibliography Title Char"/>
    <w:basedOn w:val="DefaultParagraphFont"/>
    <w:link w:val="EndNoteBibliographyTitle"/>
    <w:rsid w:val="00E36AF5"/>
    <w:rPr>
      <w:rFonts w:ascii="Arial" w:hAnsi="Arial" w:cs="Arial"/>
      <w:noProof/>
    </w:rPr>
  </w:style>
  <w:style w:type="paragraph" w:customStyle="1" w:styleId="EndNoteBibliography">
    <w:name w:val="EndNote Bibliography"/>
    <w:basedOn w:val="Normal"/>
    <w:link w:val="EndNoteBibliographyChar"/>
    <w:rsid w:val="00E36AF5"/>
    <w:pPr>
      <w:spacing w:line="240" w:lineRule="auto"/>
    </w:pPr>
    <w:rPr>
      <w:rFonts w:cs="Arial"/>
      <w:noProof/>
    </w:rPr>
  </w:style>
  <w:style w:type="character" w:customStyle="1" w:styleId="EndNoteBibliographyChar">
    <w:name w:val="EndNote Bibliography Char"/>
    <w:basedOn w:val="DefaultParagraphFont"/>
    <w:link w:val="EndNoteBibliography"/>
    <w:rsid w:val="00E36AF5"/>
    <w:rPr>
      <w:rFonts w:ascii="Arial" w:hAnsi="Arial" w:cs="Arial"/>
      <w:noProof/>
    </w:rPr>
  </w:style>
  <w:style w:type="paragraph" w:styleId="Header">
    <w:name w:val="header"/>
    <w:basedOn w:val="Normal"/>
    <w:link w:val="HeaderChar"/>
    <w:uiPriority w:val="99"/>
    <w:unhideWhenUsed/>
    <w:rsid w:val="00250B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0B28"/>
    <w:rPr>
      <w:rFonts w:ascii="Arial" w:hAnsi="Arial"/>
    </w:rPr>
  </w:style>
  <w:style w:type="paragraph" w:styleId="Footer">
    <w:name w:val="footer"/>
    <w:basedOn w:val="Normal"/>
    <w:link w:val="FooterChar"/>
    <w:uiPriority w:val="99"/>
    <w:unhideWhenUsed/>
    <w:rsid w:val="00250B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0B28"/>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7961108">
      <w:bodyDiv w:val="1"/>
      <w:marLeft w:val="0"/>
      <w:marRight w:val="0"/>
      <w:marTop w:val="0"/>
      <w:marBottom w:val="0"/>
      <w:divBdr>
        <w:top w:val="none" w:sz="0" w:space="0" w:color="auto"/>
        <w:left w:val="none" w:sz="0" w:space="0" w:color="auto"/>
        <w:bottom w:val="none" w:sz="0" w:space="0" w:color="auto"/>
        <w:right w:val="none" w:sz="0" w:space="0" w:color="auto"/>
      </w:divBdr>
      <w:divsChild>
        <w:div w:id="548492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5183793">
              <w:marLeft w:val="0"/>
              <w:marRight w:val="0"/>
              <w:marTop w:val="0"/>
              <w:marBottom w:val="0"/>
              <w:divBdr>
                <w:top w:val="none" w:sz="0" w:space="0" w:color="auto"/>
                <w:left w:val="none" w:sz="0" w:space="0" w:color="auto"/>
                <w:bottom w:val="none" w:sz="0" w:space="0" w:color="auto"/>
                <w:right w:val="none" w:sz="0" w:space="0" w:color="auto"/>
              </w:divBdr>
              <w:divsChild>
                <w:div w:id="172340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ewton@ucsd.edu)"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newton@ucsd.edu" TargetMode="External"/><Relationship Id="rId12" Type="http://schemas.openxmlformats.org/officeDocument/2006/relationships/image" Target="media/image4.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3DA4C-A051-43A6-B95F-6089091B6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8</Pages>
  <Words>1268</Words>
  <Characters>7232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Ge</dc:creator>
  <cp:keywords/>
  <dc:description/>
  <cp:lastModifiedBy>Gemma Ge</cp:lastModifiedBy>
  <cp:revision>18</cp:revision>
  <dcterms:created xsi:type="dcterms:W3CDTF">2021-09-08T17:54:00Z</dcterms:created>
  <dcterms:modified xsi:type="dcterms:W3CDTF">2021-09-10T18:14:00Z</dcterms:modified>
</cp:coreProperties>
</file>