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6F6A2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 w:rsidRPr="00C37C0D">
        <w:rPr>
          <w:rFonts w:ascii="Calibri" w:hAnsi="Calibri" w:cs="Calibri"/>
          <w:b/>
          <w:bCs/>
          <w:color w:val="000000"/>
        </w:rPr>
        <w:t>SUPPLEMENTA</w:t>
      </w:r>
      <w:r>
        <w:rPr>
          <w:rFonts w:ascii="Calibri" w:hAnsi="Calibri" w:cs="Calibri"/>
          <w:b/>
          <w:bCs/>
          <w:color w:val="000000"/>
        </w:rPr>
        <w:t>L</w:t>
      </w:r>
      <w:r w:rsidRPr="00C37C0D">
        <w:rPr>
          <w:rFonts w:ascii="Calibri" w:hAnsi="Calibri" w:cs="Calibri"/>
          <w:b/>
          <w:bCs/>
          <w:color w:val="000000"/>
        </w:rPr>
        <w:t xml:space="preserve"> TABLE </w:t>
      </w:r>
      <w:r>
        <w:rPr>
          <w:rFonts w:ascii="Calibri" w:hAnsi="Calibri" w:cs="Calibri"/>
          <w:b/>
          <w:bCs/>
          <w:color w:val="000000"/>
        </w:rPr>
        <w:t>1</w:t>
      </w:r>
    </w:p>
    <w:p w14:paraId="76A05CBF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 w:rsidRPr="00C37C0D">
        <w:rPr>
          <w:rFonts w:ascii="Calibri" w:hAnsi="Calibri" w:cs="Calibri"/>
          <w:b/>
          <w:bCs/>
          <w:color w:val="000000"/>
        </w:rPr>
        <w:t>ICSI cycle outcomes (n=2</w:t>
      </w:r>
      <w:r>
        <w:rPr>
          <w:rFonts w:ascii="Calibri" w:hAnsi="Calibri" w:cs="Calibri"/>
          <w:b/>
          <w:bCs/>
          <w:color w:val="000000"/>
        </w:rPr>
        <w:t>,</w:t>
      </w:r>
      <w:r w:rsidRPr="00C37C0D">
        <w:rPr>
          <w:rFonts w:ascii="Calibri" w:hAnsi="Calibri" w:cs="Calibri"/>
          <w:b/>
          <w:bCs/>
          <w:color w:val="000000"/>
        </w:rPr>
        <w:t>129)</w:t>
      </w:r>
    </w:p>
    <w:tbl>
      <w:tblPr>
        <w:tblW w:w="8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37"/>
        <w:gridCol w:w="1843"/>
      </w:tblGrid>
      <w:tr w:rsidR="006765F4" w:rsidRPr="00C37C0D" w14:paraId="6C25F113" w14:textId="77777777" w:rsidTr="00C24625">
        <w:trPr>
          <w:trHeight w:val="308"/>
        </w:trPr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0112F890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/>
                <w:bCs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ICSI cycle outcomes</w:t>
            </w:r>
            <w:r w:rsidRPr="00C37C0D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4FD6527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Values</w:t>
            </w:r>
          </w:p>
        </w:tc>
      </w:tr>
      <w:tr w:rsidR="006765F4" w:rsidRPr="00C37C0D" w14:paraId="3BF864B1" w14:textId="77777777" w:rsidTr="00C24625">
        <w:trPr>
          <w:trHeight w:val="308"/>
        </w:trPr>
        <w:tc>
          <w:tcPr>
            <w:tcW w:w="6237" w:type="dxa"/>
            <w:noWrap/>
            <w:vAlign w:val="bottom"/>
            <w:hideMark/>
          </w:tcPr>
          <w:p w14:paraId="069E4F6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Fresh embryo transfer cycles</w:t>
            </w:r>
          </w:p>
          <w:p w14:paraId="0258F2AC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  <w:noWrap/>
            <w:vAlign w:val="bottom"/>
            <w:hideMark/>
          </w:tcPr>
          <w:p w14:paraId="2962523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817 (38.4%)</w:t>
            </w:r>
          </w:p>
        </w:tc>
      </w:tr>
      <w:tr w:rsidR="006765F4" w:rsidRPr="00C37C0D" w14:paraId="25297E84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433BB5F0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Clinical pregnancy rate per embryo transfer</w:t>
            </w:r>
          </w:p>
        </w:tc>
        <w:tc>
          <w:tcPr>
            <w:tcW w:w="1843" w:type="dxa"/>
            <w:noWrap/>
            <w:vAlign w:val="bottom"/>
          </w:tcPr>
          <w:p w14:paraId="64BF97A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326/817 (39.9%)</w:t>
            </w:r>
          </w:p>
        </w:tc>
      </w:tr>
      <w:tr w:rsidR="006765F4" w:rsidRPr="00C37C0D" w14:paraId="51FA7016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43E7652B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Ectopic pregnancy rate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  <w:r w:rsidRPr="00C37C0D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843" w:type="dxa"/>
            <w:noWrap/>
            <w:vAlign w:val="bottom"/>
          </w:tcPr>
          <w:p w14:paraId="1F210CF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2/326 (0.6%)</w:t>
            </w:r>
          </w:p>
        </w:tc>
      </w:tr>
      <w:tr w:rsidR="006765F4" w:rsidRPr="00C37C0D" w14:paraId="5BCEFA36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0FAAE379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>Early miscarriage rate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1843" w:type="dxa"/>
            <w:noWrap/>
            <w:vAlign w:val="bottom"/>
          </w:tcPr>
          <w:p w14:paraId="29E5468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60/326 (18.4%)</w:t>
            </w:r>
          </w:p>
        </w:tc>
      </w:tr>
      <w:tr w:rsidR="006765F4" w:rsidRPr="00C37C0D" w14:paraId="3805E82B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2E61D5AA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i/>
                <w:iCs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>Live birth rate per embryo transfer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c</w:t>
            </w:r>
            <w:r w:rsidRPr="00C37C0D" w:rsidDel="00F92AAF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</w:t>
            </w:r>
          </w:p>
        </w:tc>
        <w:tc>
          <w:tcPr>
            <w:tcW w:w="1843" w:type="dxa"/>
            <w:noWrap/>
            <w:vAlign w:val="bottom"/>
          </w:tcPr>
          <w:p w14:paraId="7A4EB1B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254/817 (31.1%)</w:t>
            </w:r>
          </w:p>
        </w:tc>
      </w:tr>
      <w:tr w:rsidR="006765F4" w:rsidRPr="00C37C0D" w14:paraId="60FF5696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55A89628" w14:textId="77777777" w:rsidR="006765F4" w:rsidRPr="00C37C0D" w:rsidRDefault="006765F4" w:rsidP="00C24625">
            <w:pPr>
              <w:spacing w:line="480" w:lineRule="auto"/>
              <w:ind w:left="1416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Mean </w:t>
            </w:r>
            <w:r w:rsidRPr="00346531">
              <w:rPr>
                <w:rFonts w:ascii="Calibri" w:hAnsi="Calibri" w:cs="Calibri"/>
                <w:color w:val="000000"/>
              </w:rPr>
              <w:t>gestational age at delivery (weeks)</w:t>
            </w:r>
          </w:p>
        </w:tc>
        <w:tc>
          <w:tcPr>
            <w:tcW w:w="1843" w:type="dxa"/>
            <w:noWrap/>
            <w:vAlign w:val="bottom"/>
          </w:tcPr>
          <w:p w14:paraId="3F9562E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39.0 ± 2.5</w:t>
            </w:r>
          </w:p>
        </w:tc>
      </w:tr>
      <w:tr w:rsidR="006765F4" w:rsidRPr="00C37C0D" w14:paraId="554C89E1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3EA99434" w14:textId="77777777" w:rsidR="006765F4" w:rsidRPr="00C37C0D" w:rsidRDefault="006765F4" w:rsidP="00C24625">
            <w:pPr>
              <w:spacing w:line="480" w:lineRule="auto"/>
              <w:ind w:left="1416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birth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C37C0D">
              <w:rPr>
                <w:rFonts w:ascii="Calibri" w:hAnsi="Calibri" w:cs="Calibri"/>
                <w:color w:val="000000"/>
              </w:rPr>
              <w:t>weight (grams)</w:t>
            </w:r>
          </w:p>
        </w:tc>
        <w:tc>
          <w:tcPr>
            <w:tcW w:w="1843" w:type="dxa"/>
            <w:noWrap/>
            <w:vAlign w:val="bottom"/>
          </w:tcPr>
          <w:p w14:paraId="0AA7755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3071.9 ± 718.2</w:t>
            </w:r>
          </w:p>
        </w:tc>
      </w:tr>
      <w:tr w:rsidR="006765F4" w:rsidRPr="00C37C0D" w14:paraId="0491625C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74525454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Missing data </w:t>
            </w:r>
          </w:p>
        </w:tc>
        <w:tc>
          <w:tcPr>
            <w:tcW w:w="1843" w:type="dxa"/>
            <w:noWrap/>
            <w:vAlign w:val="bottom"/>
          </w:tcPr>
          <w:p w14:paraId="157A015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 (0.1%)</w:t>
            </w:r>
          </w:p>
        </w:tc>
      </w:tr>
      <w:tr w:rsidR="006765F4" w:rsidRPr="00C37C0D" w14:paraId="75C6F4D3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5877266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Freeze</w:t>
            </w:r>
            <w:r>
              <w:rPr>
                <w:rFonts w:ascii="Calibri" w:hAnsi="Calibri" w:cs="Calibri"/>
                <w:color w:val="000000"/>
              </w:rPr>
              <w:t>-</w:t>
            </w:r>
            <w:r w:rsidRPr="00C37C0D">
              <w:rPr>
                <w:rFonts w:ascii="Calibri" w:hAnsi="Calibri" w:cs="Calibri"/>
                <w:color w:val="000000"/>
              </w:rPr>
              <w:t>all cycles</w:t>
            </w:r>
          </w:p>
        </w:tc>
        <w:tc>
          <w:tcPr>
            <w:tcW w:w="1843" w:type="dxa"/>
            <w:noWrap/>
            <w:vAlign w:val="bottom"/>
          </w:tcPr>
          <w:p w14:paraId="6E094C7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C37C0D">
              <w:rPr>
                <w:rFonts w:ascii="Calibri" w:hAnsi="Calibri" w:cs="Calibri"/>
                <w:bCs/>
                <w:color w:val="000000"/>
              </w:rPr>
              <w:t>949 (44.6%)</w:t>
            </w:r>
          </w:p>
        </w:tc>
      </w:tr>
      <w:tr w:rsidR="006765F4" w:rsidRPr="00C37C0D" w14:paraId="39740984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6CAB3810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Cycle cancellation</w:t>
            </w:r>
            <w:r>
              <w:rPr>
                <w:rFonts w:ascii="Calibri" w:hAnsi="Calibri" w:cs="Calibri"/>
                <w:color w:val="000000"/>
              </w:rPr>
              <w:t>s</w:t>
            </w:r>
            <w:r w:rsidRPr="00C37C0D">
              <w:rPr>
                <w:rFonts w:ascii="Calibri" w:hAnsi="Calibri" w:cs="Calibri"/>
                <w:color w:val="000000"/>
              </w:rPr>
              <w:t xml:space="preserve">  </w:t>
            </w:r>
          </w:p>
        </w:tc>
        <w:tc>
          <w:tcPr>
            <w:tcW w:w="1843" w:type="dxa"/>
            <w:noWrap/>
            <w:vAlign w:val="bottom"/>
          </w:tcPr>
          <w:p w14:paraId="7F92AFE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363 (17.0%)</w:t>
            </w:r>
          </w:p>
        </w:tc>
      </w:tr>
      <w:tr w:rsidR="006765F4" w:rsidRPr="00C37C0D" w14:paraId="07899CB1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339DCE84" w14:textId="77777777" w:rsidR="006765F4" w:rsidRPr="00C37C0D" w:rsidDel="00F92AAF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</w:t>
            </w:r>
            <w:r w:rsidRPr="00C37C0D">
              <w:rPr>
                <w:rFonts w:ascii="Calibri" w:hAnsi="Calibri" w:cs="Calibri"/>
                <w:color w:val="000000"/>
              </w:rPr>
              <w:t xml:space="preserve"> oocyte</w:t>
            </w:r>
            <w:r>
              <w:rPr>
                <w:rFonts w:ascii="Calibri" w:hAnsi="Calibri" w:cs="Calibri"/>
                <w:color w:val="000000"/>
              </w:rPr>
              <w:t>s retrieved</w:t>
            </w:r>
          </w:p>
        </w:tc>
        <w:tc>
          <w:tcPr>
            <w:tcW w:w="1843" w:type="dxa"/>
            <w:noWrap/>
            <w:vAlign w:val="bottom"/>
          </w:tcPr>
          <w:p w14:paraId="4808755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26 (7.2%)</w:t>
            </w:r>
          </w:p>
        </w:tc>
      </w:tr>
      <w:tr w:rsidR="006765F4" w:rsidRPr="00C37C0D" w14:paraId="63950540" w14:textId="77777777" w:rsidTr="00C24625">
        <w:trPr>
          <w:trHeight w:val="308"/>
        </w:trPr>
        <w:tc>
          <w:tcPr>
            <w:tcW w:w="6237" w:type="dxa"/>
            <w:noWrap/>
            <w:vAlign w:val="bottom"/>
          </w:tcPr>
          <w:p w14:paraId="454CD3DE" w14:textId="77777777" w:rsidR="006765F4" w:rsidRPr="00C37C0D" w:rsidDel="00F92AAF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Fertilization failure </w:t>
            </w:r>
          </w:p>
        </w:tc>
        <w:tc>
          <w:tcPr>
            <w:tcW w:w="1843" w:type="dxa"/>
            <w:noWrap/>
            <w:vAlign w:val="bottom"/>
          </w:tcPr>
          <w:p w14:paraId="2F68D3E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78 (21.5%)</w:t>
            </w:r>
          </w:p>
        </w:tc>
      </w:tr>
      <w:tr w:rsidR="006765F4" w:rsidRPr="00C37C0D" w14:paraId="1B145B99" w14:textId="77777777" w:rsidTr="00C24625">
        <w:trPr>
          <w:trHeight w:val="308"/>
        </w:trPr>
        <w:tc>
          <w:tcPr>
            <w:tcW w:w="6237" w:type="dxa"/>
            <w:tcBorders>
              <w:bottom w:val="single" w:sz="4" w:space="0" w:color="auto"/>
            </w:tcBorders>
            <w:noWrap/>
            <w:vAlign w:val="bottom"/>
          </w:tcPr>
          <w:p w14:paraId="66F75006" w14:textId="77777777" w:rsidR="006765F4" w:rsidRPr="00C37C0D" w:rsidDel="00F92AAF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Embryo culture failure or poor embryo quality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bottom"/>
          </w:tcPr>
          <w:p w14:paraId="38C5E5F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259 (71.3%)</w:t>
            </w:r>
          </w:p>
        </w:tc>
      </w:tr>
    </w:tbl>
    <w:p w14:paraId="770AC3C3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</w:p>
    <w:p w14:paraId="7304FF1B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</w:rPr>
        <w:t>Note: ICSI = intracytoplasmic sperm injection</w:t>
      </w:r>
    </w:p>
    <w:p w14:paraId="21BBA4F9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 xml:space="preserve">* </w:t>
      </w:r>
      <w:r w:rsidRPr="00C37C0D">
        <w:rPr>
          <w:rFonts w:ascii="Calibri" w:hAnsi="Calibri" w:cs="Calibri"/>
          <w:i/>
          <w:iCs/>
          <w:color w:val="000000"/>
        </w:rPr>
        <w:t>Continuous data are presented as mean ± standard deviation</w:t>
      </w:r>
      <w:r>
        <w:rPr>
          <w:rFonts w:ascii="Calibri" w:hAnsi="Calibri" w:cs="Calibri"/>
          <w:i/>
          <w:iCs/>
          <w:color w:val="000000"/>
        </w:rPr>
        <w:t>;</w:t>
      </w:r>
      <w:r w:rsidRPr="00C37C0D">
        <w:rPr>
          <w:rFonts w:ascii="Calibri" w:hAnsi="Calibri" w:cs="Calibri"/>
          <w:i/>
          <w:iCs/>
          <w:color w:val="000000"/>
        </w:rPr>
        <w:t xml:space="preserve"> categorical data are</w:t>
      </w:r>
    </w:p>
    <w:p w14:paraId="36B4A92B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</w:rPr>
        <w:t>presented as number (percentage)</w:t>
      </w:r>
    </w:p>
    <w:p w14:paraId="4BCA9FC0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</w:rPr>
      </w:pPr>
      <w:r w:rsidRPr="00C37C0D">
        <w:rPr>
          <w:rFonts w:ascii="Calibri" w:hAnsi="Calibri" w:cs="Calibri"/>
          <w:i/>
          <w:color w:val="000000"/>
          <w:vertAlign w:val="superscript"/>
        </w:rPr>
        <w:t xml:space="preserve">a </w:t>
      </w:r>
      <w:r w:rsidRPr="00C37C0D">
        <w:rPr>
          <w:rFonts w:ascii="Calibri" w:hAnsi="Calibri" w:cs="Calibri"/>
          <w:i/>
          <w:color w:val="000000"/>
        </w:rPr>
        <w:t>Ectopic pregnancy rate = number of ectopic gestational sacs/total number of gestational sacs</w:t>
      </w:r>
    </w:p>
    <w:p w14:paraId="375F6D61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i/>
          <w:color w:val="000000"/>
        </w:rPr>
      </w:pPr>
      <w:r w:rsidRPr="00C37C0D">
        <w:rPr>
          <w:rFonts w:ascii="Calibri" w:hAnsi="Calibri" w:cs="Calibri"/>
          <w:bCs/>
          <w:i/>
          <w:color w:val="000000"/>
          <w:vertAlign w:val="superscript"/>
        </w:rPr>
        <w:t>b</w:t>
      </w:r>
      <w:r w:rsidRPr="00C37C0D">
        <w:rPr>
          <w:rFonts w:ascii="Calibri" w:hAnsi="Calibri" w:cs="Calibri"/>
          <w:i/>
          <w:color w:val="000000"/>
        </w:rPr>
        <w:t xml:space="preserve"> Early miscarriage rate = number of early miscarriages/number of clinical pregnancies</w:t>
      </w:r>
    </w:p>
    <w:p w14:paraId="62F3F9E7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bCs/>
          <w:i/>
          <w:color w:val="000000"/>
          <w:vertAlign w:val="superscript"/>
        </w:rPr>
        <w:t xml:space="preserve">c </w:t>
      </w:r>
      <w:r w:rsidRPr="00C37C0D">
        <w:rPr>
          <w:rFonts w:ascii="Calibri" w:hAnsi="Calibri" w:cs="Calibri"/>
          <w:bCs/>
          <w:i/>
          <w:color w:val="000000"/>
        </w:rPr>
        <w:t>Of the</w:t>
      </w:r>
      <w:r w:rsidRPr="00C37C0D">
        <w:rPr>
          <w:rFonts w:ascii="Calibri" w:hAnsi="Calibri" w:cs="Calibri"/>
          <w:bCs/>
          <w:i/>
          <w:color w:val="000000"/>
          <w:vertAlign w:val="superscript"/>
        </w:rPr>
        <w:t xml:space="preserve"> </w:t>
      </w:r>
      <w:r w:rsidRPr="00C37C0D">
        <w:rPr>
          <w:rFonts w:ascii="Calibri" w:hAnsi="Calibri" w:cs="Calibri"/>
          <w:bCs/>
          <w:i/>
          <w:color w:val="000000"/>
        </w:rPr>
        <w:t xml:space="preserve">326 clinical pregnancies, 2 </w:t>
      </w:r>
      <w:r>
        <w:rPr>
          <w:rFonts w:ascii="Calibri" w:hAnsi="Calibri" w:cs="Calibri"/>
          <w:bCs/>
          <w:i/>
          <w:color w:val="000000"/>
        </w:rPr>
        <w:t>ended in</w:t>
      </w:r>
      <w:r w:rsidRPr="00C37C0D">
        <w:rPr>
          <w:rFonts w:ascii="Calibri" w:hAnsi="Calibri" w:cs="Calibri"/>
          <w:bCs/>
          <w:i/>
          <w:color w:val="000000"/>
        </w:rPr>
        <w:t xml:space="preserve"> late miscarriages, 5 were medical</w:t>
      </w:r>
      <w:r>
        <w:rPr>
          <w:rFonts w:ascii="Calibri" w:hAnsi="Calibri" w:cs="Calibri"/>
          <w:bCs/>
          <w:i/>
          <w:color w:val="000000"/>
        </w:rPr>
        <w:t>ly</w:t>
      </w:r>
      <w:r w:rsidRPr="00C37C0D">
        <w:rPr>
          <w:rFonts w:ascii="Calibri" w:hAnsi="Calibri" w:cs="Calibri"/>
          <w:bCs/>
          <w:i/>
          <w:color w:val="000000"/>
        </w:rPr>
        <w:t xml:space="preserve"> terminat</w:t>
      </w:r>
      <w:r>
        <w:rPr>
          <w:rFonts w:ascii="Calibri" w:hAnsi="Calibri" w:cs="Calibri"/>
          <w:bCs/>
          <w:i/>
          <w:color w:val="000000"/>
        </w:rPr>
        <w:t>ed</w:t>
      </w:r>
      <w:r w:rsidRPr="00C37C0D">
        <w:rPr>
          <w:rFonts w:ascii="Calibri" w:hAnsi="Calibri" w:cs="Calibri"/>
          <w:bCs/>
          <w:i/>
          <w:color w:val="000000"/>
        </w:rPr>
        <w:t xml:space="preserve">, and 3 were intrauterine fetal deaths.  </w:t>
      </w:r>
    </w:p>
    <w:p w14:paraId="44C700B0" w14:textId="77777777" w:rsidR="006765F4" w:rsidRDefault="006765F4" w:rsidP="006765F4">
      <w:pPr>
        <w:spacing w:line="480" w:lineRule="auto"/>
        <w:jc w:val="both"/>
      </w:pPr>
    </w:p>
    <w:p w14:paraId="21723DC0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i/>
          <w:iCs/>
        </w:rPr>
        <w:br w:type="page"/>
      </w:r>
      <w:r w:rsidRPr="00C37C0D">
        <w:rPr>
          <w:rFonts w:ascii="Calibri" w:hAnsi="Calibri" w:cs="Calibri"/>
          <w:b/>
          <w:bCs/>
          <w:color w:val="000000"/>
        </w:rPr>
        <w:lastRenderedPageBreak/>
        <w:t>SUPPLEMENTA</w:t>
      </w:r>
      <w:r>
        <w:rPr>
          <w:rFonts w:ascii="Calibri" w:hAnsi="Calibri" w:cs="Calibri"/>
          <w:b/>
          <w:bCs/>
          <w:color w:val="000000"/>
        </w:rPr>
        <w:t>L</w:t>
      </w:r>
      <w:r w:rsidRPr="00C37C0D">
        <w:rPr>
          <w:rFonts w:ascii="Calibri" w:hAnsi="Calibri" w:cs="Calibri"/>
          <w:b/>
          <w:bCs/>
          <w:color w:val="000000"/>
        </w:rPr>
        <w:t xml:space="preserve"> TABLE </w:t>
      </w:r>
      <w:r>
        <w:rPr>
          <w:rFonts w:ascii="Calibri" w:hAnsi="Calibri" w:cs="Calibri"/>
          <w:b/>
          <w:bCs/>
          <w:color w:val="000000"/>
        </w:rPr>
        <w:t>2</w:t>
      </w:r>
      <w:r w:rsidRPr="00C37C0D">
        <w:rPr>
          <w:rFonts w:ascii="Calibri" w:hAnsi="Calibri" w:cs="Calibri"/>
          <w:b/>
          <w:bCs/>
          <w:color w:val="000000"/>
        </w:rPr>
        <w:t xml:space="preserve"> </w:t>
      </w:r>
    </w:p>
    <w:p w14:paraId="36B7B21D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 w:rsidRPr="00C37C0D">
        <w:rPr>
          <w:rFonts w:ascii="Calibri" w:hAnsi="Calibri" w:cs="Calibri"/>
          <w:b/>
          <w:bCs/>
          <w:color w:val="000000"/>
        </w:rPr>
        <w:t xml:space="preserve">Patient and ICSI cycle characteristics </w:t>
      </w:r>
      <w:r>
        <w:rPr>
          <w:rFonts w:ascii="Calibri" w:hAnsi="Calibri" w:cs="Calibri"/>
          <w:b/>
          <w:bCs/>
          <w:color w:val="000000"/>
        </w:rPr>
        <w:t>by</w:t>
      </w:r>
      <w:r w:rsidRPr="00C37C0D">
        <w:rPr>
          <w:rFonts w:ascii="Calibri" w:hAnsi="Calibri" w:cs="Calibri"/>
          <w:b/>
          <w:bCs/>
          <w:color w:val="000000"/>
        </w:rPr>
        <w:t xml:space="preserve"> type of ovulation triggering (n=2</w:t>
      </w:r>
      <w:r>
        <w:rPr>
          <w:rFonts w:ascii="Calibri" w:hAnsi="Calibri" w:cs="Calibri"/>
          <w:b/>
          <w:bCs/>
          <w:color w:val="000000"/>
        </w:rPr>
        <w:t>,</w:t>
      </w:r>
      <w:r w:rsidRPr="00C37C0D">
        <w:rPr>
          <w:rFonts w:ascii="Calibri" w:hAnsi="Calibri" w:cs="Calibri"/>
          <w:b/>
          <w:bCs/>
          <w:color w:val="000000"/>
        </w:rPr>
        <w:t>129). Univariate analysis</w:t>
      </w:r>
      <w:r>
        <w:rPr>
          <w:rFonts w:ascii="Calibri" w:hAnsi="Calibri" w:cs="Calibri"/>
          <w:b/>
          <w:bCs/>
          <w:color w:val="000000"/>
        </w:rPr>
        <w:t>.</w:t>
      </w:r>
    </w:p>
    <w:tbl>
      <w:tblPr>
        <w:tblW w:w="5782" w:type="pct"/>
        <w:tblInd w:w="-2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2"/>
        <w:gridCol w:w="2975"/>
        <w:gridCol w:w="1843"/>
        <w:gridCol w:w="1843"/>
        <w:gridCol w:w="1409"/>
      </w:tblGrid>
      <w:tr w:rsidR="006765F4" w:rsidRPr="00C37C0D" w14:paraId="7FF77046" w14:textId="77777777" w:rsidTr="00C24625">
        <w:trPr>
          <w:trHeight w:val="308"/>
        </w:trPr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4038C153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Characteristics</w:t>
            </w:r>
            <w:r w:rsidRPr="00C37C0D">
              <w:rPr>
                <w:rFonts w:ascii="Calibri" w:hAnsi="Calibri" w:cs="Calibri"/>
                <w:b/>
                <w:bCs/>
                <w:color w:val="000000"/>
                <w:vertAlign w:val="superscript"/>
              </w:rPr>
              <w:t>*</w:t>
            </w:r>
          </w:p>
        </w:tc>
        <w:tc>
          <w:tcPr>
            <w:tcW w:w="3177" w:type="pct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C5D6F3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Type of ovulation triggering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</w:tcPr>
          <w:p w14:paraId="078121B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p-value</w:t>
            </w:r>
          </w:p>
        </w:tc>
      </w:tr>
      <w:tr w:rsidR="006765F4" w:rsidRPr="00C37C0D" w14:paraId="3F1F7AE2" w14:textId="77777777" w:rsidTr="00C24625">
        <w:trPr>
          <w:trHeight w:val="308"/>
        </w:trPr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29B24D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  <w:vertAlign w:val="superscript"/>
              </w:rPr>
            </w:pP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4E220C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GnRH agonist</w:t>
            </w:r>
          </w:p>
          <w:p w14:paraId="1211559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(n=909)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DDBD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hCG</w:t>
            </w:r>
          </w:p>
          <w:p w14:paraId="34B6F03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(n=845)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946A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Dual Trigger</w:t>
            </w:r>
          </w:p>
          <w:p w14:paraId="6F88D0C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(n=375)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F620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60BBD9AA" w14:textId="77777777" w:rsidTr="00C24625">
        <w:trPr>
          <w:trHeight w:val="308"/>
        </w:trPr>
        <w:tc>
          <w:tcPr>
            <w:tcW w:w="1151" w:type="pct"/>
            <w:tcBorders>
              <w:top w:val="single" w:sz="4" w:space="0" w:color="auto"/>
            </w:tcBorders>
            <w:noWrap/>
            <w:vAlign w:val="bottom"/>
          </w:tcPr>
          <w:p w14:paraId="35BA04B2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Age (years)</w:t>
            </w:r>
          </w:p>
        </w:tc>
        <w:tc>
          <w:tcPr>
            <w:tcW w:w="1419" w:type="pct"/>
            <w:tcBorders>
              <w:top w:val="single" w:sz="4" w:space="0" w:color="auto"/>
            </w:tcBorders>
            <w:noWrap/>
            <w:vAlign w:val="center"/>
          </w:tcPr>
          <w:p w14:paraId="3C52FD4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34.8</w:t>
            </w:r>
            <w:r w:rsidRPr="00C37C0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C37C0D">
              <w:rPr>
                <w:rFonts w:ascii="Calibri" w:hAnsi="Calibri" w:cs="Calibri"/>
                <w:color w:val="000000"/>
              </w:rPr>
              <w:t>± 4.2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tcBorders>
              <w:top w:val="single" w:sz="4" w:space="0" w:color="auto"/>
            </w:tcBorders>
            <w:vAlign w:val="center"/>
          </w:tcPr>
          <w:p w14:paraId="56CB53C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35.0 ± 4.1</w:t>
            </w:r>
          </w:p>
        </w:tc>
        <w:tc>
          <w:tcPr>
            <w:tcW w:w="879" w:type="pct"/>
            <w:tcBorders>
              <w:top w:val="single" w:sz="4" w:space="0" w:color="auto"/>
            </w:tcBorders>
            <w:vAlign w:val="center"/>
          </w:tcPr>
          <w:p w14:paraId="5158C71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35.6 ± 3.8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672" w:type="pct"/>
            <w:tcBorders>
              <w:top w:val="single" w:sz="4" w:space="0" w:color="auto"/>
            </w:tcBorders>
            <w:vAlign w:val="center"/>
          </w:tcPr>
          <w:p w14:paraId="55DB7F9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0.011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7C7859F8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19A45F9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Body </w:t>
            </w:r>
            <w:r>
              <w:rPr>
                <w:rFonts w:ascii="Calibri" w:hAnsi="Calibri" w:cs="Calibri"/>
                <w:color w:val="000000"/>
              </w:rPr>
              <w:t>m</w:t>
            </w:r>
            <w:r w:rsidRPr="00C37C0D">
              <w:rPr>
                <w:rFonts w:ascii="Calibri" w:hAnsi="Calibri" w:cs="Calibri"/>
                <w:color w:val="000000"/>
              </w:rPr>
              <w:t xml:space="preserve">ass </w:t>
            </w:r>
            <w:r>
              <w:rPr>
                <w:rFonts w:ascii="Calibri" w:hAnsi="Calibri" w:cs="Calibri"/>
                <w:color w:val="000000"/>
              </w:rPr>
              <w:t>i</w:t>
            </w:r>
            <w:r w:rsidRPr="00C37C0D">
              <w:rPr>
                <w:rFonts w:ascii="Calibri" w:hAnsi="Calibri" w:cs="Calibri"/>
                <w:color w:val="000000"/>
              </w:rPr>
              <w:t>ndex (kg/m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2</w:t>
            </w:r>
            <w:r w:rsidRPr="00C37C0D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419" w:type="pct"/>
            <w:noWrap/>
            <w:vAlign w:val="center"/>
          </w:tcPr>
          <w:p w14:paraId="367B148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23.8 ± 4.3</w:t>
            </w:r>
          </w:p>
        </w:tc>
        <w:tc>
          <w:tcPr>
            <w:tcW w:w="879" w:type="pct"/>
            <w:vAlign w:val="center"/>
          </w:tcPr>
          <w:p w14:paraId="2AD0872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23.7 ± 4.3</w:t>
            </w:r>
          </w:p>
        </w:tc>
        <w:tc>
          <w:tcPr>
            <w:tcW w:w="879" w:type="pct"/>
            <w:vAlign w:val="center"/>
          </w:tcPr>
          <w:p w14:paraId="1CDD5E1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23.6 ± 4.4</w:t>
            </w:r>
          </w:p>
        </w:tc>
        <w:tc>
          <w:tcPr>
            <w:tcW w:w="672" w:type="pct"/>
            <w:vAlign w:val="center"/>
          </w:tcPr>
          <w:p w14:paraId="736ECB4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0.512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00E211AC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30208BE3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Smoking </w:t>
            </w:r>
            <w:r>
              <w:rPr>
                <w:rFonts w:ascii="Calibri" w:hAnsi="Calibri" w:cs="Calibri"/>
                <w:color w:val="000000"/>
              </w:rPr>
              <w:t>statu</w:t>
            </w:r>
            <w:r w:rsidRPr="00C37C0D">
              <w:rPr>
                <w:rFonts w:ascii="Calibri" w:hAnsi="Calibri" w:cs="Calibri"/>
                <w:color w:val="000000"/>
              </w:rPr>
              <w:t>s</w:t>
            </w:r>
          </w:p>
        </w:tc>
        <w:tc>
          <w:tcPr>
            <w:tcW w:w="1419" w:type="pct"/>
            <w:noWrap/>
            <w:vAlign w:val="center"/>
          </w:tcPr>
          <w:p w14:paraId="6BA342A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102 (11.6%)</w:t>
            </w:r>
          </w:p>
        </w:tc>
        <w:tc>
          <w:tcPr>
            <w:tcW w:w="879" w:type="pct"/>
            <w:vAlign w:val="center"/>
          </w:tcPr>
          <w:p w14:paraId="713FF90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122 (15.0%)</w:t>
            </w:r>
          </w:p>
        </w:tc>
        <w:tc>
          <w:tcPr>
            <w:tcW w:w="879" w:type="pct"/>
            <w:vAlign w:val="center"/>
          </w:tcPr>
          <w:p w14:paraId="3E42243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45 (12.4%)</w:t>
            </w:r>
          </w:p>
        </w:tc>
        <w:tc>
          <w:tcPr>
            <w:tcW w:w="672" w:type="pct"/>
            <w:vAlign w:val="center"/>
          </w:tcPr>
          <w:p w14:paraId="0A7335C2" w14:textId="77777777" w:rsidR="006765F4" w:rsidRPr="00C37C0D" w:rsidRDefault="006765F4" w:rsidP="00C24625">
            <w:pPr>
              <w:tabs>
                <w:tab w:val="left" w:pos="843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0.100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</w:t>
            </w:r>
          </w:p>
        </w:tc>
      </w:tr>
      <w:tr w:rsidR="006765F4" w:rsidRPr="00C37C0D" w14:paraId="1F18D527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7BCC9DD1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Geographic origin</w:t>
            </w:r>
          </w:p>
        </w:tc>
        <w:tc>
          <w:tcPr>
            <w:tcW w:w="1419" w:type="pct"/>
            <w:noWrap/>
            <w:vAlign w:val="center"/>
          </w:tcPr>
          <w:p w14:paraId="73CF4CD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72C2D6E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37BB21D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pct"/>
            <w:vAlign w:val="center"/>
          </w:tcPr>
          <w:p w14:paraId="210D87A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0.014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</w:t>
            </w:r>
          </w:p>
        </w:tc>
      </w:tr>
      <w:tr w:rsidR="006765F4" w:rsidRPr="00C37C0D" w14:paraId="191E2A23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16B5EC59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>European</w:t>
            </w:r>
          </w:p>
        </w:tc>
        <w:tc>
          <w:tcPr>
            <w:tcW w:w="1419" w:type="pct"/>
            <w:noWrap/>
            <w:vAlign w:val="center"/>
          </w:tcPr>
          <w:p w14:paraId="5C38C82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734 (83.9%)</w:t>
            </w:r>
          </w:p>
        </w:tc>
        <w:tc>
          <w:tcPr>
            <w:tcW w:w="879" w:type="pct"/>
            <w:vAlign w:val="center"/>
          </w:tcPr>
          <w:p w14:paraId="096283D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687 (86.0%)</w:t>
            </w:r>
          </w:p>
        </w:tc>
        <w:tc>
          <w:tcPr>
            <w:tcW w:w="879" w:type="pct"/>
            <w:vAlign w:val="center"/>
          </w:tcPr>
          <w:p w14:paraId="2369820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303 (82.8%)</w:t>
            </w:r>
          </w:p>
        </w:tc>
        <w:tc>
          <w:tcPr>
            <w:tcW w:w="672" w:type="pct"/>
            <w:vAlign w:val="center"/>
          </w:tcPr>
          <w:p w14:paraId="21AD86E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2D161AD2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354333BE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</w:rPr>
              <w:t>African-Caribbean</w:t>
            </w:r>
          </w:p>
        </w:tc>
        <w:tc>
          <w:tcPr>
            <w:tcW w:w="1419" w:type="pct"/>
            <w:noWrap/>
            <w:vAlign w:val="center"/>
          </w:tcPr>
          <w:p w14:paraId="6E24CE3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101 (11.5%)</w:t>
            </w:r>
          </w:p>
        </w:tc>
        <w:tc>
          <w:tcPr>
            <w:tcW w:w="879" w:type="pct"/>
            <w:vAlign w:val="center"/>
          </w:tcPr>
          <w:p w14:paraId="1509390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81 (10.2%)</w:t>
            </w:r>
          </w:p>
        </w:tc>
        <w:tc>
          <w:tcPr>
            <w:tcW w:w="879" w:type="pct"/>
            <w:vAlign w:val="center"/>
          </w:tcPr>
          <w:p w14:paraId="1DDCA76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33 (9.0%)</w:t>
            </w:r>
          </w:p>
        </w:tc>
        <w:tc>
          <w:tcPr>
            <w:tcW w:w="672" w:type="pct"/>
            <w:vAlign w:val="center"/>
          </w:tcPr>
          <w:p w14:paraId="350F755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370E4F33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440FC04F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Asian</w:t>
            </w:r>
          </w:p>
        </w:tc>
        <w:tc>
          <w:tcPr>
            <w:tcW w:w="1419" w:type="pct"/>
            <w:noWrap/>
            <w:vAlign w:val="center"/>
          </w:tcPr>
          <w:p w14:paraId="2B515E4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40 (4.6%)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6B99CF5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30 (3.8%)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879" w:type="pct"/>
            <w:vAlign w:val="center"/>
          </w:tcPr>
          <w:p w14:paraId="06B4DDE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30 (8.2%)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672" w:type="pct"/>
            <w:vAlign w:val="center"/>
          </w:tcPr>
          <w:p w14:paraId="63B1CCE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54EC48DD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3B01217B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Gravidity</w:t>
            </w:r>
          </w:p>
        </w:tc>
        <w:tc>
          <w:tcPr>
            <w:tcW w:w="1419" w:type="pct"/>
            <w:noWrap/>
            <w:vAlign w:val="center"/>
          </w:tcPr>
          <w:p w14:paraId="356E503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0.67 ± 1.0</w:t>
            </w:r>
          </w:p>
        </w:tc>
        <w:tc>
          <w:tcPr>
            <w:tcW w:w="879" w:type="pct"/>
            <w:vAlign w:val="center"/>
          </w:tcPr>
          <w:p w14:paraId="640904D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0.72 ± 1.0</w:t>
            </w:r>
          </w:p>
        </w:tc>
        <w:tc>
          <w:tcPr>
            <w:tcW w:w="879" w:type="pct"/>
            <w:vAlign w:val="center"/>
          </w:tcPr>
          <w:p w14:paraId="490C377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0.67 ± 1.0</w:t>
            </w:r>
          </w:p>
        </w:tc>
        <w:tc>
          <w:tcPr>
            <w:tcW w:w="672" w:type="pct"/>
            <w:vAlign w:val="center"/>
          </w:tcPr>
          <w:p w14:paraId="74B81436" w14:textId="77777777" w:rsidR="006765F4" w:rsidRPr="00C37C0D" w:rsidRDefault="006765F4" w:rsidP="00C24625">
            <w:pPr>
              <w:tabs>
                <w:tab w:val="left" w:pos="199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0.459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7AE73E7C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07B419D5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Parity</w:t>
            </w:r>
          </w:p>
        </w:tc>
        <w:tc>
          <w:tcPr>
            <w:tcW w:w="1419" w:type="pct"/>
            <w:noWrap/>
            <w:vAlign w:val="center"/>
          </w:tcPr>
          <w:p w14:paraId="234FC82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0.34 ± 0.6</w:t>
            </w:r>
          </w:p>
        </w:tc>
        <w:tc>
          <w:tcPr>
            <w:tcW w:w="879" w:type="pct"/>
            <w:vAlign w:val="center"/>
          </w:tcPr>
          <w:p w14:paraId="46BEA72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0.39 ± 0.6</w:t>
            </w:r>
          </w:p>
        </w:tc>
        <w:tc>
          <w:tcPr>
            <w:tcW w:w="879" w:type="pct"/>
            <w:vAlign w:val="center"/>
          </w:tcPr>
          <w:p w14:paraId="1B208B3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0.36 ± 0.6</w:t>
            </w:r>
          </w:p>
        </w:tc>
        <w:tc>
          <w:tcPr>
            <w:tcW w:w="672" w:type="pct"/>
            <w:vAlign w:val="center"/>
          </w:tcPr>
          <w:p w14:paraId="4A88BDD4" w14:textId="77777777" w:rsidR="006765F4" w:rsidRPr="00C37C0D" w:rsidRDefault="006765F4" w:rsidP="00C24625">
            <w:pPr>
              <w:tabs>
                <w:tab w:val="left" w:pos="843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0.362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5D1100B1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14551E66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Duration of infertility (years)</w:t>
            </w:r>
          </w:p>
        </w:tc>
        <w:tc>
          <w:tcPr>
            <w:tcW w:w="1419" w:type="pct"/>
            <w:noWrap/>
            <w:vAlign w:val="center"/>
          </w:tcPr>
          <w:p w14:paraId="207BF29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4.5 ± 2.7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</w:t>
            </w:r>
          </w:p>
        </w:tc>
        <w:tc>
          <w:tcPr>
            <w:tcW w:w="879" w:type="pct"/>
            <w:vAlign w:val="center"/>
          </w:tcPr>
          <w:p w14:paraId="4E15716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4.0 ± 2.5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27AC564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4.7 ± 2.8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1975F3A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36B96E2D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70547AE3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ICSI cycle rank</w:t>
            </w:r>
          </w:p>
        </w:tc>
        <w:tc>
          <w:tcPr>
            <w:tcW w:w="1419" w:type="pct"/>
            <w:noWrap/>
            <w:vAlign w:val="center"/>
          </w:tcPr>
          <w:p w14:paraId="73FB489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1.5 ± 0.9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0A1C482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1.3 ± 0.6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7A09F4A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1.4 ± 0.8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6AFAE89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240A3CBE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02C48A4B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Ovarian reserve</w:t>
            </w:r>
          </w:p>
        </w:tc>
        <w:tc>
          <w:tcPr>
            <w:tcW w:w="1419" w:type="pct"/>
            <w:noWrap/>
            <w:vAlign w:val="center"/>
          </w:tcPr>
          <w:p w14:paraId="48FA1FD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3EA41E4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39294EF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pct"/>
            <w:vAlign w:val="center"/>
          </w:tcPr>
          <w:p w14:paraId="00C86D0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466B4AF7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37C91127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AMH (ng/mL)</w:t>
            </w:r>
          </w:p>
        </w:tc>
        <w:tc>
          <w:tcPr>
            <w:tcW w:w="1419" w:type="pct"/>
            <w:noWrap/>
            <w:vAlign w:val="center"/>
          </w:tcPr>
          <w:p w14:paraId="37A3D92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3.8 ± 3.0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23CD7B9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2.4 ± 2.0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b, c</w:t>
            </w:r>
          </w:p>
        </w:tc>
        <w:tc>
          <w:tcPr>
            <w:tcW w:w="879" w:type="pct"/>
            <w:vAlign w:val="center"/>
          </w:tcPr>
          <w:p w14:paraId="1D0B16F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2.2 ± 3.1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c</w:t>
            </w:r>
          </w:p>
        </w:tc>
        <w:tc>
          <w:tcPr>
            <w:tcW w:w="672" w:type="pct"/>
            <w:vAlign w:val="center"/>
          </w:tcPr>
          <w:p w14:paraId="4D7CC3A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5F67C3E9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1D27C963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AFC</w:t>
            </w:r>
          </w:p>
        </w:tc>
        <w:tc>
          <w:tcPr>
            <w:tcW w:w="1419" w:type="pct"/>
            <w:noWrap/>
            <w:vAlign w:val="center"/>
          </w:tcPr>
          <w:p w14:paraId="1A65A4C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21.2 ± 13.7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486EF02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15.3 ± 9.6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</w:t>
            </w:r>
          </w:p>
        </w:tc>
        <w:tc>
          <w:tcPr>
            <w:tcW w:w="879" w:type="pct"/>
            <w:vAlign w:val="center"/>
          </w:tcPr>
          <w:p w14:paraId="6301140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15.3 ± 8.7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3B69A83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125D9604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AD3B1B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lastRenderedPageBreak/>
              <w:t>Ovulation status</w:t>
            </w:r>
          </w:p>
        </w:tc>
        <w:tc>
          <w:tcPr>
            <w:tcW w:w="1419" w:type="pct"/>
            <w:noWrap/>
            <w:vAlign w:val="center"/>
          </w:tcPr>
          <w:p w14:paraId="16566F5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0CF906C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4885313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pct"/>
            <w:vAlign w:val="center"/>
          </w:tcPr>
          <w:p w14:paraId="38BEFF8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</w:t>
            </w:r>
          </w:p>
        </w:tc>
      </w:tr>
      <w:tr w:rsidR="006765F4" w:rsidRPr="00C37C0D" w14:paraId="6C285780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B50E53B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Normal ovulation</w:t>
            </w:r>
          </w:p>
        </w:tc>
        <w:tc>
          <w:tcPr>
            <w:tcW w:w="1419" w:type="pct"/>
            <w:noWrap/>
            <w:vAlign w:val="center"/>
          </w:tcPr>
          <w:p w14:paraId="5976D0B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763 (86.7%)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879" w:type="pct"/>
            <w:vAlign w:val="center"/>
          </w:tcPr>
          <w:p w14:paraId="3E32C75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756 (92.1%)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3D17196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342 (92.6%)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672" w:type="pct"/>
            <w:vAlign w:val="center"/>
          </w:tcPr>
          <w:p w14:paraId="3A37078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75CF301B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62B1AFB3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WHO I</w:t>
            </w:r>
          </w:p>
        </w:tc>
        <w:tc>
          <w:tcPr>
            <w:tcW w:w="1419" w:type="pct"/>
            <w:noWrap/>
            <w:vAlign w:val="center"/>
          </w:tcPr>
          <w:p w14:paraId="55AE5CF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0 (0.0%)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1D30472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15 (1.8%)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602615C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 (0.3%)</w:t>
            </w:r>
          </w:p>
        </w:tc>
        <w:tc>
          <w:tcPr>
            <w:tcW w:w="672" w:type="pct"/>
            <w:vAlign w:val="center"/>
          </w:tcPr>
          <w:p w14:paraId="301D799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7C9FCC02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875853B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WHO II</w:t>
            </w:r>
          </w:p>
        </w:tc>
        <w:tc>
          <w:tcPr>
            <w:tcW w:w="1419" w:type="pct"/>
            <w:noWrap/>
            <w:vAlign w:val="center"/>
          </w:tcPr>
          <w:p w14:paraId="3F84E10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114 (12.8%)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879" w:type="pct"/>
            <w:vAlign w:val="center"/>
          </w:tcPr>
          <w:p w14:paraId="67B8C28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46 (5.6%)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360B5C6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22 (6.0%)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672" w:type="pct"/>
            <w:vAlign w:val="center"/>
          </w:tcPr>
          <w:p w14:paraId="6CE3DCF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3D6F3AE1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19626D6D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WHO III</w:t>
            </w:r>
          </w:p>
        </w:tc>
        <w:tc>
          <w:tcPr>
            <w:tcW w:w="1419" w:type="pct"/>
            <w:noWrap/>
            <w:vAlign w:val="center"/>
          </w:tcPr>
          <w:p w14:paraId="700CBC7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 (0.5%)</w:t>
            </w:r>
          </w:p>
        </w:tc>
        <w:tc>
          <w:tcPr>
            <w:tcW w:w="879" w:type="pct"/>
            <w:vAlign w:val="center"/>
          </w:tcPr>
          <w:p w14:paraId="33A6570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 (0.5%)</w:t>
            </w:r>
          </w:p>
        </w:tc>
        <w:tc>
          <w:tcPr>
            <w:tcW w:w="879" w:type="pct"/>
            <w:vAlign w:val="center"/>
          </w:tcPr>
          <w:p w14:paraId="0F666E7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 (1.1%)</w:t>
            </w:r>
          </w:p>
        </w:tc>
        <w:tc>
          <w:tcPr>
            <w:tcW w:w="672" w:type="pct"/>
            <w:vAlign w:val="center"/>
          </w:tcPr>
          <w:p w14:paraId="67A8451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3E04C3E3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6F329411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Primary infertility</w:t>
            </w:r>
          </w:p>
        </w:tc>
        <w:tc>
          <w:tcPr>
            <w:tcW w:w="1419" w:type="pct"/>
            <w:noWrap/>
            <w:vAlign w:val="center"/>
          </w:tcPr>
          <w:p w14:paraId="0267313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621 (68.3%)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4BD7A0C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526 (62.2%)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879" w:type="pct"/>
            <w:vAlign w:val="center"/>
          </w:tcPr>
          <w:p w14:paraId="2A40136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265 (70.7%)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672" w:type="pct"/>
            <w:vAlign w:val="center"/>
          </w:tcPr>
          <w:p w14:paraId="7734C209" w14:textId="77777777" w:rsidR="006765F4" w:rsidRPr="00C37C0D" w:rsidRDefault="006765F4" w:rsidP="00C24625">
            <w:pPr>
              <w:tabs>
                <w:tab w:val="left" w:pos="735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0.004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</w:t>
            </w:r>
          </w:p>
        </w:tc>
      </w:tr>
      <w:tr w:rsidR="006765F4" w:rsidRPr="00C37C0D" w14:paraId="378521D8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57DBB59A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Infertility cause </w:t>
            </w:r>
          </w:p>
        </w:tc>
        <w:tc>
          <w:tcPr>
            <w:tcW w:w="1419" w:type="pct"/>
            <w:noWrap/>
            <w:vAlign w:val="center"/>
          </w:tcPr>
          <w:p w14:paraId="22D2C27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0A7C24A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5797F6E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pct"/>
            <w:vAlign w:val="center"/>
          </w:tcPr>
          <w:p w14:paraId="7BE912DA" w14:textId="77777777" w:rsidR="006765F4" w:rsidRPr="00C37C0D" w:rsidRDefault="006765F4" w:rsidP="00C24625">
            <w:pPr>
              <w:tabs>
                <w:tab w:val="left" w:pos="735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0.191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</w:t>
            </w:r>
          </w:p>
        </w:tc>
      </w:tr>
      <w:tr w:rsidR="006765F4" w:rsidRPr="00C37C0D" w14:paraId="6DDABCB4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09701DA2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Male factor</w:t>
            </w:r>
          </w:p>
        </w:tc>
        <w:tc>
          <w:tcPr>
            <w:tcW w:w="1419" w:type="pct"/>
            <w:noWrap/>
            <w:vAlign w:val="center"/>
          </w:tcPr>
          <w:p w14:paraId="2D2D923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308 (35.2%)</w:t>
            </w:r>
          </w:p>
        </w:tc>
        <w:tc>
          <w:tcPr>
            <w:tcW w:w="879" w:type="pct"/>
            <w:vAlign w:val="center"/>
          </w:tcPr>
          <w:p w14:paraId="4850057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312 (38.5%)</w:t>
            </w:r>
          </w:p>
        </w:tc>
        <w:tc>
          <w:tcPr>
            <w:tcW w:w="879" w:type="pct"/>
            <w:vAlign w:val="center"/>
          </w:tcPr>
          <w:p w14:paraId="40EDFE1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139 (38.0%)</w:t>
            </w:r>
          </w:p>
        </w:tc>
        <w:tc>
          <w:tcPr>
            <w:tcW w:w="672" w:type="pct"/>
            <w:vAlign w:val="center"/>
          </w:tcPr>
          <w:p w14:paraId="0538C498" w14:textId="77777777" w:rsidR="006765F4" w:rsidRPr="00C37C0D" w:rsidRDefault="006765F4" w:rsidP="00C24625">
            <w:pPr>
              <w:tabs>
                <w:tab w:val="left" w:pos="735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20AE3C29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7B863C26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Female factor</w:t>
            </w:r>
          </w:p>
        </w:tc>
        <w:tc>
          <w:tcPr>
            <w:tcW w:w="1419" w:type="pct"/>
            <w:noWrap/>
            <w:vAlign w:val="center"/>
          </w:tcPr>
          <w:p w14:paraId="67BE7A4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471 (53.9%)</w:t>
            </w:r>
          </w:p>
        </w:tc>
        <w:tc>
          <w:tcPr>
            <w:tcW w:w="879" w:type="pct"/>
            <w:vAlign w:val="center"/>
          </w:tcPr>
          <w:p w14:paraId="11652AF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396 (48.9%)</w:t>
            </w:r>
          </w:p>
        </w:tc>
        <w:tc>
          <w:tcPr>
            <w:tcW w:w="879" w:type="pct"/>
            <w:vAlign w:val="center"/>
          </w:tcPr>
          <w:p w14:paraId="712D27C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193 (52.7%)</w:t>
            </w:r>
          </w:p>
        </w:tc>
        <w:tc>
          <w:tcPr>
            <w:tcW w:w="672" w:type="pct"/>
            <w:vAlign w:val="center"/>
          </w:tcPr>
          <w:p w14:paraId="6C5C0164" w14:textId="77777777" w:rsidR="006765F4" w:rsidRPr="00C37C0D" w:rsidRDefault="006765F4" w:rsidP="00C24625">
            <w:pPr>
              <w:tabs>
                <w:tab w:val="left" w:pos="735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39E04CE3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5746BAD9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Idiopathic </w:t>
            </w:r>
          </w:p>
        </w:tc>
        <w:tc>
          <w:tcPr>
            <w:tcW w:w="1419" w:type="pct"/>
            <w:noWrap/>
            <w:vAlign w:val="center"/>
          </w:tcPr>
          <w:p w14:paraId="4F7AFB6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95 (10.9%)</w:t>
            </w:r>
          </w:p>
        </w:tc>
        <w:tc>
          <w:tcPr>
            <w:tcW w:w="879" w:type="pct"/>
            <w:vAlign w:val="center"/>
          </w:tcPr>
          <w:p w14:paraId="3C0AD5A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102 (12.6%)</w:t>
            </w:r>
          </w:p>
        </w:tc>
        <w:tc>
          <w:tcPr>
            <w:tcW w:w="879" w:type="pct"/>
            <w:vAlign w:val="center"/>
          </w:tcPr>
          <w:p w14:paraId="06B3A64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34 (9.3%)</w:t>
            </w:r>
          </w:p>
        </w:tc>
        <w:tc>
          <w:tcPr>
            <w:tcW w:w="672" w:type="pct"/>
            <w:vAlign w:val="center"/>
          </w:tcPr>
          <w:p w14:paraId="34FF1BF5" w14:textId="77777777" w:rsidR="006765F4" w:rsidRPr="00C37C0D" w:rsidRDefault="006765F4" w:rsidP="00C24625">
            <w:pPr>
              <w:tabs>
                <w:tab w:val="left" w:pos="735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6851FD42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6CF273DC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Synchronization by OCP</w:t>
            </w:r>
          </w:p>
        </w:tc>
        <w:tc>
          <w:tcPr>
            <w:tcW w:w="1419" w:type="pct"/>
            <w:noWrap/>
            <w:vAlign w:val="center"/>
          </w:tcPr>
          <w:p w14:paraId="2C539F2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487 (53.6%)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1F0C978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478 (56.6%)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879" w:type="pct"/>
            <w:vAlign w:val="center"/>
          </w:tcPr>
          <w:p w14:paraId="411D9DB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235 (62.7%)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672" w:type="pct"/>
            <w:vAlign w:val="center"/>
          </w:tcPr>
          <w:p w14:paraId="283730A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</w:rPr>
              <w:t>0.011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</w:t>
            </w:r>
          </w:p>
        </w:tc>
      </w:tr>
      <w:tr w:rsidR="006765F4" w:rsidRPr="00C37C0D" w14:paraId="01C29958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C6DCC95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starting gonadotropin dose per cycle (IU)</w:t>
            </w:r>
          </w:p>
        </w:tc>
        <w:tc>
          <w:tcPr>
            <w:tcW w:w="1419" w:type="pct"/>
            <w:noWrap/>
            <w:vAlign w:val="center"/>
          </w:tcPr>
          <w:p w14:paraId="0B4E306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257.2 ± 80.8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51A44CD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270.9 ± 80.7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b, c</w:t>
            </w:r>
          </w:p>
        </w:tc>
        <w:tc>
          <w:tcPr>
            <w:tcW w:w="879" w:type="pct"/>
            <w:vAlign w:val="center"/>
          </w:tcPr>
          <w:p w14:paraId="2725ABE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316.8 ± 80.9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c</w:t>
            </w:r>
          </w:p>
        </w:tc>
        <w:tc>
          <w:tcPr>
            <w:tcW w:w="672" w:type="pct"/>
            <w:vAlign w:val="center"/>
          </w:tcPr>
          <w:p w14:paraId="6B3F984C" w14:textId="77777777" w:rsidR="006765F4" w:rsidRPr="00C37C0D" w:rsidRDefault="006765F4" w:rsidP="00C24625">
            <w:pPr>
              <w:tabs>
                <w:tab w:val="left" w:pos="689"/>
              </w:tabs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51212EAC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18170A7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total gonadotropin dose per cycle (UI)</w:t>
            </w:r>
          </w:p>
        </w:tc>
        <w:tc>
          <w:tcPr>
            <w:tcW w:w="1419" w:type="pct"/>
            <w:noWrap/>
            <w:vAlign w:val="center"/>
          </w:tcPr>
          <w:p w14:paraId="7DCB8C8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2365.9 ± 917.0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04DB5AC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2482.2 ± 915.9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b, c</w:t>
            </w:r>
          </w:p>
        </w:tc>
        <w:tc>
          <w:tcPr>
            <w:tcW w:w="879" w:type="pct"/>
            <w:vAlign w:val="center"/>
          </w:tcPr>
          <w:p w14:paraId="6E35890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2961.5 ± 919.0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c</w:t>
            </w:r>
          </w:p>
        </w:tc>
        <w:tc>
          <w:tcPr>
            <w:tcW w:w="672" w:type="pct"/>
            <w:vAlign w:val="center"/>
          </w:tcPr>
          <w:p w14:paraId="16D6FFD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2BB0885D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0108615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cycle duration (days)</w:t>
            </w:r>
          </w:p>
        </w:tc>
        <w:tc>
          <w:tcPr>
            <w:tcW w:w="1419" w:type="pct"/>
            <w:noWrap/>
            <w:vAlign w:val="center"/>
          </w:tcPr>
          <w:p w14:paraId="398B0CD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9.4 ± 1.5</w:t>
            </w:r>
          </w:p>
        </w:tc>
        <w:tc>
          <w:tcPr>
            <w:tcW w:w="879" w:type="pct"/>
            <w:vAlign w:val="center"/>
          </w:tcPr>
          <w:p w14:paraId="267768F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9.3 ± 1.5</w:t>
            </w:r>
          </w:p>
        </w:tc>
        <w:tc>
          <w:tcPr>
            <w:tcW w:w="879" w:type="pct"/>
            <w:vAlign w:val="center"/>
          </w:tcPr>
          <w:p w14:paraId="4E02DC7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9.5 ± 1.5</w:t>
            </w:r>
          </w:p>
        </w:tc>
        <w:tc>
          <w:tcPr>
            <w:tcW w:w="672" w:type="pct"/>
            <w:vAlign w:val="center"/>
          </w:tcPr>
          <w:p w14:paraId="5ED1A4E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0.131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392DCECC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E6C2C15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Triggering day characteristics</w:t>
            </w:r>
          </w:p>
        </w:tc>
        <w:tc>
          <w:tcPr>
            <w:tcW w:w="1419" w:type="pct"/>
            <w:noWrap/>
            <w:vAlign w:val="center"/>
          </w:tcPr>
          <w:p w14:paraId="06E3E25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6F70079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79" w:type="pct"/>
            <w:vAlign w:val="center"/>
          </w:tcPr>
          <w:p w14:paraId="37E004B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pct"/>
            <w:vAlign w:val="center"/>
          </w:tcPr>
          <w:p w14:paraId="2821F12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790637D7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D632939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lastRenderedPageBreak/>
              <w:t>LH level (IU/L)</w:t>
            </w:r>
          </w:p>
        </w:tc>
        <w:tc>
          <w:tcPr>
            <w:tcW w:w="1419" w:type="pct"/>
            <w:noWrap/>
            <w:vAlign w:val="center"/>
          </w:tcPr>
          <w:p w14:paraId="503143A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1.36 ± 1.6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0CFC3BC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1.65 ± 1.6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</w:t>
            </w:r>
          </w:p>
        </w:tc>
        <w:tc>
          <w:tcPr>
            <w:tcW w:w="879" w:type="pct"/>
            <w:vAlign w:val="center"/>
          </w:tcPr>
          <w:p w14:paraId="438CFA6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1.62 ± 1.6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12704B5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39DF0958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7E993600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Estradiol level (pg/mL)</w:t>
            </w:r>
          </w:p>
        </w:tc>
        <w:tc>
          <w:tcPr>
            <w:tcW w:w="1419" w:type="pct"/>
            <w:noWrap/>
            <w:vAlign w:val="center"/>
          </w:tcPr>
          <w:p w14:paraId="56B9AAC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2789.1 ± 1449.1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2BD9ECE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1645.1 ± 1448.1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</w:t>
            </w:r>
          </w:p>
        </w:tc>
        <w:tc>
          <w:tcPr>
            <w:tcW w:w="879" w:type="pct"/>
            <w:vAlign w:val="center"/>
          </w:tcPr>
          <w:p w14:paraId="6262853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1741.8 ± 1450.0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789CFE9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185EBFAD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3C765ACC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Progesterone level (ng/mL)</w:t>
            </w:r>
          </w:p>
        </w:tc>
        <w:tc>
          <w:tcPr>
            <w:tcW w:w="1419" w:type="pct"/>
            <w:noWrap/>
            <w:vAlign w:val="center"/>
          </w:tcPr>
          <w:p w14:paraId="2386182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0.94 ± 1.1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6A5A6EE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0.62 ± 1.1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</w:t>
            </w:r>
          </w:p>
        </w:tc>
        <w:tc>
          <w:tcPr>
            <w:tcW w:w="879" w:type="pct"/>
            <w:vAlign w:val="center"/>
          </w:tcPr>
          <w:p w14:paraId="2A5D9E1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0.68 ± 1.1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648689B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6FEF36D8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05EC032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mature follicle count (&gt; 15mm)</w:t>
            </w:r>
          </w:p>
        </w:tc>
        <w:tc>
          <w:tcPr>
            <w:tcW w:w="1419" w:type="pct"/>
            <w:noWrap/>
            <w:vAlign w:val="center"/>
          </w:tcPr>
          <w:p w14:paraId="4A42991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9.7 ± 4.2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77F79C4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6.5 ± 4.2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</w:t>
            </w:r>
          </w:p>
        </w:tc>
        <w:tc>
          <w:tcPr>
            <w:tcW w:w="879" w:type="pct"/>
            <w:vAlign w:val="center"/>
          </w:tcPr>
          <w:p w14:paraId="713283D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6.3 ± 4.2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39F7BBD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419EC162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4717FEB2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number of oocytes per cycle</w:t>
            </w:r>
          </w:p>
        </w:tc>
        <w:tc>
          <w:tcPr>
            <w:tcW w:w="1419" w:type="pct"/>
            <w:noWrap/>
            <w:vAlign w:val="center"/>
          </w:tcPr>
          <w:p w14:paraId="7E92C0D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12.1 ± 6.7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879" w:type="pct"/>
            <w:vAlign w:val="center"/>
          </w:tcPr>
          <w:p w14:paraId="5EFBD6B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7.0 ± 6.7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7E68D45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7.2 ± 6.7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16A7E23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4499AA20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026D9F2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number of mature oocytes per cycle</w:t>
            </w:r>
          </w:p>
        </w:tc>
        <w:tc>
          <w:tcPr>
            <w:tcW w:w="1419" w:type="pct"/>
            <w:noWrap/>
            <w:vAlign w:val="center"/>
          </w:tcPr>
          <w:p w14:paraId="42803B4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8.9 ± 5.1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879" w:type="pct"/>
            <w:vAlign w:val="center"/>
          </w:tcPr>
          <w:p w14:paraId="4C6E893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5.3 ± 5.1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4792772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5.4 ± 5.1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672" w:type="pct"/>
            <w:vAlign w:val="center"/>
          </w:tcPr>
          <w:p w14:paraId="58F1857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6A4CB8D7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5620788C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Mature oocyte yield (%)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$</w:t>
            </w:r>
          </w:p>
        </w:tc>
        <w:tc>
          <w:tcPr>
            <w:tcW w:w="1419" w:type="pct"/>
            <w:noWrap/>
            <w:vAlign w:val="center"/>
          </w:tcPr>
          <w:p w14:paraId="36BD746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96.7 ± 59.1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1D27F36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87.6 ± 48.8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20B0A72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92.2 ± 58.0</w:t>
            </w:r>
          </w:p>
        </w:tc>
        <w:tc>
          <w:tcPr>
            <w:tcW w:w="672" w:type="pct"/>
            <w:vAlign w:val="center"/>
          </w:tcPr>
          <w:p w14:paraId="340977F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0.017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637398F6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1C5BF616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Suboptimal mature oocyte yield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sym w:font="Symbol" w:char="F061"/>
            </w:r>
            <w:r w:rsidRPr="00C37C0D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419" w:type="pct"/>
            <w:noWrap/>
            <w:vAlign w:val="center"/>
          </w:tcPr>
          <w:p w14:paraId="0EFC65A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651 (71.6%)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03D3E82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676 (80.0%)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737E9E2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288 (76.8%)</w:t>
            </w:r>
          </w:p>
        </w:tc>
        <w:tc>
          <w:tcPr>
            <w:tcW w:w="672" w:type="pct"/>
            <w:vAlign w:val="center"/>
          </w:tcPr>
          <w:p w14:paraId="5B86F50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0.017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</w:t>
            </w:r>
          </w:p>
        </w:tc>
      </w:tr>
      <w:tr w:rsidR="006765F4" w:rsidRPr="00C37C0D" w14:paraId="02102EE2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64BFF9C5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Fertilization rate (%)</w:t>
            </w:r>
          </w:p>
        </w:tc>
        <w:tc>
          <w:tcPr>
            <w:tcW w:w="1419" w:type="pct"/>
            <w:noWrap/>
            <w:vAlign w:val="center"/>
          </w:tcPr>
          <w:p w14:paraId="33DDE3B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67.8 ± 24.8</w:t>
            </w:r>
          </w:p>
        </w:tc>
        <w:tc>
          <w:tcPr>
            <w:tcW w:w="879" w:type="pct"/>
            <w:vAlign w:val="center"/>
          </w:tcPr>
          <w:p w14:paraId="6274D11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69.8 ± 26.3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36857C3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64.7 ± 28.8 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672" w:type="pct"/>
            <w:vAlign w:val="center"/>
          </w:tcPr>
          <w:p w14:paraId="39FB8AF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0.019 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>kw</w:t>
            </w:r>
          </w:p>
        </w:tc>
      </w:tr>
      <w:tr w:rsidR="006765F4" w:rsidRPr="00C37C0D" w14:paraId="5A6D3CFE" w14:textId="77777777" w:rsidTr="00C24625">
        <w:trPr>
          <w:trHeight w:val="308"/>
        </w:trPr>
        <w:tc>
          <w:tcPr>
            <w:tcW w:w="1151" w:type="pct"/>
            <w:tcBorders>
              <w:bottom w:val="single" w:sz="4" w:space="0" w:color="auto"/>
            </w:tcBorders>
            <w:noWrap/>
            <w:vAlign w:val="bottom"/>
          </w:tcPr>
          <w:p w14:paraId="41E34A33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Blastocyst formation rate (%)</w:t>
            </w:r>
          </w:p>
        </w:tc>
        <w:tc>
          <w:tcPr>
            <w:tcW w:w="1419" w:type="pct"/>
            <w:tcBorders>
              <w:bottom w:val="single" w:sz="4" w:space="0" w:color="auto"/>
            </w:tcBorders>
            <w:noWrap/>
            <w:vAlign w:val="center"/>
          </w:tcPr>
          <w:p w14:paraId="47A265E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52.6 ± 29.9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vAlign w:val="center"/>
          </w:tcPr>
          <w:p w14:paraId="3C2C954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51.1 ± 34.4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vAlign w:val="center"/>
          </w:tcPr>
          <w:p w14:paraId="1566B0E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48.1 ± 34.0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1F9CB8E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0.139 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>kw</w:t>
            </w:r>
          </w:p>
        </w:tc>
      </w:tr>
    </w:tbl>
    <w:p w14:paraId="2BC9D163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</w:p>
    <w:p w14:paraId="78729921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</w:rPr>
        <w:t xml:space="preserve">Note: ICSI = intracytoplasmic sperm injection; GnRH = gonadotropin-releasing hormone; hCG = human chorionic gonadotropin; AMH = anti-Müllerian hormone; AFC = antral follicle count; WHO = world health organization </w:t>
      </w:r>
      <w:r w:rsidRPr="00C37C0D">
        <w:rPr>
          <w:rFonts w:ascii="Calibri" w:hAnsi="Calibri" w:cs="Calibri"/>
          <w:i/>
          <w:iCs/>
          <w:color w:val="000000"/>
        </w:rPr>
        <w:fldChar w:fldCharType="begin"/>
      </w:r>
      <w:r w:rsidRPr="00C37C0D">
        <w:rPr>
          <w:rFonts w:ascii="Calibri" w:hAnsi="Calibri" w:cs="Calibri"/>
          <w:i/>
          <w:iCs/>
          <w:color w:val="000000"/>
        </w:rPr>
        <w:instrText xml:space="preserve"> ADDIN ZOTERO_ITEM CSL_CITATION {"citationID":"aTuxy9fn","properties":{"formattedCitation":"(\\uc0\\u8220{}Agents stimulating gonadal function in the human. Report of a WHO scientific group,\\uc0\\u8221{} 1973)","plainCitation":"(“Agents stimulating gonadal function in the human. Report of a WHO scientific group,” 1973)","noteIndex":0},"citationItems":[{"id":2860,"uris":["http://zotero.org/users/2598628/items/C93WEDYA"],"itemData":{"id":2860,"type":"article-journal","container-title":"World Health Organization Technical Report Series","ISSN":"0512-3054","journalAbbreviation":"World Health Organ Tech Rep Ser","language":"eng","note":"PMID: 4632594","page":"1-30","source":"PubMed","title":"Agents stimulating gonadal function in the human. Report of a WHO scientific group","volume":"514","issued":{"date-parts":[["1973"]]}}}],"schema":"https://github.com/citation-style-language/schema/raw/master/csl-citation.json"} </w:instrText>
      </w:r>
      <w:r w:rsidRPr="00C37C0D">
        <w:rPr>
          <w:rFonts w:ascii="Calibri" w:hAnsi="Calibri" w:cs="Calibri"/>
          <w:i/>
          <w:iCs/>
          <w:color w:val="000000"/>
        </w:rPr>
        <w:fldChar w:fldCharType="separate"/>
      </w:r>
      <w:r w:rsidRPr="00C37C0D">
        <w:rPr>
          <w:rFonts w:ascii="Calibri" w:hAnsi="Calibri" w:cs="Calibri"/>
          <w:i/>
          <w:iCs/>
          <w:color w:val="000000"/>
        </w:rPr>
        <w:t>(“Agents stimulating gonadal function in the human. Report of a WHO scientific group,” 1973)</w:t>
      </w:r>
      <w:r w:rsidRPr="00C37C0D">
        <w:rPr>
          <w:rFonts w:ascii="Calibri" w:hAnsi="Calibri" w:cs="Calibri"/>
          <w:i/>
          <w:iCs/>
          <w:color w:val="000000"/>
        </w:rPr>
        <w:fldChar w:fldCharType="end"/>
      </w:r>
      <w:r w:rsidRPr="00C37C0D">
        <w:rPr>
          <w:rFonts w:ascii="Calibri" w:hAnsi="Calibri" w:cs="Calibri"/>
          <w:i/>
          <w:iCs/>
          <w:color w:val="000000"/>
        </w:rPr>
        <w:t>; OCP = oral contraceptive pill</w:t>
      </w:r>
      <w:r w:rsidRPr="00C37C0D">
        <w:rPr>
          <w:rFonts w:ascii="Calibri" w:hAnsi="Calibri" w:cs="Calibri"/>
          <w:i/>
          <w:iCs/>
          <w:color w:val="000000"/>
          <w:sz w:val="28"/>
          <w:szCs w:val="28"/>
        </w:rPr>
        <w:t xml:space="preserve">; </w:t>
      </w:r>
      <w:r w:rsidRPr="00C37C0D">
        <w:rPr>
          <w:rFonts w:ascii="Calibri" w:hAnsi="Calibri" w:cs="Calibri"/>
          <w:i/>
          <w:iCs/>
          <w:color w:val="000000"/>
        </w:rPr>
        <w:t xml:space="preserve">LH = luteinizing hormone </w:t>
      </w:r>
    </w:p>
    <w:p w14:paraId="5F6982D8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lastRenderedPageBreak/>
        <w:t>*</w:t>
      </w:r>
      <w:r w:rsidRPr="00C37C0D">
        <w:rPr>
          <w:rFonts w:ascii="Calibri" w:hAnsi="Calibri" w:cs="Calibri"/>
          <w:i/>
          <w:iCs/>
          <w:color w:val="000000"/>
        </w:rPr>
        <w:t xml:space="preserve"> Continuous data are presented as mean ± standard deviation and categorical data are</w:t>
      </w:r>
    </w:p>
    <w:p w14:paraId="6DCD7C0C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</w:rPr>
        <w:t xml:space="preserve">presented as number (percentage); </w:t>
      </w:r>
      <w:r>
        <w:rPr>
          <w:rFonts w:ascii="Calibri" w:hAnsi="Calibri" w:cs="Calibri"/>
          <w:i/>
          <w:iCs/>
          <w:color w:val="000000"/>
        </w:rPr>
        <w:t>Missing data</w:t>
      </w:r>
      <w:r w:rsidRPr="00C37C0D">
        <w:rPr>
          <w:rFonts w:ascii="Calibri" w:hAnsi="Calibri" w:cs="Calibri"/>
          <w:i/>
          <w:iCs/>
          <w:color w:val="000000"/>
        </w:rPr>
        <w:t xml:space="preserve">: smoking </w:t>
      </w:r>
      <w:r>
        <w:rPr>
          <w:rFonts w:ascii="Calibri" w:hAnsi="Calibri" w:cs="Calibri"/>
          <w:i/>
          <w:iCs/>
          <w:color w:val="000000"/>
        </w:rPr>
        <w:t>statu</w:t>
      </w:r>
      <w:r w:rsidRPr="00C37C0D">
        <w:rPr>
          <w:rFonts w:ascii="Calibri" w:hAnsi="Calibri" w:cs="Calibri"/>
          <w:i/>
          <w:iCs/>
          <w:color w:val="000000"/>
        </w:rPr>
        <w:t>s (n=75), geographic origin (n=90), ovulation status (n=58), infertility cause (n=79)</w:t>
      </w:r>
    </w:p>
    <w:p w14:paraId="7F1CC18E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$</w:t>
      </w:r>
      <w:r w:rsidRPr="00C37C0D">
        <w:rPr>
          <w:rFonts w:ascii="Calibri" w:hAnsi="Calibri" w:cs="Calibri"/>
          <w:i/>
          <w:iCs/>
          <w:color w:val="000000"/>
        </w:rPr>
        <w:t xml:space="preserve"> Mature oocyte yield = number of mature oocytes retrieved/number of mature follicles (≥ 15 mm)</w:t>
      </w:r>
    </w:p>
    <w:p w14:paraId="0D3A65B1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sym w:font="Symbol" w:char="F061"/>
      </w:r>
      <w:r>
        <w:rPr>
          <w:rFonts w:ascii="Calibri" w:hAnsi="Calibri" w:cs="Calibri"/>
          <w:i/>
          <w:iCs/>
          <w:color w:val="000000"/>
          <w:vertAlign w:val="superscript"/>
        </w:rPr>
        <w:t xml:space="preserve"> </w:t>
      </w:r>
      <w:r w:rsidRPr="00C37C0D">
        <w:rPr>
          <w:rFonts w:ascii="Calibri" w:hAnsi="Calibri" w:cs="Calibri"/>
          <w:i/>
          <w:iCs/>
        </w:rPr>
        <w:t>Suboptimal mature oocyte yield = mature oocyte yield &lt; 75</w:t>
      </w:r>
      <w:r w:rsidRPr="00BE75EE">
        <w:rPr>
          <w:rFonts w:ascii="Calibri" w:hAnsi="Calibri" w:cs="Calibri"/>
          <w:i/>
          <w:iCs/>
        </w:rPr>
        <w:t>th</w:t>
      </w:r>
      <w:r w:rsidRPr="00C37C0D">
        <w:rPr>
          <w:rFonts w:ascii="Calibri" w:hAnsi="Calibri" w:cs="Calibri"/>
          <w:i/>
          <w:iCs/>
          <w:vertAlign w:val="superscript"/>
        </w:rPr>
        <w:t xml:space="preserve"> </w:t>
      </w:r>
      <w:r w:rsidRPr="00C37C0D">
        <w:rPr>
          <w:rFonts w:ascii="Calibri" w:hAnsi="Calibri" w:cs="Calibri"/>
          <w:i/>
          <w:iCs/>
        </w:rPr>
        <w:t>percentile (&lt; 117%)</w:t>
      </w:r>
    </w:p>
    <w:p w14:paraId="145BE995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k</w:t>
      </w:r>
      <w:r w:rsidRPr="00C37C0D">
        <w:rPr>
          <w:rFonts w:ascii="Calibri" w:hAnsi="Calibri" w:cs="Calibri"/>
          <w:i/>
          <w:iCs/>
          <w:color w:val="000000"/>
        </w:rPr>
        <w:t xml:space="preserve"> Pearson’s χ2</w:t>
      </w:r>
      <w:r>
        <w:rPr>
          <w:rFonts w:ascii="Calibri" w:hAnsi="Calibri" w:cs="Calibri"/>
          <w:i/>
          <w:iCs/>
          <w:color w:val="000000"/>
        </w:rPr>
        <w:t xml:space="preserve"> test</w:t>
      </w:r>
    </w:p>
    <w:p w14:paraId="251CA809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kw</w:t>
      </w:r>
      <w:r w:rsidRPr="00C37C0D">
        <w:rPr>
          <w:rFonts w:ascii="Calibri" w:hAnsi="Calibri" w:cs="Calibri"/>
          <w:i/>
          <w:iCs/>
          <w:color w:val="000000"/>
        </w:rPr>
        <w:t xml:space="preserve"> Kruskal–Wallis test</w:t>
      </w:r>
    </w:p>
    <w:p w14:paraId="57672FDE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a.b.c</w:t>
      </w:r>
      <w:r w:rsidRPr="00C37C0D">
        <w:rPr>
          <w:rFonts w:ascii="Calibri" w:hAnsi="Calibri" w:cs="Calibri"/>
          <w:i/>
          <w:iCs/>
          <w:color w:val="000000"/>
        </w:rPr>
        <w:t xml:space="preserve"> Different superscripts within the same </w:t>
      </w:r>
      <w:r>
        <w:rPr>
          <w:rFonts w:ascii="Calibri" w:hAnsi="Calibri" w:cs="Calibri"/>
          <w:i/>
          <w:iCs/>
          <w:color w:val="000000"/>
        </w:rPr>
        <w:t>row indicate</w:t>
      </w:r>
      <w:r w:rsidRPr="00C37C0D">
        <w:rPr>
          <w:rFonts w:ascii="Calibri" w:hAnsi="Calibri" w:cs="Calibri"/>
          <w:i/>
          <w:iCs/>
          <w:color w:val="000000"/>
        </w:rPr>
        <w:t xml:space="preserve"> statistically significant differences between groups (</w:t>
      </w:r>
      <w:r>
        <w:rPr>
          <w:rFonts w:ascii="Calibri" w:hAnsi="Calibri" w:cs="Calibri"/>
          <w:i/>
          <w:iCs/>
          <w:color w:val="000000"/>
        </w:rPr>
        <w:t xml:space="preserve">p </w:t>
      </w:r>
      <w:r w:rsidRPr="00C37C0D">
        <w:rPr>
          <w:rFonts w:ascii="Calibri" w:hAnsi="Calibri" w:cs="Calibri"/>
          <w:i/>
          <w:iCs/>
          <w:color w:val="000000"/>
        </w:rPr>
        <w:t>&lt;</w:t>
      </w:r>
      <w:r>
        <w:rPr>
          <w:rFonts w:ascii="Calibri" w:hAnsi="Calibri" w:cs="Calibri"/>
          <w:i/>
          <w:iCs/>
          <w:color w:val="000000"/>
        </w:rPr>
        <w:t xml:space="preserve"> </w:t>
      </w:r>
      <w:r w:rsidRPr="00C37C0D">
        <w:rPr>
          <w:rFonts w:ascii="Calibri" w:hAnsi="Calibri" w:cs="Calibri"/>
          <w:i/>
          <w:iCs/>
          <w:color w:val="000000"/>
        </w:rPr>
        <w:t xml:space="preserve">0.05) </w:t>
      </w:r>
    </w:p>
    <w:p w14:paraId="2CA4463E" w14:textId="77777777" w:rsidR="006765F4" w:rsidRDefault="006765F4" w:rsidP="006765F4">
      <w:pPr>
        <w:spacing w:line="480" w:lineRule="auto"/>
        <w:jc w:val="both"/>
      </w:pPr>
    </w:p>
    <w:p w14:paraId="35279642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i/>
          <w:iCs/>
        </w:rPr>
        <w:br w:type="page"/>
      </w:r>
      <w:r w:rsidRPr="00C37C0D">
        <w:rPr>
          <w:rFonts w:ascii="Calibri" w:hAnsi="Calibri" w:cs="Calibri"/>
          <w:b/>
          <w:bCs/>
          <w:color w:val="000000"/>
        </w:rPr>
        <w:lastRenderedPageBreak/>
        <w:t>SUPPLEMENTA</w:t>
      </w:r>
      <w:r>
        <w:rPr>
          <w:rFonts w:ascii="Calibri" w:hAnsi="Calibri" w:cs="Calibri"/>
          <w:b/>
          <w:bCs/>
          <w:color w:val="000000"/>
        </w:rPr>
        <w:t>L</w:t>
      </w:r>
      <w:r w:rsidRPr="00C37C0D">
        <w:rPr>
          <w:rFonts w:ascii="Calibri" w:hAnsi="Calibri" w:cs="Calibri"/>
          <w:b/>
          <w:bCs/>
          <w:color w:val="000000"/>
        </w:rPr>
        <w:t xml:space="preserve"> TABLE </w:t>
      </w:r>
      <w:r>
        <w:rPr>
          <w:rFonts w:ascii="Calibri" w:hAnsi="Calibri" w:cs="Calibri"/>
          <w:b/>
          <w:bCs/>
          <w:color w:val="000000"/>
        </w:rPr>
        <w:t>3</w:t>
      </w:r>
      <w:r w:rsidRPr="00C37C0D">
        <w:rPr>
          <w:rFonts w:ascii="Calibri" w:hAnsi="Calibri" w:cs="Calibri"/>
          <w:b/>
          <w:bCs/>
          <w:color w:val="000000"/>
        </w:rPr>
        <w:t xml:space="preserve"> </w:t>
      </w:r>
    </w:p>
    <w:p w14:paraId="4ABC44BB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 w:rsidRPr="00C37C0D">
        <w:rPr>
          <w:rFonts w:ascii="Calibri" w:hAnsi="Calibri" w:cs="Calibri"/>
          <w:b/>
          <w:color w:val="000000"/>
        </w:rPr>
        <w:t xml:space="preserve">Prognostic factors </w:t>
      </w:r>
      <w:r>
        <w:rPr>
          <w:rFonts w:ascii="Calibri" w:hAnsi="Calibri" w:cs="Calibri"/>
          <w:b/>
          <w:color w:val="000000"/>
        </w:rPr>
        <w:t>for</w:t>
      </w:r>
      <w:r w:rsidRPr="00C37C0D">
        <w:rPr>
          <w:rFonts w:ascii="Calibri" w:hAnsi="Calibri" w:cs="Calibri"/>
          <w:b/>
          <w:color w:val="000000"/>
        </w:rPr>
        <w:t xml:space="preserve"> suboptimal mature oocyte yield</w:t>
      </w:r>
      <w:r>
        <w:rPr>
          <w:rFonts w:ascii="Calibri" w:hAnsi="Calibri" w:cs="Calibri"/>
          <w:b/>
          <w:color w:val="000000"/>
        </w:rPr>
        <w:t>.</w:t>
      </w:r>
      <w:r w:rsidRPr="00C37C0D">
        <w:rPr>
          <w:rFonts w:ascii="Calibri" w:hAnsi="Calibri" w:cs="Calibri"/>
          <w:color w:val="000000"/>
          <w:vertAlign w:val="superscript"/>
        </w:rPr>
        <w:sym w:font="Symbol" w:char="F061"/>
      </w:r>
      <w:r w:rsidRPr="00C37C0D">
        <w:rPr>
          <w:rFonts w:ascii="Calibri" w:hAnsi="Calibri" w:cs="Calibri"/>
          <w:b/>
          <w:color w:val="000000"/>
        </w:rPr>
        <w:t xml:space="preserve"> Univariate analysis</w:t>
      </w:r>
      <w:r>
        <w:rPr>
          <w:rFonts w:ascii="Calibri" w:hAnsi="Calibri" w:cs="Calibri"/>
          <w:b/>
          <w:color w:val="000000"/>
        </w:rPr>
        <w:t>.</w:t>
      </w:r>
    </w:p>
    <w:tbl>
      <w:tblPr>
        <w:tblpPr w:leftFromText="141" w:rightFromText="141" w:vertAnchor="page" w:horzAnchor="margin" w:tblpY="2705"/>
        <w:tblW w:w="9282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4111"/>
        <w:gridCol w:w="1897"/>
        <w:gridCol w:w="1945"/>
        <w:gridCol w:w="1329"/>
      </w:tblGrid>
      <w:tr w:rsidR="006765F4" w:rsidRPr="00C37C0D" w14:paraId="2A26CB4E" w14:textId="77777777" w:rsidTr="00C24625">
        <w:tc>
          <w:tcPr>
            <w:tcW w:w="4111" w:type="dxa"/>
            <w:tcBorders>
              <w:top w:val="single" w:sz="8" w:space="0" w:color="000000"/>
              <w:bottom w:val="single" w:sz="8" w:space="0" w:color="000000"/>
            </w:tcBorders>
          </w:tcPr>
          <w:p w14:paraId="33A5A335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C37C0D">
              <w:rPr>
                <w:rFonts w:ascii="Calibri" w:hAnsi="Calibri" w:cs="Calibri"/>
                <w:b/>
                <w:bCs/>
              </w:rPr>
              <w:t>Characteristics</w:t>
            </w:r>
            <w:r w:rsidRPr="00C37C0D">
              <w:rPr>
                <w:rFonts w:ascii="Calibri" w:hAnsi="Calibri" w:cs="Calibri"/>
              </w:rPr>
              <w:t>*</w:t>
            </w:r>
          </w:p>
        </w:tc>
        <w:tc>
          <w:tcPr>
            <w:tcW w:w="1897" w:type="dxa"/>
            <w:tcBorders>
              <w:top w:val="single" w:sz="8" w:space="0" w:color="000000"/>
              <w:bottom w:val="single" w:sz="8" w:space="0" w:color="000000"/>
            </w:tcBorders>
          </w:tcPr>
          <w:p w14:paraId="747309F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C37C0D">
              <w:rPr>
                <w:rFonts w:ascii="Calibri" w:hAnsi="Calibri" w:cs="Calibri"/>
                <w:b/>
                <w:bCs/>
              </w:rPr>
              <w:t xml:space="preserve">Optimal mature oocyte yield </w:t>
            </w:r>
            <w:r w:rsidRPr="00C37C0D">
              <w:rPr>
                <w:rFonts w:ascii="Calibri" w:hAnsi="Calibri" w:cs="Calibri"/>
                <w:bCs/>
              </w:rPr>
              <w:t>(n=514)</w:t>
            </w:r>
          </w:p>
        </w:tc>
        <w:tc>
          <w:tcPr>
            <w:tcW w:w="1945" w:type="dxa"/>
            <w:tcBorders>
              <w:top w:val="single" w:sz="8" w:space="0" w:color="000000"/>
              <w:bottom w:val="single" w:sz="8" w:space="0" w:color="000000"/>
            </w:tcBorders>
          </w:tcPr>
          <w:p w14:paraId="7C51F6C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C37C0D">
              <w:rPr>
                <w:rFonts w:ascii="Calibri" w:hAnsi="Calibri" w:cs="Calibri"/>
                <w:b/>
                <w:bCs/>
              </w:rPr>
              <w:t>Suboptimal mature oocyte yield</w:t>
            </w:r>
            <w:r w:rsidRPr="00C37C0D">
              <w:rPr>
                <w:rFonts w:ascii="Calibri" w:hAnsi="Calibri" w:cs="Calibri"/>
                <w:vertAlign w:val="superscript"/>
              </w:rPr>
              <w:sym w:font="Symbol" w:char="F061"/>
            </w:r>
            <w:r w:rsidRPr="00C37C0D">
              <w:rPr>
                <w:rFonts w:ascii="Calibri" w:hAnsi="Calibri" w:cs="Calibri"/>
                <w:b/>
                <w:bCs/>
              </w:rPr>
              <w:t xml:space="preserve"> </w:t>
            </w:r>
            <w:r w:rsidRPr="00C37C0D">
              <w:rPr>
                <w:rFonts w:ascii="Calibri" w:hAnsi="Calibri" w:cs="Calibri"/>
                <w:bCs/>
              </w:rPr>
              <w:t>(n=1615)</w:t>
            </w:r>
          </w:p>
        </w:tc>
        <w:tc>
          <w:tcPr>
            <w:tcW w:w="1329" w:type="dxa"/>
            <w:tcBorders>
              <w:top w:val="single" w:sz="8" w:space="0" w:color="000000"/>
              <w:bottom w:val="single" w:sz="8" w:space="0" w:color="000000"/>
            </w:tcBorders>
          </w:tcPr>
          <w:p w14:paraId="6F76584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C37C0D">
              <w:rPr>
                <w:rFonts w:ascii="Calibri" w:hAnsi="Calibri" w:cs="Calibri"/>
                <w:b/>
                <w:bCs/>
              </w:rPr>
              <w:t>p-value</w:t>
            </w:r>
          </w:p>
        </w:tc>
      </w:tr>
      <w:tr w:rsidR="006765F4" w:rsidRPr="00C37C0D" w14:paraId="1EB170B9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D524BE0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Age (years)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4935905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34.7 </w:t>
            </w:r>
            <w:r w:rsidRPr="00C37C0D">
              <w:rPr>
                <w:rFonts w:ascii="Calibri" w:hAnsi="Calibri" w:cs="Calibri"/>
              </w:rPr>
              <w:t>± 4.1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26F01E4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35.1 </w:t>
            </w:r>
            <w:r w:rsidRPr="00C37C0D">
              <w:rPr>
                <w:rFonts w:ascii="Calibri" w:hAnsi="Calibri" w:cs="Calibri"/>
              </w:rPr>
              <w:t>± 4.1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64C618C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  <w:vertAlign w:val="superscript"/>
              </w:rPr>
            </w:pPr>
            <w:r w:rsidRPr="00C37C0D">
              <w:rPr>
                <w:rFonts w:ascii="Calibri" w:hAnsi="Calibri" w:cs="Calibri"/>
                <w:bCs/>
              </w:rPr>
              <w:t xml:space="preserve">0.028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415688C3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183E284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Body </w:t>
            </w:r>
            <w:r>
              <w:rPr>
                <w:rFonts w:ascii="Calibri" w:hAnsi="Calibri" w:cs="Calibri"/>
                <w:bCs/>
              </w:rPr>
              <w:t>m</w:t>
            </w:r>
            <w:r w:rsidRPr="00C37C0D">
              <w:rPr>
                <w:rFonts w:ascii="Calibri" w:hAnsi="Calibri" w:cs="Calibri"/>
                <w:bCs/>
              </w:rPr>
              <w:t xml:space="preserve">ass </w:t>
            </w:r>
            <w:r>
              <w:rPr>
                <w:rFonts w:ascii="Calibri" w:hAnsi="Calibri" w:cs="Calibri"/>
                <w:bCs/>
              </w:rPr>
              <w:t>i</w:t>
            </w:r>
            <w:r w:rsidRPr="00C37C0D">
              <w:rPr>
                <w:rFonts w:ascii="Calibri" w:hAnsi="Calibri" w:cs="Calibri"/>
                <w:bCs/>
              </w:rPr>
              <w:t>ndex (kg/m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2</w:t>
            </w:r>
            <w:r w:rsidRPr="00C37C0D">
              <w:rPr>
                <w:rFonts w:ascii="Calibri" w:hAnsi="Calibri" w:cs="Calibri"/>
                <w:bCs/>
              </w:rPr>
              <w:t xml:space="preserve">)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239CC33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23.5 </w:t>
            </w:r>
            <w:r w:rsidRPr="00C37C0D">
              <w:rPr>
                <w:rFonts w:ascii="Calibri" w:hAnsi="Calibri" w:cs="Calibri"/>
              </w:rPr>
              <w:t>± 4.1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4FF9625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23.8 </w:t>
            </w:r>
            <w:r w:rsidRPr="00C37C0D">
              <w:rPr>
                <w:rFonts w:ascii="Calibri" w:hAnsi="Calibri" w:cs="Calibri"/>
              </w:rPr>
              <w:t>± 4.5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2D3E127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  <w:vertAlign w:val="superscript"/>
              </w:rPr>
            </w:pPr>
            <w:r w:rsidRPr="00C37C0D">
              <w:rPr>
                <w:rFonts w:ascii="Calibri" w:hAnsi="Calibri" w:cs="Calibri"/>
                <w:bCs/>
              </w:rPr>
              <w:t xml:space="preserve">0.278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51540BD0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FC98984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Geographic origin</w:t>
            </w:r>
            <w:r w:rsidRPr="00C37C0D">
              <w:rPr>
                <w:rFonts w:ascii="Calibri" w:hAnsi="Calibri" w:cs="Calibri"/>
              </w:rPr>
              <w:t>*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61AD5D4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52E03BD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F64992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  <w:vertAlign w:val="superscript"/>
              </w:rPr>
            </w:pPr>
            <w:r w:rsidRPr="00C37C0D">
              <w:rPr>
                <w:rFonts w:ascii="Calibri" w:hAnsi="Calibri" w:cs="Calibri"/>
                <w:bCs/>
              </w:rPr>
              <w:t xml:space="preserve">0.202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k</w:t>
            </w:r>
          </w:p>
        </w:tc>
      </w:tr>
      <w:tr w:rsidR="006765F4" w:rsidRPr="00C37C0D" w14:paraId="6CF18922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0560FA5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European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20A2E1B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409 (83.5%)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23B9185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1315 (84.9%)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0EE7C80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7A327247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0926E054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African-Caribbean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3378BD7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61 (12.4%)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A09A55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154 (9.9%)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1F1816E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27961AD9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7C570500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Asian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3167D0E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20 (4.1%)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76C60A2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80 (5.2%)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26806B0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1A55D1AD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4490B89E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Smoking </w:t>
            </w:r>
            <w:r>
              <w:rPr>
                <w:rFonts w:ascii="Calibri" w:hAnsi="Calibri" w:cs="Calibri"/>
                <w:bCs/>
              </w:rPr>
              <w:t>status</w:t>
            </w:r>
            <w:r w:rsidRPr="00C37C0D">
              <w:rPr>
                <w:rFonts w:ascii="Calibri" w:hAnsi="Calibri" w:cs="Calibri"/>
              </w:rPr>
              <w:t>*</w:t>
            </w:r>
            <w:r w:rsidRPr="00C37C0D">
              <w:rPr>
                <w:rFonts w:ascii="Calibri" w:hAnsi="Calibri" w:cs="Calibri"/>
                <w:bCs/>
              </w:rPr>
              <w:t xml:space="preserve">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7F0771A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62 (12.5%)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5BA0990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207 (13.3%)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3B1B1DD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0.651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k</w:t>
            </w:r>
          </w:p>
        </w:tc>
      </w:tr>
      <w:tr w:rsidR="006765F4" w:rsidRPr="00C37C0D" w14:paraId="7282F433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69598F45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Gravidity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2BDA377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0.65 </w:t>
            </w:r>
            <w:r w:rsidRPr="00C37C0D">
              <w:rPr>
                <w:rFonts w:ascii="Calibri" w:hAnsi="Calibri" w:cs="Calibri"/>
              </w:rPr>
              <w:t>± 1.0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6D8E8B3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0.70 </w:t>
            </w:r>
            <w:r w:rsidRPr="00C37C0D">
              <w:rPr>
                <w:rFonts w:ascii="Calibri" w:hAnsi="Calibri" w:cs="Calibri"/>
              </w:rPr>
              <w:t>± 1.0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107EFB7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0.316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124A88C9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4DF4A2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Parity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252C9D4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0.36 </w:t>
            </w:r>
            <w:r w:rsidRPr="00C37C0D">
              <w:rPr>
                <w:rFonts w:ascii="Calibri" w:hAnsi="Calibri" w:cs="Calibri"/>
              </w:rPr>
              <w:t>± 0.6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B9B525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0.37 </w:t>
            </w:r>
            <w:r w:rsidRPr="00C37C0D">
              <w:rPr>
                <w:rFonts w:ascii="Calibri" w:hAnsi="Calibri" w:cs="Calibri"/>
              </w:rPr>
              <w:t>± 0.6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50B386E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0.579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6BA6D89C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506E4416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Type of infertility</w:t>
            </w:r>
            <w:r w:rsidRPr="00C37C0D">
              <w:rPr>
                <w:rFonts w:ascii="Calibri" w:hAnsi="Calibri" w:cs="Calibri"/>
              </w:rPr>
              <w:t>*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3136DB4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20862F9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56DCB20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0.991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k</w:t>
            </w:r>
          </w:p>
        </w:tc>
      </w:tr>
      <w:tr w:rsidR="006765F4" w:rsidRPr="00C37C0D" w14:paraId="732693D5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7AD0D49A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Primary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3879029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341 (66.3%)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156460C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1071 (66.3%)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46E2501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00562B7A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A0255A8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Secondary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369CCA8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173 (33.7%)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8115A6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544 (33.7%)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0CC518D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19C62D0E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04CE8C1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Duration of infertility (years)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02E1EF2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4.4 </w:t>
            </w:r>
            <w:r w:rsidRPr="00C37C0D">
              <w:rPr>
                <w:rFonts w:ascii="Calibri" w:hAnsi="Calibri" w:cs="Calibri"/>
              </w:rPr>
              <w:t>± 2.7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09FAED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4.3 </w:t>
            </w:r>
            <w:r w:rsidRPr="00C37C0D">
              <w:rPr>
                <w:rFonts w:ascii="Calibri" w:hAnsi="Calibri" w:cs="Calibri"/>
              </w:rPr>
              <w:t>± 2.7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903970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0.528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2C15854A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62BB446E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ICSI cycle rank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453D21B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1.4 </w:t>
            </w:r>
            <w:r w:rsidRPr="00C37C0D">
              <w:rPr>
                <w:rFonts w:ascii="Calibri" w:hAnsi="Calibri" w:cs="Calibri"/>
              </w:rPr>
              <w:t>± 0.8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5542C5E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1.4 </w:t>
            </w:r>
            <w:r w:rsidRPr="00C37C0D">
              <w:rPr>
                <w:rFonts w:ascii="Calibri" w:hAnsi="Calibri" w:cs="Calibri"/>
              </w:rPr>
              <w:t>± 0.8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DAE8AF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0.954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175B173B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50A728D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Infertility cause</w:t>
            </w:r>
            <w:r w:rsidRPr="00C37C0D">
              <w:rPr>
                <w:rFonts w:ascii="Calibri" w:hAnsi="Calibri" w:cs="Calibri"/>
              </w:rPr>
              <w:t>*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37D6D2D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4762686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254D08E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0.030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k</w:t>
            </w:r>
          </w:p>
        </w:tc>
      </w:tr>
      <w:tr w:rsidR="006765F4" w:rsidRPr="00C37C0D" w14:paraId="2C75162C" w14:textId="77777777" w:rsidTr="00C24625">
        <w:tc>
          <w:tcPr>
            <w:tcW w:w="4111" w:type="dxa"/>
            <w:tcBorders>
              <w:left w:val="nil"/>
              <w:right w:val="nil"/>
            </w:tcBorders>
            <w:vAlign w:val="bottom"/>
          </w:tcPr>
          <w:p w14:paraId="1C96E457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Male factors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63C2900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192 (39.0%)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A1C661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567 (36.3%)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6E862CE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094BD834" w14:textId="77777777" w:rsidTr="00C24625">
        <w:tc>
          <w:tcPr>
            <w:tcW w:w="4111" w:type="dxa"/>
            <w:tcBorders>
              <w:left w:val="nil"/>
              <w:right w:val="nil"/>
            </w:tcBorders>
            <w:vAlign w:val="bottom"/>
          </w:tcPr>
          <w:p w14:paraId="22E06CD4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 xml:space="preserve">Female factors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16BBC88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236 (48.6%)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D0794E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822 (52.8%)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66E8BA9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051343C4" w14:textId="77777777" w:rsidTr="00C24625">
        <w:tc>
          <w:tcPr>
            <w:tcW w:w="4111" w:type="dxa"/>
            <w:tcBorders>
              <w:left w:val="nil"/>
              <w:right w:val="nil"/>
            </w:tcBorders>
            <w:vAlign w:val="bottom"/>
          </w:tcPr>
          <w:p w14:paraId="3DB1FB16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 xml:space="preserve">Idiopathic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6FFA5DA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61 (12.4%)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72E871C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170 (10.9%)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5A62383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5E53056E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4F1B6901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  <w:vertAlign w:val="superscript"/>
              </w:rPr>
            </w:pPr>
            <w:r w:rsidRPr="00C37C0D">
              <w:rPr>
                <w:rFonts w:ascii="Calibri" w:hAnsi="Calibri" w:cs="Calibri"/>
                <w:bCs/>
              </w:rPr>
              <w:lastRenderedPageBreak/>
              <w:t>Ovarian reserve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69982B0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0DB8437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1016A2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6AC1BD18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32043915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Day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C37C0D">
              <w:rPr>
                <w:rFonts w:ascii="Calibri" w:hAnsi="Calibri" w:cs="Calibri"/>
                <w:bCs/>
              </w:rPr>
              <w:t>3 FSH (IU/L)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670EB89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6.9 </w:t>
            </w:r>
            <w:r w:rsidRPr="00C37C0D">
              <w:rPr>
                <w:rFonts w:ascii="Calibri" w:hAnsi="Calibri" w:cs="Calibri"/>
              </w:rPr>
              <w:t>± 2.2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ACC4A2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7.3 </w:t>
            </w:r>
            <w:r w:rsidRPr="00C37C0D">
              <w:rPr>
                <w:rFonts w:ascii="Calibri" w:hAnsi="Calibri" w:cs="Calibri"/>
              </w:rPr>
              <w:t>± 2.5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4A45971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0.008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283CE2C7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58031F7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Day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C37C0D">
              <w:rPr>
                <w:rFonts w:ascii="Calibri" w:hAnsi="Calibri" w:cs="Calibri"/>
                <w:bCs/>
              </w:rPr>
              <w:t>3 LH (IU/L)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420987F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5.6 </w:t>
            </w:r>
            <w:r w:rsidRPr="00C37C0D">
              <w:rPr>
                <w:rFonts w:ascii="Calibri" w:hAnsi="Calibri" w:cs="Calibri"/>
              </w:rPr>
              <w:t>± 2.5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02B1707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5.3 </w:t>
            </w:r>
            <w:r w:rsidRPr="00C37C0D">
              <w:rPr>
                <w:rFonts w:ascii="Calibri" w:hAnsi="Calibri" w:cs="Calibri"/>
              </w:rPr>
              <w:t>± 2.6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6C342A0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0.004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1AAB813F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42D4B87F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Day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C37C0D">
              <w:rPr>
                <w:rFonts w:ascii="Calibri" w:hAnsi="Calibri" w:cs="Calibri"/>
                <w:bCs/>
              </w:rPr>
              <w:t xml:space="preserve">3 </w:t>
            </w:r>
            <w:r>
              <w:rPr>
                <w:rFonts w:ascii="Calibri" w:hAnsi="Calibri" w:cs="Calibri"/>
                <w:bCs/>
              </w:rPr>
              <w:t>e</w:t>
            </w:r>
            <w:r w:rsidRPr="00C37C0D">
              <w:rPr>
                <w:rFonts w:ascii="Calibri" w:hAnsi="Calibri" w:cs="Calibri"/>
                <w:bCs/>
              </w:rPr>
              <w:t>stradiol (pg/mL)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75B6AF8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49.5 </w:t>
            </w:r>
            <w:r w:rsidRPr="00C37C0D">
              <w:rPr>
                <w:rFonts w:ascii="Calibri" w:hAnsi="Calibri" w:cs="Calibri"/>
              </w:rPr>
              <w:t>± 31.8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7C79EF7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50.8 </w:t>
            </w:r>
            <w:r w:rsidRPr="00C37C0D">
              <w:rPr>
                <w:rFonts w:ascii="Calibri" w:hAnsi="Calibri" w:cs="Calibri"/>
              </w:rPr>
              <w:t>± 38.0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6CE4A56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0.805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 xml:space="preserve"> mw</w:t>
            </w:r>
          </w:p>
        </w:tc>
      </w:tr>
      <w:tr w:rsidR="006765F4" w:rsidRPr="00C37C0D" w14:paraId="2075BF2F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408A1358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AMH (ng/mL)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0C14FF6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3.5 </w:t>
            </w:r>
            <w:r w:rsidRPr="00C37C0D">
              <w:rPr>
                <w:rFonts w:ascii="Calibri" w:hAnsi="Calibri" w:cs="Calibri"/>
              </w:rPr>
              <w:t>± 3.1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1C978DA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2.8 </w:t>
            </w:r>
            <w:r w:rsidRPr="00C37C0D">
              <w:rPr>
                <w:rFonts w:ascii="Calibri" w:hAnsi="Calibri" w:cs="Calibri"/>
              </w:rPr>
              <w:t>± 2.7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D221B1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&lt; 0.001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10BFC08F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60343DB9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AFC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4F30BF4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19.6 </w:t>
            </w:r>
            <w:r w:rsidRPr="00C37C0D">
              <w:rPr>
                <w:rFonts w:ascii="Calibri" w:hAnsi="Calibri" w:cs="Calibri"/>
              </w:rPr>
              <w:t>± 12.4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1C26847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17.3 </w:t>
            </w:r>
            <w:r w:rsidRPr="00C37C0D">
              <w:rPr>
                <w:rFonts w:ascii="Calibri" w:hAnsi="Calibri" w:cs="Calibri"/>
              </w:rPr>
              <w:t>± 11.4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0CB4D79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&lt; 0.001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4621C15A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74AD55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Ovulation status</w:t>
            </w:r>
            <w:r w:rsidRPr="00C37C0D">
              <w:rPr>
                <w:rFonts w:ascii="Calibri" w:hAnsi="Calibri" w:cs="Calibri"/>
              </w:rPr>
              <w:t>*</w:t>
            </w:r>
            <w:r w:rsidRPr="00C37C0D">
              <w:rPr>
                <w:rFonts w:ascii="Calibri" w:hAnsi="Calibri" w:cs="Calibri"/>
                <w:bCs/>
              </w:rPr>
              <w:t xml:space="preserve"> 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7CE8191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6F176C0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0995A1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  <w:vertAlign w:val="superscript"/>
              </w:rPr>
            </w:pPr>
            <w:r w:rsidRPr="00C37C0D">
              <w:rPr>
                <w:rFonts w:ascii="Calibri" w:hAnsi="Calibri" w:cs="Calibri"/>
                <w:bCs/>
              </w:rPr>
              <w:t xml:space="preserve">0.349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k</w:t>
            </w:r>
          </w:p>
        </w:tc>
      </w:tr>
      <w:tr w:rsidR="006765F4" w:rsidRPr="00C37C0D" w14:paraId="1BC1A0A3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18037EED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Normal ovulation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59290CC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439 (87.8%)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16DC47D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1422 (90.5%)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1BBC241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  <w:vertAlign w:val="superscript"/>
              </w:rPr>
            </w:pPr>
          </w:p>
        </w:tc>
      </w:tr>
      <w:tr w:rsidR="006765F4" w:rsidRPr="00C37C0D" w14:paraId="4BD1E8B9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6E3C409D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WHO I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1887B81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5 (1.0%)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29AE9B0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11 (0.8%)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2A7E56B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2481E38D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4ED9E22A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WHO II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17C640B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54 (10.8%)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2BAEB0E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128 (8.1%)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67C5A61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35A52A92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603633A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WHO III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6B027B1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2 (0.4%)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5939051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10 (0.6%)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B84EDD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188CE655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1C5EF863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Synchronization by OCP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026B9D2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296 (57.6%)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7579651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904 (56.0%)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4D2827D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0.521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 xml:space="preserve"> k</w:t>
            </w:r>
          </w:p>
        </w:tc>
      </w:tr>
      <w:tr w:rsidR="006765F4" w:rsidRPr="00C37C0D" w14:paraId="2FDB6317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706CF715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Mean starting gonadotropin dose (IU)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1F4FE74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260.0 </w:t>
            </w:r>
            <w:r w:rsidRPr="00C37C0D">
              <w:rPr>
                <w:rFonts w:ascii="Calibri" w:hAnsi="Calibri" w:cs="Calibri"/>
              </w:rPr>
              <w:t>± 77.1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5768520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277.2 </w:t>
            </w:r>
            <w:r w:rsidRPr="00C37C0D">
              <w:rPr>
                <w:rFonts w:ascii="Calibri" w:hAnsi="Calibri" w:cs="Calibri"/>
              </w:rPr>
              <w:t>± 81.0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581EC79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&lt; 0.001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744CC1EA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0E75398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Mean total gonadotropin dose (IU)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422CD78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2391.3 </w:t>
            </w:r>
            <w:r w:rsidRPr="00C37C0D">
              <w:rPr>
                <w:rFonts w:ascii="Calibri" w:hAnsi="Calibri" w:cs="Calibri"/>
              </w:rPr>
              <w:t>± 922.5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4D54DD3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2557.0 </w:t>
            </w:r>
            <w:r w:rsidRPr="00C37C0D">
              <w:rPr>
                <w:rFonts w:ascii="Calibri" w:hAnsi="Calibri" w:cs="Calibri"/>
              </w:rPr>
              <w:t>± 912.4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4BB8316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&lt; 0.001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39761AF7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3FB82B5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</w:rPr>
              <w:t>Mean cycle duration (days)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1764644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9.4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1.6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0167DB4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9.4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1.4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0854D4D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0.720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55954450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02F5596D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Type of ovulation triggering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197464B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2149A51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214E581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&lt; 0.001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k</w:t>
            </w:r>
          </w:p>
        </w:tc>
      </w:tr>
      <w:tr w:rsidR="006765F4" w:rsidRPr="00C37C0D" w14:paraId="336349CD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5A6A9D7C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GnRH agonist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4728718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258 (50.2%)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7597BC2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651 (40.3%)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59191C6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6B2A81A7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031301A9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hCG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0B336F1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169 (32.9%)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4F3A604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676 (41.9%)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0D8CBC8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24EFDFA8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58BCDD5A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Dual trigger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60849EE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87 (16.9%)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5AD21D7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288 (17.8%)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49C1A55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52C88333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2163F19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Triggering day characteristics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12382B9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0FECEB6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0F0F234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</w:p>
        </w:tc>
      </w:tr>
      <w:tr w:rsidR="006765F4" w:rsidRPr="00C37C0D" w14:paraId="68C02E6B" w14:textId="77777777" w:rsidTr="00C24625">
        <w:tc>
          <w:tcPr>
            <w:tcW w:w="4111" w:type="dxa"/>
            <w:tcBorders>
              <w:left w:val="nil"/>
              <w:right w:val="nil"/>
            </w:tcBorders>
          </w:tcPr>
          <w:p w14:paraId="715E2EC4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LH level (IU/L)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4534FCF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1.4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1.5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1CD9F2B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1.6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1.7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70402B0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0.034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1308DD09" w14:textId="77777777" w:rsidTr="00C24625">
        <w:tc>
          <w:tcPr>
            <w:tcW w:w="4111" w:type="dxa"/>
            <w:tcBorders>
              <w:left w:val="nil"/>
              <w:right w:val="nil"/>
            </w:tcBorders>
            <w:vAlign w:val="bottom"/>
          </w:tcPr>
          <w:p w14:paraId="2FC1AE97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Estradiol level (pg/mL)</w:t>
            </w:r>
          </w:p>
        </w:tc>
        <w:tc>
          <w:tcPr>
            <w:tcW w:w="1897" w:type="dxa"/>
            <w:tcBorders>
              <w:left w:val="nil"/>
              <w:right w:val="nil"/>
            </w:tcBorders>
          </w:tcPr>
          <w:p w14:paraId="3453AA0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2425.4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1727.1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08AE99D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2063.4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1336.1</w:t>
            </w:r>
          </w:p>
        </w:tc>
        <w:tc>
          <w:tcPr>
            <w:tcW w:w="1329" w:type="dxa"/>
            <w:tcBorders>
              <w:left w:val="nil"/>
              <w:right w:val="nil"/>
            </w:tcBorders>
          </w:tcPr>
          <w:p w14:paraId="2D50E25D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&lt; 0.001 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>mw</w:t>
            </w:r>
          </w:p>
        </w:tc>
      </w:tr>
      <w:tr w:rsidR="006765F4" w:rsidRPr="00C37C0D" w14:paraId="7759305C" w14:textId="77777777" w:rsidTr="00C24625"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144E2D" w14:textId="77777777" w:rsidR="006765F4" w:rsidRPr="00C37C0D" w:rsidRDefault="006765F4" w:rsidP="00C24625">
            <w:pPr>
              <w:spacing w:line="480" w:lineRule="auto"/>
              <w:ind w:left="708"/>
              <w:jc w:val="both"/>
              <w:rPr>
                <w:rFonts w:ascii="Calibri" w:hAnsi="Calibri" w:cs="Calibri"/>
              </w:rPr>
            </w:pPr>
            <w:r w:rsidRPr="00C37C0D">
              <w:rPr>
                <w:rFonts w:ascii="Calibri" w:hAnsi="Calibri" w:cs="Calibri"/>
              </w:rPr>
              <w:t>Progesterone level (ng/mL)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07FF1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0.7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0.6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D31BE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 xml:space="preserve">0.8 </w:t>
            </w:r>
            <w:r w:rsidRPr="00C37C0D">
              <w:rPr>
                <w:rFonts w:ascii="Calibri" w:hAnsi="Calibri" w:cs="Calibri"/>
              </w:rPr>
              <w:t xml:space="preserve">± </w:t>
            </w:r>
            <w:r w:rsidRPr="00C37C0D">
              <w:rPr>
                <w:rFonts w:ascii="Calibri" w:hAnsi="Calibri" w:cs="Calibri"/>
                <w:bCs/>
              </w:rPr>
              <w:t>1.2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17BD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Cs/>
              </w:rPr>
            </w:pPr>
            <w:r w:rsidRPr="00C37C0D">
              <w:rPr>
                <w:rFonts w:ascii="Calibri" w:hAnsi="Calibri" w:cs="Calibri"/>
                <w:bCs/>
              </w:rPr>
              <w:t>0.291</w:t>
            </w:r>
            <w:r w:rsidRPr="00C37C0D">
              <w:rPr>
                <w:rFonts w:ascii="Calibri" w:hAnsi="Calibri" w:cs="Calibri"/>
                <w:bCs/>
                <w:vertAlign w:val="superscript"/>
              </w:rPr>
              <w:t xml:space="preserve"> mw</w:t>
            </w:r>
          </w:p>
        </w:tc>
      </w:tr>
    </w:tbl>
    <w:p w14:paraId="33A13548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</w:rPr>
      </w:pPr>
    </w:p>
    <w:p w14:paraId="4A85C85F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Cs/>
          <w:i/>
          <w:color w:val="000000"/>
        </w:rPr>
      </w:pPr>
      <w:r w:rsidRPr="00C37C0D">
        <w:rPr>
          <w:rFonts w:ascii="Calibri" w:hAnsi="Calibri" w:cs="Calibri"/>
          <w:bCs/>
          <w:i/>
        </w:rPr>
        <w:lastRenderedPageBreak/>
        <w:t>Note: ICSI = intracytoplasmic sperm injection</w:t>
      </w:r>
      <w:r w:rsidRPr="00C37C0D">
        <w:rPr>
          <w:rFonts w:ascii="Calibri" w:hAnsi="Calibri" w:cs="Calibri"/>
          <w:bCs/>
          <w:i/>
          <w:color w:val="000000"/>
        </w:rPr>
        <w:t>; FSH = follicle</w:t>
      </w:r>
      <w:r>
        <w:rPr>
          <w:rFonts w:ascii="Calibri" w:hAnsi="Calibri" w:cs="Calibri"/>
          <w:bCs/>
          <w:i/>
          <w:color w:val="000000"/>
        </w:rPr>
        <w:t>-</w:t>
      </w:r>
      <w:r w:rsidRPr="00C37C0D">
        <w:rPr>
          <w:rFonts w:ascii="Calibri" w:hAnsi="Calibri" w:cs="Calibri"/>
          <w:bCs/>
          <w:i/>
          <w:color w:val="000000"/>
        </w:rPr>
        <w:t xml:space="preserve">stimulating hormone; LH= luteinizing hormone; AMH = anti-Müllerian hormone; AFC = antral follicle count; WHO = world health organization </w:t>
      </w:r>
      <w:r w:rsidRPr="00C37C0D">
        <w:rPr>
          <w:rFonts w:ascii="Calibri" w:hAnsi="Calibri" w:cs="Calibri"/>
          <w:bCs/>
          <w:i/>
          <w:color w:val="000000"/>
        </w:rPr>
        <w:fldChar w:fldCharType="begin"/>
      </w:r>
      <w:r w:rsidRPr="00C37C0D">
        <w:rPr>
          <w:rFonts w:ascii="Calibri" w:hAnsi="Calibri" w:cs="Calibri"/>
          <w:bCs/>
          <w:i/>
          <w:color w:val="000000"/>
        </w:rPr>
        <w:instrText xml:space="preserve"> ADDIN ZOTERO_ITEM CSL_CITATION {"citationID":"BJGuc5xG","properties":{"formattedCitation":"(\\uc0\\u8220{}Agents stimulating gonadal function in the human. Report of a WHO scientific group,\\uc0\\u8221{} 1973)","plainCitation":"(“Agents stimulating gonadal function in the human. Report of a WHO scientific group,” 1973)","noteIndex":0},"citationItems":[{"id":2860,"uris":["http://zotero.org/users/2598628/items/C93WEDYA"],"itemData":{"id":2860,"type":"article-journal","container-title":"World Health Organization Technical Report Series","ISSN":"0512-3054","journalAbbreviation":"World Health Organ Tech Rep Ser","language":"eng","note":"PMID: 4632594","page":"1-30","source":"PubMed","title":"Agents stimulating gonadal function in the human. Report of a WHO scientific group","volume":"514","issued":{"date-parts":[["1973"]]}}}],"schema":"https://github.com/citation-style-language/schema/raw/master/csl-citation.json"} </w:instrText>
      </w:r>
      <w:r w:rsidRPr="00C37C0D">
        <w:rPr>
          <w:rFonts w:ascii="Calibri" w:hAnsi="Calibri" w:cs="Calibri"/>
          <w:bCs/>
          <w:i/>
          <w:color w:val="000000"/>
        </w:rPr>
        <w:fldChar w:fldCharType="separate"/>
      </w:r>
      <w:r w:rsidRPr="00C37C0D">
        <w:rPr>
          <w:rFonts w:ascii="Calibri" w:hAnsi="Calibri" w:cs="Calibri"/>
          <w:color w:val="000000"/>
        </w:rPr>
        <w:t>(“Agents stimulating gonadal function in the human. Report of a WHO scientific group,” 1973)</w:t>
      </w:r>
      <w:r w:rsidRPr="00C37C0D">
        <w:rPr>
          <w:rFonts w:ascii="Calibri" w:hAnsi="Calibri" w:cs="Calibri"/>
          <w:bCs/>
          <w:i/>
          <w:color w:val="000000"/>
        </w:rPr>
        <w:fldChar w:fldCharType="end"/>
      </w:r>
      <w:r w:rsidRPr="00C37C0D">
        <w:rPr>
          <w:rFonts w:ascii="Calibri" w:hAnsi="Calibri" w:cs="Calibri"/>
          <w:bCs/>
          <w:i/>
          <w:color w:val="000000"/>
        </w:rPr>
        <w:t>; OCP = oral contraceptive pill; GnRH = gonadotrophin</w:t>
      </w:r>
      <w:r>
        <w:rPr>
          <w:rFonts w:ascii="Calibri" w:hAnsi="Calibri" w:cs="Calibri"/>
          <w:bCs/>
          <w:i/>
          <w:color w:val="000000"/>
        </w:rPr>
        <w:t>-</w:t>
      </w:r>
      <w:r w:rsidRPr="00C37C0D">
        <w:rPr>
          <w:rFonts w:ascii="Calibri" w:hAnsi="Calibri" w:cs="Calibri"/>
          <w:bCs/>
          <w:i/>
          <w:color w:val="000000"/>
        </w:rPr>
        <w:t>releasing hormone; hCG = human chorionic gonadotropin</w:t>
      </w:r>
    </w:p>
    <w:p w14:paraId="0964CDB7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bCs/>
          <w:i/>
          <w:color w:val="000000"/>
        </w:rPr>
        <w:t xml:space="preserve"> </w:t>
      </w:r>
      <w:r w:rsidRPr="00C37C0D">
        <w:rPr>
          <w:rFonts w:ascii="Calibri" w:hAnsi="Calibri" w:cs="Calibri"/>
          <w:bCs/>
          <w:i/>
          <w:color w:val="000000"/>
          <w:vertAlign w:val="superscript"/>
        </w:rPr>
        <w:t xml:space="preserve">* </w:t>
      </w:r>
      <w:r w:rsidRPr="00C37C0D">
        <w:rPr>
          <w:rFonts w:ascii="Calibri" w:hAnsi="Calibri" w:cs="Calibri"/>
          <w:bCs/>
          <w:i/>
          <w:color w:val="000000"/>
        </w:rPr>
        <w:t xml:space="preserve">Continuous data are presented as means ± standard deviations; categorical data are presented as numbers (percentages). </w:t>
      </w:r>
      <w:r>
        <w:rPr>
          <w:rFonts w:ascii="Calibri" w:hAnsi="Calibri" w:cs="Calibri"/>
          <w:i/>
          <w:iCs/>
          <w:color w:val="000000"/>
        </w:rPr>
        <w:t>Missing data</w:t>
      </w:r>
      <w:r w:rsidRPr="00C37C0D">
        <w:rPr>
          <w:rFonts w:ascii="Calibri" w:hAnsi="Calibri" w:cs="Calibri"/>
          <w:i/>
          <w:iCs/>
          <w:color w:val="000000"/>
        </w:rPr>
        <w:t xml:space="preserve">: smoking </w:t>
      </w:r>
      <w:r>
        <w:rPr>
          <w:rFonts w:ascii="Calibri" w:hAnsi="Calibri" w:cs="Calibri"/>
          <w:i/>
          <w:iCs/>
          <w:color w:val="000000"/>
        </w:rPr>
        <w:t>status</w:t>
      </w:r>
      <w:r w:rsidRPr="00C37C0D">
        <w:rPr>
          <w:rFonts w:ascii="Calibri" w:hAnsi="Calibri" w:cs="Calibri"/>
          <w:i/>
          <w:iCs/>
          <w:color w:val="000000"/>
        </w:rPr>
        <w:t xml:space="preserve"> (n=75), geographic origin (n=90), type of infertility (n=</w:t>
      </w:r>
      <w:r w:rsidRPr="00C37C0D">
        <w:rPr>
          <w:rFonts w:ascii="Calibri" w:hAnsi="Calibri" w:cs="Calibri"/>
          <w:color w:val="000000"/>
        </w:rPr>
        <w:t xml:space="preserve">142), </w:t>
      </w:r>
      <w:r w:rsidRPr="00C37C0D">
        <w:rPr>
          <w:rFonts w:ascii="Calibri" w:hAnsi="Calibri" w:cs="Calibri"/>
          <w:i/>
          <w:iCs/>
          <w:color w:val="000000"/>
        </w:rPr>
        <w:t>ovulation status (n=58),</w:t>
      </w:r>
      <w:r>
        <w:rPr>
          <w:rFonts w:ascii="Calibri" w:hAnsi="Calibri" w:cs="Calibri"/>
          <w:i/>
          <w:iCs/>
          <w:color w:val="000000"/>
        </w:rPr>
        <w:t xml:space="preserve"> and</w:t>
      </w:r>
      <w:r w:rsidRPr="00C37C0D">
        <w:rPr>
          <w:rFonts w:ascii="Calibri" w:hAnsi="Calibri" w:cs="Calibri"/>
          <w:i/>
          <w:iCs/>
          <w:color w:val="000000"/>
        </w:rPr>
        <w:t xml:space="preserve"> infertility cause (n=79)</w:t>
      </w:r>
    </w:p>
    <w:p w14:paraId="7B3499DA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Cs/>
          <w:i/>
          <w:color w:val="000000"/>
        </w:rPr>
      </w:pPr>
      <w:r w:rsidRPr="00C37C0D">
        <w:rPr>
          <w:rFonts w:ascii="Calibri" w:hAnsi="Calibri" w:cs="Calibri"/>
          <w:color w:val="000000"/>
          <w:vertAlign w:val="superscript"/>
        </w:rPr>
        <w:sym w:font="Symbol" w:char="F061"/>
      </w:r>
      <w:r w:rsidRPr="00C37C0D">
        <w:rPr>
          <w:rFonts w:ascii="Calibri" w:hAnsi="Calibri" w:cs="Calibri"/>
          <w:color w:val="000000"/>
          <w:vertAlign w:val="superscript"/>
        </w:rPr>
        <w:t xml:space="preserve"> </w:t>
      </w:r>
      <w:r w:rsidRPr="00C37C0D">
        <w:rPr>
          <w:rFonts w:ascii="Calibri" w:hAnsi="Calibri" w:cs="Calibri"/>
          <w:i/>
        </w:rPr>
        <w:t>Suboptimal mature oocyte yield = mature oocyte yield (</w:t>
      </w:r>
      <w:r w:rsidRPr="00C37C0D">
        <w:rPr>
          <w:rFonts w:ascii="Calibri" w:hAnsi="Calibri" w:cs="Calibri"/>
          <w:i/>
          <w:iCs/>
          <w:color w:val="000000"/>
        </w:rPr>
        <w:t xml:space="preserve">number of mature oocytes retrieved/number of mature follicles (≥ 15 mm) </w:t>
      </w:r>
      <w:r w:rsidRPr="00C37C0D">
        <w:rPr>
          <w:rFonts w:ascii="Calibri" w:hAnsi="Calibri" w:cs="Calibri"/>
          <w:i/>
        </w:rPr>
        <w:t>&lt; 75</w:t>
      </w:r>
      <w:r w:rsidRPr="00BE75EE">
        <w:rPr>
          <w:rFonts w:ascii="Calibri" w:hAnsi="Calibri" w:cs="Calibri"/>
          <w:i/>
        </w:rPr>
        <w:t xml:space="preserve">th </w:t>
      </w:r>
      <w:r w:rsidRPr="00C37C0D">
        <w:rPr>
          <w:rFonts w:ascii="Calibri" w:hAnsi="Calibri" w:cs="Calibri"/>
          <w:i/>
        </w:rPr>
        <w:t>percentile (&lt; 117%)</w:t>
      </w:r>
    </w:p>
    <w:p w14:paraId="2BFF3F20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i/>
          <w:color w:val="000000"/>
          <w:vertAlign w:val="superscript"/>
        </w:rPr>
      </w:pPr>
      <w:r w:rsidRPr="00C37C0D">
        <w:rPr>
          <w:rFonts w:ascii="Calibri" w:hAnsi="Calibri" w:cs="Calibri"/>
          <w:i/>
          <w:color w:val="000000"/>
          <w:vertAlign w:val="superscript"/>
        </w:rPr>
        <w:t xml:space="preserve">k </w:t>
      </w:r>
      <w:r w:rsidRPr="00C37C0D">
        <w:rPr>
          <w:rFonts w:ascii="Calibri" w:hAnsi="Calibri" w:cs="Calibri"/>
          <w:i/>
          <w:color w:val="000000"/>
        </w:rPr>
        <w:t xml:space="preserve">Pearson’s Chi-square test </w:t>
      </w:r>
    </w:p>
    <w:p w14:paraId="7A257D12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i/>
          <w:color w:val="000000"/>
        </w:rPr>
      </w:pPr>
      <w:r w:rsidRPr="00C37C0D">
        <w:rPr>
          <w:rFonts w:ascii="Calibri" w:hAnsi="Calibri" w:cs="Calibri"/>
          <w:i/>
          <w:color w:val="000000"/>
          <w:vertAlign w:val="superscript"/>
        </w:rPr>
        <w:t xml:space="preserve">mw </w:t>
      </w:r>
      <w:r w:rsidRPr="00C37C0D">
        <w:rPr>
          <w:rFonts w:ascii="Calibri" w:hAnsi="Calibri" w:cs="Calibri"/>
          <w:i/>
          <w:color w:val="000000"/>
        </w:rPr>
        <w:t>Mann–Whitney test</w:t>
      </w:r>
    </w:p>
    <w:p w14:paraId="0B3C2290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</w:rPr>
      </w:pPr>
    </w:p>
    <w:p w14:paraId="1D06AE14" w14:textId="77777777" w:rsidR="006765F4" w:rsidRDefault="006765F4" w:rsidP="006765F4">
      <w:pPr>
        <w:spacing w:line="480" w:lineRule="auto"/>
        <w:jc w:val="both"/>
      </w:pPr>
    </w:p>
    <w:p w14:paraId="2450FED9" w14:textId="77777777" w:rsidR="006765F4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i/>
          <w:iCs/>
        </w:rPr>
        <w:br w:type="page"/>
      </w:r>
      <w:r w:rsidRPr="00C37C0D">
        <w:rPr>
          <w:rFonts w:ascii="Calibri" w:hAnsi="Calibri" w:cs="Calibri"/>
          <w:b/>
          <w:bCs/>
          <w:color w:val="000000"/>
        </w:rPr>
        <w:lastRenderedPageBreak/>
        <w:t>SUPPLEMENTA</w:t>
      </w:r>
      <w:r>
        <w:rPr>
          <w:rFonts w:ascii="Calibri" w:hAnsi="Calibri" w:cs="Calibri"/>
          <w:b/>
          <w:bCs/>
          <w:color w:val="000000"/>
        </w:rPr>
        <w:t>L</w:t>
      </w:r>
      <w:r w:rsidRPr="00C37C0D">
        <w:rPr>
          <w:rFonts w:ascii="Calibri" w:hAnsi="Calibri" w:cs="Calibri"/>
          <w:b/>
          <w:bCs/>
          <w:color w:val="000000"/>
        </w:rPr>
        <w:t xml:space="preserve"> TABLE </w:t>
      </w:r>
      <w:r>
        <w:rPr>
          <w:rFonts w:ascii="Calibri" w:hAnsi="Calibri" w:cs="Calibri"/>
          <w:b/>
          <w:bCs/>
          <w:color w:val="000000"/>
        </w:rPr>
        <w:t>4</w:t>
      </w:r>
    </w:p>
    <w:p w14:paraId="524D8C8B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/>
          <w:bCs/>
          <w:color w:val="000000"/>
        </w:rPr>
      </w:pPr>
      <w:r w:rsidRPr="00C37C0D">
        <w:rPr>
          <w:rFonts w:ascii="Calibri" w:hAnsi="Calibri" w:cs="Calibri"/>
          <w:b/>
          <w:bCs/>
          <w:color w:val="000000"/>
        </w:rPr>
        <w:t xml:space="preserve">Patient and ICSI cycle characteristics </w:t>
      </w:r>
      <w:r>
        <w:rPr>
          <w:rFonts w:ascii="Calibri" w:hAnsi="Calibri" w:cs="Calibri"/>
          <w:b/>
          <w:bCs/>
          <w:color w:val="000000"/>
        </w:rPr>
        <w:t>by</w:t>
      </w:r>
      <w:r w:rsidRPr="00C37C0D">
        <w:rPr>
          <w:rFonts w:ascii="Calibri" w:hAnsi="Calibri" w:cs="Calibri"/>
          <w:b/>
          <w:bCs/>
          <w:color w:val="000000"/>
        </w:rPr>
        <w:t xml:space="preserve"> type of ovulation triggering in patients with AMH levels ≥ 3.8 ng/mL (75</w:t>
      </w:r>
      <w:r w:rsidRPr="00BE75EE">
        <w:rPr>
          <w:rFonts w:ascii="Calibri" w:hAnsi="Calibri" w:cs="Calibri"/>
          <w:b/>
          <w:bCs/>
          <w:color w:val="000000"/>
        </w:rPr>
        <w:t>th</w:t>
      </w:r>
      <w:r w:rsidRPr="00C37C0D">
        <w:rPr>
          <w:rFonts w:ascii="Calibri" w:hAnsi="Calibri" w:cs="Calibri"/>
          <w:b/>
          <w:bCs/>
          <w:color w:val="000000"/>
          <w:vertAlign w:val="superscript"/>
        </w:rPr>
        <w:t xml:space="preserve"> </w:t>
      </w:r>
      <w:r w:rsidRPr="00C37C0D">
        <w:rPr>
          <w:rFonts w:ascii="Calibri" w:hAnsi="Calibri" w:cs="Calibri"/>
          <w:b/>
          <w:bCs/>
          <w:color w:val="000000"/>
        </w:rPr>
        <w:t>percentile) (n=528). Univariate analysis</w:t>
      </w:r>
      <w:r>
        <w:rPr>
          <w:rFonts w:ascii="Calibri" w:hAnsi="Calibri" w:cs="Calibri"/>
          <w:b/>
          <w:bCs/>
          <w:color w:val="000000"/>
        </w:rPr>
        <w:t>.</w:t>
      </w:r>
      <w:r w:rsidRPr="00C37C0D">
        <w:rPr>
          <w:rFonts w:ascii="Calibri" w:hAnsi="Calibri" w:cs="Calibri"/>
          <w:b/>
          <w:bCs/>
          <w:color w:val="000000"/>
        </w:rPr>
        <w:t xml:space="preserve"> </w:t>
      </w:r>
    </w:p>
    <w:tbl>
      <w:tblPr>
        <w:tblW w:w="5782" w:type="pct"/>
        <w:tblInd w:w="-2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2"/>
        <w:gridCol w:w="2975"/>
        <w:gridCol w:w="1843"/>
        <w:gridCol w:w="1843"/>
        <w:gridCol w:w="1409"/>
      </w:tblGrid>
      <w:tr w:rsidR="006765F4" w:rsidRPr="00C37C0D" w14:paraId="442A0E4E" w14:textId="77777777" w:rsidTr="00C24625">
        <w:trPr>
          <w:trHeight w:val="308"/>
        </w:trPr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041595CE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Characteristics</w:t>
            </w:r>
            <w:r w:rsidRPr="00C37C0D">
              <w:rPr>
                <w:rFonts w:ascii="Calibri" w:hAnsi="Calibri" w:cs="Calibri"/>
                <w:b/>
                <w:bCs/>
                <w:color w:val="000000"/>
                <w:vertAlign w:val="superscript"/>
              </w:rPr>
              <w:t>*</w:t>
            </w:r>
          </w:p>
        </w:tc>
        <w:tc>
          <w:tcPr>
            <w:tcW w:w="3177" w:type="pct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4B20A32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Type of ovulation triggering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</w:tcPr>
          <w:p w14:paraId="3E1EF1A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p-value</w:t>
            </w:r>
          </w:p>
        </w:tc>
      </w:tr>
      <w:tr w:rsidR="006765F4" w:rsidRPr="00C37C0D" w14:paraId="6FFC1161" w14:textId="77777777" w:rsidTr="00C24625">
        <w:trPr>
          <w:trHeight w:val="308"/>
        </w:trPr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1C73905E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  <w:vertAlign w:val="superscript"/>
              </w:rPr>
            </w:pP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8762B4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GnRH agonist</w:t>
            </w:r>
          </w:p>
          <w:p w14:paraId="0868424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(n=348)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369B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hCG</w:t>
            </w:r>
          </w:p>
          <w:p w14:paraId="3DBAAB94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(n=130)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5256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Dual Trigger</w:t>
            </w:r>
          </w:p>
          <w:p w14:paraId="0688DC0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b/>
                <w:bCs/>
                <w:color w:val="000000"/>
              </w:rPr>
              <w:t>(n=50)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EAD5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765F4" w:rsidRPr="00C37C0D" w14:paraId="186B4620" w14:textId="77777777" w:rsidTr="00C24625">
        <w:trPr>
          <w:trHeight w:val="308"/>
        </w:trPr>
        <w:tc>
          <w:tcPr>
            <w:tcW w:w="1151" w:type="pct"/>
            <w:tcBorders>
              <w:top w:val="single" w:sz="4" w:space="0" w:color="auto"/>
            </w:tcBorders>
            <w:noWrap/>
            <w:vAlign w:val="bottom"/>
          </w:tcPr>
          <w:p w14:paraId="3433BA57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Age (years)</w:t>
            </w:r>
          </w:p>
        </w:tc>
        <w:tc>
          <w:tcPr>
            <w:tcW w:w="1419" w:type="pct"/>
            <w:tcBorders>
              <w:top w:val="single" w:sz="4" w:space="0" w:color="auto"/>
            </w:tcBorders>
            <w:noWrap/>
            <w:vAlign w:val="center"/>
          </w:tcPr>
          <w:p w14:paraId="3F805813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33.7</w:t>
            </w:r>
            <w:r w:rsidRPr="00C37C0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C37C0D">
              <w:rPr>
                <w:rFonts w:ascii="Calibri" w:hAnsi="Calibri" w:cs="Calibri"/>
                <w:color w:val="000000"/>
              </w:rPr>
              <w:t>± 4.2</w:t>
            </w:r>
          </w:p>
        </w:tc>
        <w:tc>
          <w:tcPr>
            <w:tcW w:w="879" w:type="pct"/>
            <w:tcBorders>
              <w:top w:val="single" w:sz="4" w:space="0" w:color="auto"/>
            </w:tcBorders>
            <w:vAlign w:val="center"/>
          </w:tcPr>
          <w:p w14:paraId="39BF9AC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33.2 ± 4.4</w:t>
            </w:r>
          </w:p>
        </w:tc>
        <w:tc>
          <w:tcPr>
            <w:tcW w:w="879" w:type="pct"/>
            <w:tcBorders>
              <w:top w:val="single" w:sz="4" w:space="0" w:color="auto"/>
            </w:tcBorders>
            <w:vAlign w:val="center"/>
          </w:tcPr>
          <w:p w14:paraId="06A1C83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34.6 ± 4.1</w:t>
            </w:r>
          </w:p>
        </w:tc>
        <w:tc>
          <w:tcPr>
            <w:tcW w:w="672" w:type="pct"/>
            <w:tcBorders>
              <w:top w:val="single" w:sz="4" w:space="0" w:color="auto"/>
            </w:tcBorders>
            <w:vAlign w:val="center"/>
          </w:tcPr>
          <w:p w14:paraId="078BC75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0.150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0ADE6231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666DF43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AMH (ng/mL)</w:t>
            </w:r>
          </w:p>
        </w:tc>
        <w:tc>
          <w:tcPr>
            <w:tcW w:w="1419" w:type="pct"/>
            <w:noWrap/>
            <w:vAlign w:val="center"/>
          </w:tcPr>
          <w:p w14:paraId="233EE3D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6.6 ± 3.0</w:t>
            </w:r>
          </w:p>
        </w:tc>
        <w:tc>
          <w:tcPr>
            <w:tcW w:w="879" w:type="pct"/>
            <w:vAlign w:val="center"/>
          </w:tcPr>
          <w:p w14:paraId="3EB733E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5.9 ± 2.6</w:t>
            </w:r>
          </w:p>
        </w:tc>
        <w:tc>
          <w:tcPr>
            <w:tcW w:w="879" w:type="pct"/>
            <w:vAlign w:val="center"/>
          </w:tcPr>
          <w:p w14:paraId="154EF060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6.7 ± 6.9</w:t>
            </w:r>
          </w:p>
        </w:tc>
        <w:tc>
          <w:tcPr>
            <w:tcW w:w="672" w:type="pct"/>
            <w:vAlign w:val="center"/>
          </w:tcPr>
          <w:p w14:paraId="106842F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0.072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45725340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10699E76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mature follicle count (&gt; 15mm)</w:t>
            </w:r>
          </w:p>
        </w:tc>
        <w:tc>
          <w:tcPr>
            <w:tcW w:w="1419" w:type="pct"/>
            <w:noWrap/>
            <w:vAlign w:val="center"/>
          </w:tcPr>
          <w:p w14:paraId="3EF0D23C" w14:textId="77777777" w:rsidR="006765F4" w:rsidRPr="00C37C0D" w:rsidDel="008106F4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12.3 ± 4.8</w:t>
            </w:r>
          </w:p>
        </w:tc>
        <w:tc>
          <w:tcPr>
            <w:tcW w:w="879" w:type="pct"/>
            <w:vAlign w:val="center"/>
          </w:tcPr>
          <w:p w14:paraId="37BE1892" w14:textId="77777777" w:rsidR="006765F4" w:rsidRPr="00C37C0D" w:rsidDel="008106F4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7.6 ± 2.7</w:t>
            </w:r>
          </w:p>
        </w:tc>
        <w:tc>
          <w:tcPr>
            <w:tcW w:w="879" w:type="pct"/>
            <w:vAlign w:val="center"/>
          </w:tcPr>
          <w:p w14:paraId="12C16B8A" w14:textId="77777777" w:rsidR="006765F4" w:rsidRPr="00C37C0D" w:rsidDel="008106F4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7.6 ± 2.8</w:t>
            </w:r>
          </w:p>
        </w:tc>
        <w:tc>
          <w:tcPr>
            <w:tcW w:w="672" w:type="pct"/>
            <w:vAlign w:val="center"/>
          </w:tcPr>
          <w:p w14:paraId="2147401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4E4AE3BE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4DF08E1F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Mean number of mature oocytes per cycle </w:t>
            </w:r>
          </w:p>
        </w:tc>
        <w:tc>
          <w:tcPr>
            <w:tcW w:w="1419" w:type="pct"/>
            <w:noWrap/>
            <w:vAlign w:val="center"/>
          </w:tcPr>
          <w:p w14:paraId="20892D3B" w14:textId="77777777" w:rsidR="006765F4" w:rsidRPr="00C37C0D" w:rsidDel="008106F4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11.9 ± 6.1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879" w:type="pct"/>
            <w:vAlign w:val="center"/>
          </w:tcPr>
          <w:p w14:paraId="4998EE79" w14:textId="77777777" w:rsidR="006765F4" w:rsidRPr="00C37C0D" w:rsidDel="008106F4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6.6 ± 4.4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0B018116" w14:textId="77777777" w:rsidR="006765F4" w:rsidRPr="00C37C0D" w:rsidDel="008106F4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6.1 ± 3.4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672" w:type="pct"/>
            <w:vAlign w:val="center"/>
          </w:tcPr>
          <w:p w14:paraId="53C1D66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3FED7459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A0FBDF3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Mean mature oocyte yield (%)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$</w:t>
            </w:r>
          </w:p>
        </w:tc>
        <w:tc>
          <w:tcPr>
            <w:tcW w:w="1419" w:type="pct"/>
            <w:noWrap/>
            <w:vAlign w:val="center"/>
          </w:tcPr>
          <w:p w14:paraId="38F6E985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105.2 ± 57.2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a, b</w:t>
            </w:r>
          </w:p>
        </w:tc>
        <w:tc>
          <w:tcPr>
            <w:tcW w:w="879" w:type="pct"/>
            <w:vAlign w:val="center"/>
          </w:tcPr>
          <w:p w14:paraId="73696FC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91.2 ± 63.3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879" w:type="pct"/>
            <w:vAlign w:val="center"/>
          </w:tcPr>
          <w:p w14:paraId="2EF204A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>82.0 ± 38.4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672" w:type="pct"/>
            <w:vAlign w:val="center"/>
          </w:tcPr>
          <w:p w14:paraId="15AA4388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4A3D02C5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1395602A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Suboptimal mature oocyte yield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sym w:font="Symbol" w:char="F061"/>
            </w:r>
            <w:r w:rsidRPr="00C37C0D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419" w:type="pct"/>
            <w:noWrap/>
            <w:vAlign w:val="center"/>
          </w:tcPr>
          <w:p w14:paraId="6496D8F6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 w:rsidRPr="00C37C0D">
              <w:rPr>
                <w:rFonts w:ascii="Calibri" w:hAnsi="Calibri" w:cs="Calibri"/>
                <w:color w:val="000000"/>
              </w:rPr>
              <w:t>230 (66.1%)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a, b</w:t>
            </w:r>
          </w:p>
        </w:tc>
        <w:tc>
          <w:tcPr>
            <w:tcW w:w="879" w:type="pct"/>
            <w:vAlign w:val="center"/>
          </w:tcPr>
          <w:p w14:paraId="0A0E4DEE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100 (76.9%)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a</w:t>
            </w:r>
          </w:p>
        </w:tc>
        <w:tc>
          <w:tcPr>
            <w:tcW w:w="879" w:type="pct"/>
            <w:vAlign w:val="center"/>
          </w:tcPr>
          <w:p w14:paraId="61D060E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43 (86.0%)</w:t>
            </w:r>
            <w:r w:rsidRPr="00C37C0D">
              <w:rPr>
                <w:rFonts w:ascii="Calibri" w:hAnsi="Calibri" w:cs="Calibri"/>
                <w:color w:val="000000"/>
                <w:vertAlign w:val="superscript"/>
              </w:rPr>
              <w:t xml:space="preserve"> b</w:t>
            </w:r>
          </w:p>
        </w:tc>
        <w:tc>
          <w:tcPr>
            <w:tcW w:w="672" w:type="pct"/>
            <w:vAlign w:val="center"/>
          </w:tcPr>
          <w:p w14:paraId="122255AA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&lt; 0.001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>k</w:t>
            </w:r>
          </w:p>
        </w:tc>
      </w:tr>
      <w:tr w:rsidR="006765F4" w:rsidRPr="00C37C0D" w14:paraId="2D1F5479" w14:textId="77777777" w:rsidTr="00C24625">
        <w:trPr>
          <w:trHeight w:val="308"/>
        </w:trPr>
        <w:tc>
          <w:tcPr>
            <w:tcW w:w="1151" w:type="pct"/>
            <w:noWrap/>
            <w:vAlign w:val="bottom"/>
          </w:tcPr>
          <w:p w14:paraId="21A01942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Fertilization rate (%)</w:t>
            </w:r>
          </w:p>
        </w:tc>
        <w:tc>
          <w:tcPr>
            <w:tcW w:w="1419" w:type="pct"/>
            <w:noWrap/>
            <w:vAlign w:val="center"/>
          </w:tcPr>
          <w:p w14:paraId="15F5BCB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67.6 ± 21.8</w:t>
            </w:r>
          </w:p>
        </w:tc>
        <w:tc>
          <w:tcPr>
            <w:tcW w:w="879" w:type="pct"/>
            <w:vAlign w:val="center"/>
          </w:tcPr>
          <w:p w14:paraId="0F5573C1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67.8 ± 27.4</w:t>
            </w:r>
          </w:p>
        </w:tc>
        <w:tc>
          <w:tcPr>
            <w:tcW w:w="879" w:type="pct"/>
            <w:vAlign w:val="center"/>
          </w:tcPr>
          <w:p w14:paraId="5C465A39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68.0 ± 28.0</w:t>
            </w:r>
          </w:p>
        </w:tc>
        <w:tc>
          <w:tcPr>
            <w:tcW w:w="672" w:type="pct"/>
            <w:vAlign w:val="center"/>
          </w:tcPr>
          <w:p w14:paraId="120035DF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0.754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 xml:space="preserve"> kw</w:t>
            </w:r>
          </w:p>
        </w:tc>
      </w:tr>
      <w:tr w:rsidR="006765F4" w:rsidRPr="00C37C0D" w14:paraId="1C7F94C0" w14:textId="77777777" w:rsidTr="00C24625">
        <w:trPr>
          <w:trHeight w:val="308"/>
        </w:trPr>
        <w:tc>
          <w:tcPr>
            <w:tcW w:w="1151" w:type="pct"/>
            <w:tcBorders>
              <w:bottom w:val="single" w:sz="4" w:space="0" w:color="auto"/>
            </w:tcBorders>
            <w:noWrap/>
            <w:vAlign w:val="bottom"/>
          </w:tcPr>
          <w:p w14:paraId="25F88318" w14:textId="77777777" w:rsidR="006765F4" w:rsidRPr="00C37C0D" w:rsidRDefault="006765F4" w:rsidP="00C24625">
            <w:pPr>
              <w:spacing w:line="480" w:lineRule="auto"/>
              <w:jc w:val="both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Blastocyst formation rate (%)</w:t>
            </w:r>
          </w:p>
        </w:tc>
        <w:tc>
          <w:tcPr>
            <w:tcW w:w="1419" w:type="pct"/>
            <w:tcBorders>
              <w:bottom w:val="single" w:sz="4" w:space="0" w:color="auto"/>
            </w:tcBorders>
            <w:noWrap/>
            <w:vAlign w:val="center"/>
          </w:tcPr>
          <w:p w14:paraId="49CA0117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53.2 ± 26.9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vAlign w:val="center"/>
          </w:tcPr>
          <w:p w14:paraId="6598B33C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54.8 ± 32.5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vAlign w:val="center"/>
          </w:tcPr>
          <w:p w14:paraId="2E20E382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>52.0 ± 33.0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3EC4BC7B" w14:textId="77777777" w:rsidR="006765F4" w:rsidRPr="00C37C0D" w:rsidRDefault="006765F4" w:rsidP="00C24625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  <w:r w:rsidRPr="00C37C0D">
              <w:rPr>
                <w:rFonts w:ascii="Calibri" w:hAnsi="Calibri" w:cs="Calibri"/>
                <w:color w:val="000000"/>
              </w:rPr>
              <w:t xml:space="preserve">0.824 </w:t>
            </w:r>
            <w:r w:rsidRPr="00C37C0D">
              <w:rPr>
                <w:rFonts w:ascii="Calibri" w:hAnsi="Calibri" w:cs="Calibri"/>
                <w:i/>
                <w:iCs/>
                <w:color w:val="000000"/>
                <w:vertAlign w:val="superscript"/>
              </w:rPr>
              <w:t>kw</w:t>
            </w:r>
          </w:p>
        </w:tc>
      </w:tr>
    </w:tbl>
    <w:p w14:paraId="657A49F6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</w:p>
    <w:p w14:paraId="1F7455C2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  <w:vertAlign w:val="superscript"/>
        </w:rPr>
      </w:pPr>
      <w:r w:rsidRPr="00C37C0D">
        <w:rPr>
          <w:rFonts w:ascii="Calibri" w:hAnsi="Calibri" w:cs="Calibri"/>
          <w:i/>
          <w:iCs/>
          <w:color w:val="000000"/>
        </w:rPr>
        <w:t xml:space="preserve">Note: ICSI = intracytoplasmic sperm injection; GnRH = gonadotropin-releasing hormone; hCG = human chorionic gonadotropin; AMH = anti-Müllerian hormone </w:t>
      </w:r>
    </w:p>
    <w:p w14:paraId="4D0AC2D3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*</w:t>
      </w:r>
      <w:r w:rsidRPr="00C37C0D">
        <w:rPr>
          <w:rFonts w:ascii="Calibri" w:hAnsi="Calibri" w:cs="Calibri"/>
          <w:i/>
          <w:iCs/>
          <w:color w:val="000000"/>
        </w:rPr>
        <w:t xml:space="preserve"> Continuous data are presented as mean ± standard deviation and categorical data are</w:t>
      </w:r>
    </w:p>
    <w:p w14:paraId="30E10034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</w:rPr>
        <w:lastRenderedPageBreak/>
        <w:t>presented as number (percentage)</w:t>
      </w:r>
    </w:p>
    <w:p w14:paraId="42D1A5C7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$</w:t>
      </w:r>
      <w:r w:rsidRPr="00C37C0D">
        <w:rPr>
          <w:rFonts w:ascii="Calibri" w:hAnsi="Calibri" w:cs="Calibri"/>
          <w:i/>
          <w:iCs/>
          <w:color w:val="000000"/>
        </w:rPr>
        <w:t xml:space="preserve"> Mature oocyte yield = number of mature oocytes retrieved/number of mature follicles (≥ 15 mm)</w:t>
      </w:r>
    </w:p>
    <w:p w14:paraId="7FD1A9CB" w14:textId="77777777" w:rsidR="006765F4" w:rsidRPr="00C37C0D" w:rsidRDefault="006765F4" w:rsidP="006765F4">
      <w:pPr>
        <w:spacing w:line="480" w:lineRule="auto"/>
        <w:jc w:val="both"/>
        <w:rPr>
          <w:rFonts w:ascii="Calibri" w:hAnsi="Calibri" w:cs="Calibri"/>
          <w:bCs/>
          <w:i/>
          <w:color w:val="000000"/>
        </w:rPr>
      </w:pPr>
      <w:r w:rsidRPr="00C37C0D">
        <w:rPr>
          <w:rFonts w:ascii="Calibri" w:hAnsi="Calibri" w:cs="Calibri"/>
          <w:color w:val="000000"/>
          <w:vertAlign w:val="superscript"/>
        </w:rPr>
        <w:sym w:font="Symbol" w:char="F061"/>
      </w:r>
      <w:r w:rsidRPr="00C37C0D">
        <w:rPr>
          <w:rFonts w:ascii="Calibri" w:hAnsi="Calibri" w:cs="Calibri"/>
          <w:color w:val="000000"/>
          <w:vertAlign w:val="superscript"/>
        </w:rPr>
        <w:t xml:space="preserve"> </w:t>
      </w:r>
      <w:r w:rsidRPr="00C37C0D">
        <w:rPr>
          <w:rFonts w:ascii="Calibri" w:hAnsi="Calibri" w:cs="Calibri"/>
          <w:i/>
        </w:rPr>
        <w:t>Suboptimal mature oocyte yield = mature oocyte yield &lt; 75</w:t>
      </w:r>
      <w:r w:rsidRPr="00BE75EE">
        <w:rPr>
          <w:rFonts w:ascii="Calibri" w:hAnsi="Calibri" w:cs="Calibri"/>
          <w:i/>
        </w:rPr>
        <w:t xml:space="preserve">th </w:t>
      </w:r>
      <w:r w:rsidRPr="00C37C0D">
        <w:rPr>
          <w:rFonts w:ascii="Calibri" w:hAnsi="Calibri" w:cs="Calibri"/>
          <w:i/>
        </w:rPr>
        <w:t>percentile (&lt; 117%)</w:t>
      </w:r>
    </w:p>
    <w:p w14:paraId="296BBD2B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a.b.c</w:t>
      </w:r>
      <w:r w:rsidRPr="00C37C0D">
        <w:rPr>
          <w:rFonts w:ascii="Calibri" w:hAnsi="Calibri" w:cs="Calibri"/>
          <w:i/>
          <w:iCs/>
          <w:color w:val="000000"/>
        </w:rPr>
        <w:t xml:space="preserve"> Different superscripts within the same </w:t>
      </w:r>
      <w:r>
        <w:rPr>
          <w:rFonts w:ascii="Calibri" w:hAnsi="Calibri" w:cs="Calibri"/>
          <w:i/>
          <w:iCs/>
          <w:color w:val="000000"/>
        </w:rPr>
        <w:t>row</w:t>
      </w:r>
      <w:r w:rsidRPr="00C37C0D">
        <w:rPr>
          <w:rFonts w:ascii="Calibri" w:hAnsi="Calibri" w:cs="Calibri"/>
          <w:i/>
          <w:iCs/>
          <w:color w:val="000000"/>
        </w:rPr>
        <w:t xml:space="preserve"> </w:t>
      </w:r>
      <w:r>
        <w:rPr>
          <w:rFonts w:ascii="Calibri" w:hAnsi="Calibri" w:cs="Calibri"/>
          <w:i/>
          <w:iCs/>
          <w:color w:val="000000"/>
        </w:rPr>
        <w:t>indicate</w:t>
      </w:r>
      <w:r w:rsidRPr="00C37C0D">
        <w:rPr>
          <w:rFonts w:ascii="Calibri" w:hAnsi="Calibri" w:cs="Calibri"/>
          <w:i/>
          <w:iCs/>
          <w:color w:val="000000"/>
        </w:rPr>
        <w:t xml:space="preserve"> statistically significant differences between groups (</w:t>
      </w:r>
      <w:r>
        <w:rPr>
          <w:rFonts w:ascii="Calibri" w:hAnsi="Calibri" w:cs="Calibri"/>
          <w:i/>
          <w:iCs/>
          <w:color w:val="000000"/>
        </w:rPr>
        <w:t xml:space="preserve">p </w:t>
      </w:r>
      <w:r w:rsidRPr="00C37C0D">
        <w:rPr>
          <w:rFonts w:ascii="Calibri" w:hAnsi="Calibri" w:cs="Calibri"/>
          <w:i/>
          <w:iCs/>
          <w:color w:val="000000"/>
        </w:rPr>
        <w:t>&lt;</w:t>
      </w:r>
      <w:r>
        <w:rPr>
          <w:rFonts w:ascii="Calibri" w:hAnsi="Calibri" w:cs="Calibri"/>
          <w:i/>
          <w:iCs/>
          <w:color w:val="000000"/>
        </w:rPr>
        <w:t xml:space="preserve"> </w:t>
      </w:r>
      <w:r w:rsidRPr="00C37C0D">
        <w:rPr>
          <w:rFonts w:ascii="Calibri" w:hAnsi="Calibri" w:cs="Calibri"/>
          <w:i/>
          <w:iCs/>
          <w:color w:val="000000"/>
        </w:rPr>
        <w:t xml:space="preserve">0.05) </w:t>
      </w:r>
    </w:p>
    <w:p w14:paraId="2544EE2B" w14:textId="77777777" w:rsidR="006765F4" w:rsidRPr="00C37C0D" w:rsidRDefault="006765F4" w:rsidP="006765F4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000000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k</w:t>
      </w:r>
      <w:r w:rsidRPr="00C37C0D">
        <w:rPr>
          <w:rFonts w:ascii="Calibri" w:hAnsi="Calibri" w:cs="Calibri"/>
          <w:i/>
          <w:iCs/>
          <w:color w:val="000000"/>
        </w:rPr>
        <w:t xml:space="preserve"> Pearson’s χ2</w:t>
      </w:r>
      <w:r>
        <w:rPr>
          <w:rFonts w:ascii="Calibri" w:hAnsi="Calibri" w:cs="Calibri"/>
          <w:i/>
          <w:iCs/>
          <w:color w:val="000000"/>
        </w:rPr>
        <w:t xml:space="preserve"> test</w:t>
      </w:r>
    </w:p>
    <w:p w14:paraId="6071AF67" w14:textId="77777777" w:rsidR="006765F4" w:rsidRPr="00C406F5" w:rsidRDefault="006765F4" w:rsidP="006765F4">
      <w:pPr>
        <w:spacing w:line="480" w:lineRule="auto"/>
        <w:jc w:val="both"/>
        <w:rPr>
          <w:rFonts w:ascii="Calibri" w:hAnsi="Calibri" w:cs="Calibri"/>
        </w:rPr>
      </w:pPr>
      <w:r w:rsidRPr="00C37C0D">
        <w:rPr>
          <w:rFonts w:ascii="Calibri" w:hAnsi="Calibri" w:cs="Calibri"/>
          <w:i/>
          <w:iCs/>
          <w:color w:val="000000"/>
          <w:vertAlign w:val="superscript"/>
        </w:rPr>
        <w:t>kw</w:t>
      </w:r>
      <w:r w:rsidRPr="00C37C0D">
        <w:rPr>
          <w:rFonts w:ascii="Calibri" w:hAnsi="Calibri" w:cs="Calibri"/>
          <w:i/>
          <w:iCs/>
          <w:color w:val="000000"/>
        </w:rPr>
        <w:t xml:space="preserve"> Kruskal–Wallis test</w:t>
      </w:r>
    </w:p>
    <w:p w14:paraId="0D9C01D8" w14:textId="77777777" w:rsidR="009542D6" w:rsidRDefault="009542D6"/>
    <w:sectPr w:rsidR="009542D6" w:rsidSect="006765F4">
      <w:headerReference w:type="even" r:id="rId4"/>
      <w:headerReference w:type="default" r:id="rId5"/>
      <w:pgSz w:w="11900" w:h="16840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2DCB6" w14:textId="77777777" w:rsidR="006765F4" w:rsidRDefault="006765F4" w:rsidP="00140D6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B9E0DF" w14:textId="77777777" w:rsidR="006765F4" w:rsidRDefault="006765F4" w:rsidP="00140D6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EFA1B" w14:textId="77777777" w:rsidR="006765F4" w:rsidRDefault="006765F4" w:rsidP="00140D6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29</w:t>
    </w:r>
    <w:r>
      <w:rPr>
        <w:rStyle w:val="PageNumber"/>
      </w:rPr>
      <w:fldChar w:fldCharType="end"/>
    </w:r>
  </w:p>
  <w:p w14:paraId="7CADBAF1" w14:textId="77777777" w:rsidR="006765F4" w:rsidRDefault="006765F4" w:rsidP="00140D68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5F4"/>
    <w:rsid w:val="00264C10"/>
    <w:rsid w:val="00470242"/>
    <w:rsid w:val="006765F4"/>
    <w:rsid w:val="00726E03"/>
    <w:rsid w:val="009542D6"/>
    <w:rsid w:val="00C4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F3996"/>
  <w15:chartTrackingRefBased/>
  <w15:docId w15:val="{6CF5B471-9305-4883-882C-50DF96CC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5F4"/>
    <w:pPr>
      <w:spacing w:after="0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65F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5F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5F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5F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5F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5F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5F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5F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5F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5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5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5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5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5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5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5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5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5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5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65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5F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65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5F4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65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5F4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65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5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5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5F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765F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5F4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PageNumber">
    <w:name w:val="page number"/>
    <w:uiPriority w:val="99"/>
    <w:semiHidden/>
    <w:unhideWhenUsed/>
    <w:rsid w:val="006765F4"/>
  </w:style>
  <w:style w:type="character" w:styleId="LineNumber">
    <w:name w:val="line number"/>
    <w:basedOn w:val="DefaultParagraphFont"/>
    <w:uiPriority w:val="99"/>
    <w:semiHidden/>
    <w:unhideWhenUsed/>
    <w:rsid w:val="00676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1697</Words>
  <Characters>9252</Characters>
  <Application>Microsoft Office Word</Application>
  <DocSecurity>0</DocSecurity>
  <Lines>298</Lines>
  <Paragraphs>202</Paragraphs>
  <ScaleCrop>false</ScaleCrop>
  <Company/>
  <LinksUpToDate>false</LinksUpToDate>
  <CharactersWithSpaces>10747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2026-02-24T14:47:00Z</dcterms:created>
  <dcterms:modified xsi:type="dcterms:W3CDTF">2026-02-24T14:47:00Z</dcterms:modified>
</cp:coreProperties>
</file>