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8AEFD" w14:textId="77777777" w:rsidR="00902DC9" w:rsidRPr="006F5847" w:rsidRDefault="00902DC9" w:rsidP="00902DC9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sz w:val="26"/>
          <w:szCs w:val="26"/>
        </w:rPr>
      </w:pPr>
    </w:p>
    <w:p w14:paraId="785E037D" w14:textId="77777777" w:rsidR="00902DC9" w:rsidRPr="004F0289" w:rsidRDefault="00902DC9" w:rsidP="00902DC9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sz w:val="26"/>
          <w:szCs w:val="26"/>
          <w:lang w:val="vi-VN"/>
        </w:rPr>
      </w:pPr>
    </w:p>
    <w:p w14:paraId="49B8BBAF" w14:textId="77777777" w:rsidR="00902DC9" w:rsidRPr="00DD3A54" w:rsidRDefault="00902DC9" w:rsidP="00902DC9">
      <w:pPr>
        <w:pStyle w:val="Body"/>
        <w:spacing w:line="360" w:lineRule="auto"/>
        <w:jc w:val="both"/>
        <w:rPr>
          <w:rStyle w:val="None"/>
          <w:rFonts w:ascii="Times New Roman" w:hAnsi="Times New Roman" w:cs="Times New Roman"/>
          <w:b/>
          <w:bCs/>
          <w:sz w:val="26"/>
          <w:szCs w:val="26"/>
          <w:lang w:val="vi-VN"/>
        </w:rPr>
      </w:pPr>
      <w:r>
        <w:rPr>
          <w:rStyle w:val="None"/>
          <w:rFonts w:ascii="Times New Roman" w:hAnsi="Times New Roman" w:cs="Times New Roman"/>
          <w:b/>
          <w:bCs/>
          <w:sz w:val="26"/>
          <w:szCs w:val="26"/>
        </w:rPr>
        <w:t>Su</w:t>
      </w:r>
      <w:r>
        <w:rPr>
          <w:rStyle w:val="None"/>
          <w:rFonts w:ascii="Times New Roman" w:hAnsi="Times New Roman" w:cs="Times New Roman"/>
          <w:b/>
          <w:bCs/>
          <w:sz w:val="26"/>
          <w:szCs w:val="26"/>
          <w:lang w:val="vi-VN"/>
        </w:rPr>
        <w:t>p</w:t>
      </w:r>
      <w:r>
        <w:rPr>
          <w:rStyle w:val="None"/>
          <w:rFonts w:ascii="Times New Roman" w:hAnsi="Times New Roman" w:cs="Times New Roman"/>
          <w:b/>
          <w:bCs/>
          <w:sz w:val="26"/>
          <w:szCs w:val="26"/>
        </w:rPr>
        <w:t>pl</w:t>
      </w:r>
      <w:r>
        <w:rPr>
          <w:rStyle w:val="None"/>
          <w:rFonts w:ascii="Times New Roman" w:hAnsi="Times New Roman" w:cs="Times New Roman"/>
          <w:b/>
          <w:bCs/>
          <w:sz w:val="26"/>
          <w:szCs w:val="26"/>
          <w:lang w:val="vi-VN"/>
        </w:rPr>
        <w:t>e</w:t>
      </w:r>
      <w:proofErr w:type="spellStart"/>
      <w:r>
        <w:rPr>
          <w:rStyle w:val="None"/>
          <w:rFonts w:ascii="Times New Roman" w:hAnsi="Times New Roman" w:cs="Times New Roman"/>
          <w:b/>
          <w:bCs/>
          <w:sz w:val="26"/>
          <w:szCs w:val="26"/>
        </w:rPr>
        <w:t>mentary</w:t>
      </w:r>
      <w:proofErr w:type="spellEnd"/>
      <w:r w:rsidRPr="006F5847">
        <w:rPr>
          <w:rStyle w:val="None"/>
          <w:rFonts w:ascii="Times New Roman" w:hAnsi="Times New Roman" w:cs="Times New Roman"/>
          <w:b/>
          <w:bCs/>
          <w:sz w:val="26"/>
          <w:szCs w:val="26"/>
        </w:rPr>
        <w:t xml:space="preserve"> Table </w:t>
      </w:r>
      <w:r>
        <w:rPr>
          <w:rStyle w:val="None"/>
          <w:rFonts w:ascii="Times New Roman" w:hAnsi="Times New Roman" w:cs="Times New Roman"/>
          <w:b/>
          <w:bCs/>
          <w:sz w:val="26"/>
          <w:szCs w:val="26"/>
          <w:lang w:val="vi-VN"/>
        </w:rPr>
        <w:t>1</w:t>
      </w:r>
      <w:r w:rsidRPr="006F5847">
        <w:rPr>
          <w:rStyle w:val="None"/>
          <w:rFonts w:ascii="Times New Roman" w:hAnsi="Times New Roman" w:cs="Times New Roman"/>
          <w:b/>
          <w:bCs/>
          <w:sz w:val="26"/>
          <w:szCs w:val="26"/>
        </w:rPr>
        <w:t xml:space="preserve">. Biological roles of some highly expressed genes suspected to be related to inflammatory response in labor. </w:t>
      </w:r>
    </w:p>
    <w:tbl>
      <w:tblPr>
        <w:tblW w:w="1460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7513"/>
        <w:gridCol w:w="4677"/>
      </w:tblGrid>
      <w:tr w:rsidR="00902DC9" w:rsidRPr="007062D3" w14:paraId="583D1A59" w14:textId="77777777" w:rsidTr="00DE1091">
        <w:trPr>
          <w:trHeight w:val="319"/>
          <w:tblHeader/>
        </w:trPr>
        <w:tc>
          <w:tcPr>
            <w:tcW w:w="1277" w:type="dxa"/>
          </w:tcPr>
          <w:p w14:paraId="4F050A5B" w14:textId="77777777" w:rsidR="00902DC9" w:rsidRPr="0017749A" w:rsidRDefault="00902DC9" w:rsidP="00DE1091">
            <w:pPr>
              <w:pStyle w:val="Body"/>
              <w:spacing w:line="360" w:lineRule="auto"/>
              <w:jc w:val="center"/>
              <w:rPr>
                <w:rStyle w:val="None"/>
                <w:rFonts w:ascii="Arial Narrow" w:hAnsi="Arial Narrow" w:cs="Arial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B2079" w14:textId="77777777" w:rsidR="00902DC9" w:rsidRPr="0017749A" w:rsidRDefault="00902DC9" w:rsidP="00DE1091">
            <w:pPr>
              <w:pStyle w:val="Body"/>
              <w:spacing w:line="360" w:lineRule="auto"/>
              <w:jc w:val="center"/>
              <w:rPr>
                <w:rFonts w:ascii="Arial Narrow" w:hAnsi="Arial Narrow" w:cs="Arial"/>
              </w:rPr>
            </w:pPr>
            <w:r w:rsidRPr="0017749A">
              <w:rPr>
                <w:rStyle w:val="None"/>
                <w:rFonts w:ascii="Arial Narrow" w:hAnsi="Arial Narrow" w:cs="Arial"/>
              </w:rPr>
              <w:t>Gene</w:t>
            </w:r>
          </w:p>
        </w:tc>
        <w:tc>
          <w:tcPr>
            <w:tcW w:w="75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98C83" w14:textId="77777777" w:rsidR="00902DC9" w:rsidRPr="0017749A" w:rsidRDefault="00902DC9" w:rsidP="00DE1091">
            <w:pPr>
              <w:pStyle w:val="Body"/>
              <w:spacing w:line="360" w:lineRule="auto"/>
              <w:jc w:val="center"/>
              <w:rPr>
                <w:rFonts w:ascii="Arial Narrow" w:hAnsi="Arial Narrow" w:cs="Arial"/>
              </w:rPr>
            </w:pPr>
            <w:r w:rsidRPr="0017749A">
              <w:rPr>
                <w:rStyle w:val="None"/>
                <w:rFonts w:ascii="Arial Narrow" w:hAnsi="Arial Narrow" w:cs="Arial"/>
              </w:rPr>
              <w:t>Role</w:t>
            </w:r>
          </w:p>
        </w:tc>
        <w:tc>
          <w:tcPr>
            <w:tcW w:w="467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04D2B" w14:textId="77777777" w:rsidR="00902DC9" w:rsidRPr="0017749A" w:rsidRDefault="00902DC9" w:rsidP="00DE1091">
            <w:pPr>
              <w:pStyle w:val="Body"/>
              <w:spacing w:line="360" w:lineRule="auto"/>
              <w:jc w:val="center"/>
              <w:rPr>
                <w:rFonts w:ascii="Arial Narrow" w:hAnsi="Arial Narrow" w:cs="Arial"/>
              </w:rPr>
            </w:pPr>
            <w:r w:rsidRPr="0017749A">
              <w:rPr>
                <w:rStyle w:val="None"/>
                <w:rFonts w:ascii="Arial Narrow" w:hAnsi="Arial Narrow" w:cs="Arial"/>
              </w:rPr>
              <w:t>Tissue/Organ Expression</w:t>
            </w:r>
          </w:p>
        </w:tc>
      </w:tr>
      <w:tr w:rsidR="00902DC9" w:rsidRPr="007062D3" w14:paraId="1A101CD4" w14:textId="77777777" w:rsidTr="00DE1091">
        <w:tblPrEx>
          <w:shd w:val="clear" w:color="auto" w:fill="CDD4E9"/>
        </w:tblPrEx>
        <w:trPr>
          <w:trHeight w:val="1268"/>
        </w:trPr>
        <w:tc>
          <w:tcPr>
            <w:tcW w:w="1277" w:type="dxa"/>
            <w:vMerge w:val="restart"/>
          </w:tcPr>
          <w:p w14:paraId="3B28BD39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Style w:val="None"/>
                <w:rFonts w:ascii="Arial Narrow" w:hAnsi="Arial Narrow" w:cs="Arial"/>
                <w:lang w:val="vi-VN"/>
              </w:rPr>
            </w:pPr>
            <w:r w:rsidRPr="0017749A">
              <w:rPr>
                <w:rStyle w:val="None"/>
                <w:rFonts w:ascii="Arial Narrow" w:hAnsi="Arial Narrow" w:cs="Arial"/>
                <w:lang w:val="vi-VN"/>
              </w:rPr>
              <w:t xml:space="preserve">Cluster 1: </w:t>
            </w:r>
            <w:r w:rsidRPr="0017749A">
              <w:rPr>
                <w:rFonts w:ascii="Arial Narrow" w:hAnsi="Arial Narrow" w:cs="Arial" w:hint="eastAsia"/>
              </w:rPr>
              <w:t>Immune Regulation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FF4F9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Fonts w:ascii="Arial Narrow" w:hAnsi="Arial Narrow" w:cs="Arial"/>
              </w:rPr>
            </w:pPr>
            <w:r w:rsidRPr="0017749A">
              <w:rPr>
                <w:rStyle w:val="None"/>
                <w:rFonts w:ascii="Arial Narrow" w:hAnsi="Arial Narrow" w:cs="Arial"/>
              </w:rPr>
              <w:t>LILRA2</w:t>
            </w:r>
          </w:p>
        </w:tc>
        <w:tc>
          <w:tcPr>
            <w:tcW w:w="75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5AFF4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Fonts w:ascii="Arial Narrow" w:hAnsi="Arial Narrow" w:cs="Arial"/>
              </w:rPr>
            </w:pPr>
            <w:r w:rsidRPr="0017749A">
              <w:rPr>
                <w:rStyle w:val="None"/>
                <w:rFonts w:ascii="Arial Narrow" w:hAnsi="Arial Narrow" w:cs="Arial"/>
              </w:rPr>
              <w:t>Activates innate immunity; stimulates neutrophils; regulates IL-6, IL-8, and IL-1β secretion</w:t>
            </w:r>
          </w:p>
        </w:tc>
        <w:tc>
          <w:tcPr>
            <w:tcW w:w="467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BDFA9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Fonts w:ascii="Arial Narrow" w:hAnsi="Arial Narrow" w:cs="Arial"/>
              </w:rPr>
            </w:pPr>
            <w:r w:rsidRPr="0017749A">
              <w:rPr>
                <w:rStyle w:val="None"/>
                <w:rFonts w:ascii="Arial Narrow" w:hAnsi="Arial Narrow" w:cs="Arial"/>
              </w:rPr>
              <w:t>Expressed in monocytes, neutrophils, basophils, and eosinophils in peripheral blood</w:t>
            </w:r>
          </w:p>
        </w:tc>
      </w:tr>
      <w:tr w:rsidR="00902DC9" w:rsidRPr="007062D3" w14:paraId="2716FBC9" w14:textId="77777777" w:rsidTr="00DE1091">
        <w:tblPrEx>
          <w:shd w:val="clear" w:color="auto" w:fill="CDD4E9"/>
        </w:tblPrEx>
        <w:trPr>
          <w:trHeight w:val="1268"/>
        </w:trPr>
        <w:tc>
          <w:tcPr>
            <w:tcW w:w="1277" w:type="dxa"/>
            <w:vMerge/>
          </w:tcPr>
          <w:p w14:paraId="772EC0F6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Style w:val="None"/>
                <w:rFonts w:ascii="Arial Narrow" w:hAnsi="Arial Narrow" w:cs="Arial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D964D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Fonts w:ascii="Arial Narrow" w:hAnsi="Arial Narrow" w:cs="Arial"/>
              </w:rPr>
            </w:pPr>
            <w:r w:rsidRPr="0017749A">
              <w:rPr>
                <w:rFonts w:ascii="Arial Narrow" w:hAnsi="Arial Narrow" w:cs="Arial" w:hint="eastAsia"/>
              </w:rPr>
              <w:t xml:space="preserve">LILRB2 </w:t>
            </w:r>
          </w:p>
        </w:tc>
        <w:tc>
          <w:tcPr>
            <w:tcW w:w="75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BE842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Fonts w:ascii="Arial Narrow" w:hAnsi="Arial Narrow" w:cs="Arial"/>
              </w:rPr>
            </w:pPr>
            <w:r w:rsidRPr="0017749A">
              <w:rPr>
                <w:rFonts w:ascii="Arial Narrow" w:hAnsi="Arial Narrow" w:cs="Arial" w:hint="eastAsia"/>
              </w:rPr>
              <w:t>Inhibitory receptor that binds to MHC Class I</w:t>
            </w:r>
            <w:r w:rsidRPr="0017749A">
              <w:rPr>
                <w:rFonts w:ascii="Arial Narrow" w:hAnsi="Arial Narrow" w:cs="Arial" w:hint="eastAsia"/>
                <w:lang w:val="vi-VN"/>
              </w:rPr>
              <w:t xml:space="preserve">, </w:t>
            </w:r>
            <w:r w:rsidRPr="0017749A">
              <w:rPr>
                <w:rFonts w:ascii="Arial Narrow" w:hAnsi="Arial Narrow" w:cs="Arial" w:hint="eastAsia"/>
              </w:rPr>
              <w:t>molecules</w:t>
            </w:r>
            <w:r w:rsidRPr="0017749A">
              <w:rPr>
                <w:rFonts w:ascii="Arial Narrow" w:hAnsi="Arial Narrow" w:cs="Arial" w:hint="eastAsia"/>
                <w:lang w:val="vi-VN"/>
              </w:rPr>
              <w:t xml:space="preserve">. </w:t>
            </w:r>
            <w:r w:rsidRPr="0017749A">
              <w:rPr>
                <w:rFonts w:ascii="Arial Narrow" w:hAnsi="Arial Narrow" w:cs="Arial" w:hint="eastAsia"/>
              </w:rPr>
              <w:t>Critical for maternal immune tolerance by suppressing NK cell and T cell activation.</w:t>
            </w:r>
          </w:p>
        </w:tc>
        <w:tc>
          <w:tcPr>
            <w:tcW w:w="467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9EF1C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Fonts w:ascii="Arial Narrow" w:hAnsi="Arial Narrow" w:cs="Arial"/>
              </w:rPr>
            </w:pPr>
            <w:r w:rsidRPr="0017749A">
              <w:rPr>
                <w:rFonts w:ascii="Arial Narrow" w:hAnsi="Arial Narrow" w:cs="Arial" w:hint="eastAsia"/>
              </w:rPr>
              <w:t>Leukocytes (monocytes, macrophages, dendritic cells, NK cells), placenta.</w:t>
            </w:r>
            <w:r w:rsidRPr="0017749A" w:rsidDel="00404D7A">
              <w:rPr>
                <w:rStyle w:val="None"/>
                <w:rFonts w:ascii="Arial Narrow" w:hAnsi="Arial Narrow" w:cs="Arial"/>
              </w:rPr>
              <w:t xml:space="preserve"> </w:t>
            </w:r>
          </w:p>
        </w:tc>
      </w:tr>
      <w:tr w:rsidR="00902DC9" w:rsidRPr="0030758F" w14:paraId="505DD239" w14:textId="77777777" w:rsidTr="00DE1091">
        <w:tblPrEx>
          <w:shd w:val="clear" w:color="auto" w:fill="CDD4E9"/>
        </w:tblPrEx>
        <w:trPr>
          <w:trHeight w:val="319"/>
        </w:trPr>
        <w:tc>
          <w:tcPr>
            <w:tcW w:w="1277" w:type="dxa"/>
            <w:vMerge/>
          </w:tcPr>
          <w:p w14:paraId="37C6162D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Style w:val="None"/>
                <w:rFonts w:ascii="Arial Narrow" w:hAnsi="Arial Narrow" w:cs="Arial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D931D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Fonts w:ascii="Arial Narrow" w:hAnsi="Arial Narrow" w:cs="Arial"/>
                <w:lang w:val="vi-VN"/>
              </w:rPr>
            </w:pPr>
            <w:r w:rsidRPr="0017749A">
              <w:rPr>
                <w:rFonts w:ascii="Arial Narrow" w:hAnsi="Arial Narrow" w:cs="Arial" w:hint="eastAsia"/>
              </w:rPr>
              <w:t>LILRB1</w:t>
            </w:r>
          </w:p>
        </w:tc>
        <w:tc>
          <w:tcPr>
            <w:tcW w:w="75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1A669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Fonts w:ascii="Arial Narrow" w:hAnsi="Arial Narrow" w:cs="Arial"/>
              </w:rPr>
            </w:pPr>
            <w:r w:rsidRPr="0017749A">
              <w:rPr>
                <w:rFonts w:ascii="Arial Narrow" w:hAnsi="Arial Narrow" w:cs="Arial" w:hint="eastAsia"/>
              </w:rPr>
              <w:t xml:space="preserve">Inhibitory receptor </w:t>
            </w:r>
            <w:proofErr w:type="gramStart"/>
            <w:r w:rsidRPr="0017749A">
              <w:rPr>
                <w:rFonts w:ascii="Arial Narrow" w:hAnsi="Arial Narrow" w:cs="Arial" w:hint="eastAsia"/>
              </w:rPr>
              <w:t>similar to</w:t>
            </w:r>
            <w:proofErr w:type="gramEnd"/>
            <w:r w:rsidRPr="0017749A">
              <w:rPr>
                <w:rFonts w:ascii="Arial Narrow" w:hAnsi="Arial Narrow" w:cs="Arial" w:hint="eastAsia"/>
              </w:rPr>
              <w:t xml:space="preserve"> LILRB2, also binds to MHC Class I molecules Contributes to immune tolerance and regulation. </w:t>
            </w:r>
          </w:p>
        </w:tc>
        <w:tc>
          <w:tcPr>
            <w:tcW w:w="467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9F30B" w14:textId="77777777" w:rsidR="00902DC9" w:rsidRPr="002A3602" w:rsidRDefault="00902DC9" w:rsidP="00DE1091">
            <w:pPr>
              <w:pStyle w:val="Body"/>
              <w:spacing w:line="360" w:lineRule="auto"/>
              <w:jc w:val="both"/>
              <w:rPr>
                <w:rFonts w:ascii="Arial Narrow" w:hAnsi="Arial Narrow" w:cs="Arial"/>
                <w:lang w:val="fr-FR"/>
              </w:rPr>
            </w:pPr>
            <w:proofErr w:type="spellStart"/>
            <w:r w:rsidRPr="002A3602">
              <w:rPr>
                <w:rFonts w:ascii="Arial Narrow" w:hAnsi="Arial Narrow" w:cs="Arial" w:hint="eastAsia"/>
                <w:lang w:val="fr-FR"/>
              </w:rPr>
              <w:t>Leukocytes</w:t>
            </w:r>
            <w:proofErr w:type="spellEnd"/>
            <w:r w:rsidRPr="002A3602">
              <w:rPr>
                <w:rFonts w:ascii="Arial Narrow" w:hAnsi="Arial Narrow" w:cs="Arial" w:hint="eastAsia"/>
                <w:lang w:val="fr-FR"/>
              </w:rPr>
              <w:t xml:space="preserve"> (B </w:t>
            </w:r>
            <w:proofErr w:type="spellStart"/>
            <w:r w:rsidRPr="002A3602">
              <w:rPr>
                <w:rFonts w:ascii="Arial Narrow" w:hAnsi="Arial Narrow" w:cs="Arial" w:hint="eastAsia"/>
                <w:lang w:val="fr-FR"/>
              </w:rPr>
              <w:t>cells</w:t>
            </w:r>
            <w:proofErr w:type="spellEnd"/>
            <w:r w:rsidRPr="002A3602">
              <w:rPr>
                <w:rFonts w:ascii="Arial Narrow" w:hAnsi="Arial Narrow" w:cs="Arial" w:hint="eastAsia"/>
                <w:lang w:val="fr-FR"/>
              </w:rPr>
              <w:t xml:space="preserve">, T </w:t>
            </w:r>
            <w:proofErr w:type="spellStart"/>
            <w:r w:rsidRPr="002A3602">
              <w:rPr>
                <w:rFonts w:ascii="Arial Narrow" w:hAnsi="Arial Narrow" w:cs="Arial" w:hint="eastAsia"/>
                <w:lang w:val="fr-FR"/>
              </w:rPr>
              <w:t>cells</w:t>
            </w:r>
            <w:proofErr w:type="spellEnd"/>
            <w:r w:rsidRPr="002A3602">
              <w:rPr>
                <w:rFonts w:ascii="Arial Narrow" w:hAnsi="Arial Narrow" w:cs="Arial" w:hint="eastAsia"/>
                <w:lang w:val="fr-FR"/>
              </w:rPr>
              <w:t xml:space="preserve">, NK </w:t>
            </w:r>
            <w:proofErr w:type="spellStart"/>
            <w:r w:rsidRPr="002A3602">
              <w:rPr>
                <w:rFonts w:ascii="Arial Narrow" w:hAnsi="Arial Narrow" w:cs="Arial" w:hint="eastAsia"/>
                <w:lang w:val="fr-FR"/>
              </w:rPr>
              <w:t>cells</w:t>
            </w:r>
            <w:proofErr w:type="spellEnd"/>
            <w:r w:rsidRPr="002A3602">
              <w:rPr>
                <w:rFonts w:ascii="Arial Narrow" w:hAnsi="Arial Narrow" w:cs="Arial" w:hint="eastAsia"/>
                <w:lang w:val="fr-FR"/>
              </w:rPr>
              <w:t>, monocytes), placenta.</w:t>
            </w:r>
          </w:p>
        </w:tc>
      </w:tr>
      <w:tr w:rsidR="00902DC9" w:rsidRPr="007062D3" w14:paraId="1A5DEAE7" w14:textId="77777777" w:rsidTr="00DE1091">
        <w:tblPrEx>
          <w:shd w:val="clear" w:color="auto" w:fill="CDD4E9"/>
        </w:tblPrEx>
        <w:trPr>
          <w:trHeight w:val="319"/>
        </w:trPr>
        <w:tc>
          <w:tcPr>
            <w:tcW w:w="1277" w:type="dxa"/>
          </w:tcPr>
          <w:p w14:paraId="3A56BDC2" w14:textId="77777777" w:rsidR="00902DC9" w:rsidRPr="002A3602" w:rsidRDefault="00902DC9" w:rsidP="00DE1091">
            <w:pPr>
              <w:pStyle w:val="Body"/>
              <w:spacing w:line="360" w:lineRule="auto"/>
              <w:jc w:val="both"/>
              <w:rPr>
                <w:rStyle w:val="None"/>
                <w:rFonts w:ascii="Arial Narrow" w:hAnsi="Arial Narrow" w:cs="Arial"/>
                <w:lang w:val="fr-FR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A8848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Style w:val="None"/>
                <w:rFonts w:ascii="Arial Narrow" w:hAnsi="Arial Narrow" w:cs="Arial"/>
                <w:lang w:val="vi-VN"/>
              </w:rPr>
            </w:pPr>
            <w:r w:rsidRPr="0017749A">
              <w:rPr>
                <w:rFonts w:ascii="Arial Narrow" w:hAnsi="Arial Narrow" w:cs="Arial" w:hint="eastAsia"/>
              </w:rPr>
              <w:t>HLA-A</w:t>
            </w:r>
          </w:p>
        </w:tc>
        <w:tc>
          <w:tcPr>
            <w:tcW w:w="75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AEC9B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Style w:val="None"/>
                <w:rFonts w:ascii="Arial Narrow" w:hAnsi="Arial Narrow" w:cs="Arial"/>
              </w:rPr>
            </w:pPr>
            <w:r w:rsidRPr="0017749A">
              <w:rPr>
                <w:rFonts w:ascii="Arial Narrow" w:hAnsi="Arial Narrow" w:cs="Arial" w:hint="eastAsia"/>
              </w:rPr>
              <w:t xml:space="preserve">Major Histocompatibility Complex (MHC) Class I molecule. crucial for adaptive immune responses. Involved in immune recognition and maternal-fetal tolerance via interactions with KIRs and LILRs. </w:t>
            </w:r>
          </w:p>
        </w:tc>
        <w:tc>
          <w:tcPr>
            <w:tcW w:w="467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239D7F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Style w:val="None"/>
                <w:rFonts w:ascii="Arial Narrow" w:hAnsi="Arial Narrow" w:cs="Arial"/>
                <w:lang w:val="vi-VN"/>
              </w:rPr>
            </w:pPr>
            <w:r w:rsidRPr="0017749A">
              <w:rPr>
                <w:rFonts w:ascii="Arial Narrow" w:hAnsi="Arial Narrow" w:cs="Arial" w:hint="eastAsia"/>
              </w:rPr>
              <w:t>Widely expressed on most nucleated cells, including placental trophoblasts</w:t>
            </w:r>
            <w:r w:rsidRPr="0017749A">
              <w:rPr>
                <w:rFonts w:ascii="Arial Narrow" w:hAnsi="Arial Narrow" w:cs="Arial" w:hint="eastAsia"/>
                <w:lang w:val="vi-VN"/>
              </w:rPr>
              <w:t xml:space="preserve">, </w:t>
            </w:r>
          </w:p>
        </w:tc>
      </w:tr>
      <w:tr w:rsidR="00902DC9" w:rsidRPr="007062D3" w14:paraId="2663D38C" w14:textId="77777777" w:rsidTr="00DE1091">
        <w:tblPrEx>
          <w:shd w:val="clear" w:color="auto" w:fill="CDD4E9"/>
        </w:tblPrEx>
        <w:trPr>
          <w:trHeight w:val="319"/>
        </w:trPr>
        <w:tc>
          <w:tcPr>
            <w:tcW w:w="1277" w:type="dxa"/>
          </w:tcPr>
          <w:p w14:paraId="20096AA0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Style w:val="None"/>
                <w:rFonts w:ascii="Arial Narrow" w:hAnsi="Arial Narrow" w:cs="Arial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C3346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Style w:val="None"/>
                <w:rFonts w:ascii="Arial Narrow" w:hAnsi="Arial Narrow" w:cs="Arial"/>
                <w:lang w:val="vi-VN"/>
              </w:rPr>
            </w:pPr>
            <w:r w:rsidRPr="0017749A">
              <w:rPr>
                <w:rFonts w:ascii="Arial Narrow" w:hAnsi="Arial Narrow" w:cs="Arial" w:hint="eastAsia"/>
              </w:rPr>
              <w:t>HLA-DRB5</w:t>
            </w:r>
          </w:p>
        </w:tc>
        <w:tc>
          <w:tcPr>
            <w:tcW w:w="75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7D248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Style w:val="None"/>
                <w:rFonts w:ascii="Arial Narrow" w:hAnsi="Arial Narrow" w:cs="Arial"/>
              </w:rPr>
            </w:pPr>
            <w:r w:rsidRPr="0017749A">
              <w:rPr>
                <w:rFonts w:ascii="Arial Narrow" w:hAnsi="Arial Narrow" w:cs="Arial" w:hint="eastAsia"/>
              </w:rPr>
              <w:t xml:space="preserve">Major Histocompatibility Complex (MHC) Class II molecule. Presents antigenic peptides to helper T lymphocytes (CD4+ T cells), initiating adaptive immune </w:t>
            </w:r>
            <w:r w:rsidRPr="0017749A">
              <w:rPr>
                <w:rFonts w:ascii="Arial Narrow" w:hAnsi="Arial Narrow" w:cs="Arial" w:hint="eastAsia"/>
              </w:rPr>
              <w:lastRenderedPageBreak/>
              <w:t xml:space="preserve">responses. While HLA-G is primary at interface, HLA-DRB5 variants could impact broader maternal immune regulation. </w:t>
            </w:r>
          </w:p>
        </w:tc>
        <w:tc>
          <w:tcPr>
            <w:tcW w:w="467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AE36E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Style w:val="None"/>
                <w:rFonts w:ascii="Arial Narrow" w:hAnsi="Arial Narrow" w:cs="Arial"/>
              </w:rPr>
            </w:pPr>
            <w:r w:rsidRPr="0017749A">
              <w:rPr>
                <w:rFonts w:ascii="Arial Narrow" w:hAnsi="Arial Narrow" w:cs="Arial" w:hint="eastAsia"/>
              </w:rPr>
              <w:lastRenderedPageBreak/>
              <w:t>Antigen-presenting cells (B cells, macrophages, dendritic cells), placental macrophages.</w:t>
            </w:r>
            <w:r w:rsidRPr="0017749A">
              <w:rPr>
                <w:rStyle w:val="apple-converted-space"/>
                <w:rFonts w:ascii="Arial Narrow" w:hAnsi="Arial Narrow" w:cs="Arial" w:hint="eastAsia"/>
              </w:rPr>
              <w:t> </w:t>
            </w:r>
          </w:p>
        </w:tc>
      </w:tr>
      <w:tr w:rsidR="00902DC9" w:rsidRPr="007062D3" w14:paraId="6670A05E" w14:textId="77777777" w:rsidTr="00DE1091">
        <w:tblPrEx>
          <w:shd w:val="clear" w:color="auto" w:fill="CDD4E9"/>
        </w:tblPrEx>
        <w:trPr>
          <w:trHeight w:val="319"/>
        </w:trPr>
        <w:tc>
          <w:tcPr>
            <w:tcW w:w="1277" w:type="dxa"/>
          </w:tcPr>
          <w:p w14:paraId="5EB75A81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Style w:val="None"/>
                <w:rFonts w:ascii="Arial Narrow" w:hAnsi="Arial Narrow" w:cs="Arial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7ECFE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Style w:val="None"/>
                <w:rFonts w:ascii="Arial Narrow" w:hAnsi="Arial Narrow" w:cs="Arial"/>
                <w:lang w:val="vi-VN"/>
              </w:rPr>
            </w:pPr>
            <w:r w:rsidRPr="0017749A">
              <w:rPr>
                <w:rFonts w:ascii="Arial Narrow" w:hAnsi="Arial Narrow" w:cs="Arial" w:hint="eastAsia"/>
              </w:rPr>
              <w:t>KIR2DL4</w:t>
            </w:r>
          </w:p>
        </w:tc>
        <w:tc>
          <w:tcPr>
            <w:tcW w:w="75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B95DB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Style w:val="None"/>
                <w:rFonts w:ascii="Arial Narrow" w:hAnsi="Arial Narrow" w:cs="Arial"/>
              </w:rPr>
            </w:pPr>
            <w:r w:rsidRPr="0017749A">
              <w:rPr>
                <w:rFonts w:ascii="Arial Narrow" w:hAnsi="Arial Narrow" w:cs="Arial" w:hint="eastAsia"/>
              </w:rPr>
              <w:t>Killer-cell Immunoglobulin-like Receptor with two extracellular Ig domains and a long cytoplasmic tail. Expressed on uterine NK (</w:t>
            </w:r>
            <w:proofErr w:type="spellStart"/>
            <w:r w:rsidRPr="0017749A">
              <w:rPr>
                <w:rFonts w:ascii="Arial Narrow" w:hAnsi="Arial Narrow" w:cs="Arial" w:hint="eastAsia"/>
              </w:rPr>
              <w:t>uNK</w:t>
            </w:r>
            <w:proofErr w:type="spellEnd"/>
            <w:r w:rsidRPr="0017749A">
              <w:rPr>
                <w:rFonts w:ascii="Arial Narrow" w:hAnsi="Arial Narrow" w:cs="Arial" w:hint="eastAsia"/>
              </w:rPr>
              <w:t xml:space="preserve">) cells, it interacts with HLA-G. Involved in modulating </w:t>
            </w:r>
            <w:proofErr w:type="spellStart"/>
            <w:r w:rsidRPr="0017749A">
              <w:rPr>
                <w:rFonts w:ascii="Arial Narrow" w:hAnsi="Arial Narrow" w:cs="Arial" w:hint="eastAsia"/>
              </w:rPr>
              <w:t>uNK</w:t>
            </w:r>
            <w:proofErr w:type="spellEnd"/>
            <w:r w:rsidRPr="0017749A">
              <w:rPr>
                <w:rFonts w:ascii="Arial Narrow" w:hAnsi="Arial Narrow" w:cs="Arial" w:hint="eastAsia"/>
              </w:rPr>
              <w:t xml:space="preserve"> cell function, crucial for trophoblast invasion, spiral artery remodeling, and immune tolerance. </w:t>
            </w:r>
          </w:p>
        </w:tc>
        <w:tc>
          <w:tcPr>
            <w:tcW w:w="467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0B446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Style w:val="None"/>
                <w:rFonts w:ascii="Arial Narrow" w:hAnsi="Arial Narrow" w:cs="Arial"/>
              </w:rPr>
            </w:pPr>
            <w:r w:rsidRPr="0017749A">
              <w:rPr>
                <w:rFonts w:ascii="Arial Narrow" w:hAnsi="Arial Narrow" w:cs="Arial" w:hint="eastAsia"/>
              </w:rPr>
              <w:t>Natural Killer (NK) cells, especially uterine NK (</w:t>
            </w:r>
            <w:proofErr w:type="spellStart"/>
            <w:r w:rsidRPr="0017749A">
              <w:rPr>
                <w:rFonts w:ascii="Arial Narrow" w:hAnsi="Arial Narrow" w:cs="Arial" w:hint="eastAsia"/>
              </w:rPr>
              <w:t>uNK</w:t>
            </w:r>
            <w:proofErr w:type="spellEnd"/>
            <w:r w:rsidRPr="0017749A">
              <w:rPr>
                <w:rFonts w:ascii="Arial Narrow" w:hAnsi="Arial Narrow" w:cs="Arial" w:hint="eastAsia"/>
              </w:rPr>
              <w:t>) cells.</w:t>
            </w:r>
          </w:p>
        </w:tc>
      </w:tr>
      <w:tr w:rsidR="00902DC9" w:rsidRPr="007062D3" w14:paraId="43C10C58" w14:textId="77777777" w:rsidTr="00DE1091">
        <w:tblPrEx>
          <w:shd w:val="clear" w:color="auto" w:fill="CDD4E9"/>
        </w:tblPrEx>
        <w:trPr>
          <w:trHeight w:val="319"/>
        </w:trPr>
        <w:tc>
          <w:tcPr>
            <w:tcW w:w="1277" w:type="dxa"/>
          </w:tcPr>
          <w:p w14:paraId="09C5262B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Style w:val="None"/>
                <w:rFonts w:ascii="Arial Narrow" w:hAnsi="Arial Narrow" w:cs="Arial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56084D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Style w:val="None"/>
                <w:rFonts w:ascii="Arial Narrow" w:hAnsi="Arial Narrow" w:cs="Arial"/>
                <w:lang w:val="vi-VN"/>
              </w:rPr>
            </w:pPr>
            <w:r w:rsidRPr="0017749A">
              <w:rPr>
                <w:rFonts w:ascii="Arial Narrow" w:hAnsi="Arial Narrow" w:cs="Arial" w:hint="eastAsia"/>
              </w:rPr>
              <w:t>SIRPA</w:t>
            </w:r>
          </w:p>
        </w:tc>
        <w:tc>
          <w:tcPr>
            <w:tcW w:w="751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95327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Style w:val="None"/>
                <w:rFonts w:ascii="Arial Narrow" w:hAnsi="Arial Narrow" w:cs="Arial"/>
              </w:rPr>
            </w:pPr>
            <w:r w:rsidRPr="0017749A">
              <w:rPr>
                <w:rFonts w:ascii="Arial Narrow" w:hAnsi="Arial Narrow" w:cs="Arial" w:hint="eastAsia"/>
              </w:rPr>
              <w:t xml:space="preserve">Signal Regulatory Protein Alpha. A transmembrane glycoprotein that modulates phagocytosis and innate immune responses through interaction with CD47 ("don't-eat-me" signal). Influences macrophage function and cell-cell communication, potentially impacting placental development and immune homeostasis. </w:t>
            </w:r>
          </w:p>
        </w:tc>
        <w:tc>
          <w:tcPr>
            <w:tcW w:w="467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7EFA2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Style w:val="None"/>
                <w:rFonts w:ascii="Arial Narrow" w:hAnsi="Arial Narrow" w:cs="Arial"/>
              </w:rPr>
            </w:pPr>
            <w:r w:rsidRPr="0017749A">
              <w:rPr>
                <w:rFonts w:ascii="Arial Narrow" w:hAnsi="Arial Narrow" w:cs="Arial" w:hint="eastAsia"/>
              </w:rPr>
              <w:t>Myeloid cells (macrophages, dendritic cells, granulocytes), neurons, fibroblasts, epithelial cells, placental cells.</w:t>
            </w:r>
          </w:p>
        </w:tc>
      </w:tr>
    </w:tbl>
    <w:p w14:paraId="6003546C" w14:textId="77777777" w:rsidR="00902DC9" w:rsidRDefault="00902DC9" w:rsidP="00902DC9">
      <w:pPr>
        <w:pStyle w:val="Body"/>
        <w:spacing w:line="360" w:lineRule="auto"/>
        <w:jc w:val="both"/>
        <w:rPr>
          <w:rStyle w:val="None"/>
          <w:rFonts w:ascii="Times New Roman" w:hAnsi="Times New Roman" w:cs="Times New Roman"/>
          <w:b/>
          <w:bCs/>
          <w:sz w:val="26"/>
          <w:szCs w:val="26"/>
          <w:lang w:val="vi-VN"/>
        </w:rPr>
      </w:pPr>
    </w:p>
    <w:p w14:paraId="7ACAA5DF" w14:textId="77777777" w:rsidR="00902DC9" w:rsidRPr="004F0289" w:rsidRDefault="00902DC9" w:rsidP="00902DC9">
      <w:pPr>
        <w:pStyle w:val="Body"/>
        <w:spacing w:line="360" w:lineRule="auto"/>
        <w:jc w:val="both"/>
        <w:rPr>
          <w:rStyle w:val="None"/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Style w:val="None"/>
          <w:rFonts w:ascii="Times New Roman" w:hAnsi="Times New Roman" w:cs="Times New Roman"/>
          <w:b/>
          <w:bCs/>
          <w:sz w:val="26"/>
          <w:szCs w:val="26"/>
          <w:lang w:val="vi-VN"/>
        </w:rPr>
        <w:t>S</w:t>
      </w:r>
      <w:r>
        <w:rPr>
          <w:rStyle w:val="None"/>
          <w:rFonts w:ascii="Times New Roman" w:hAnsi="Times New Roman" w:cs="Times New Roman"/>
          <w:b/>
          <w:bCs/>
          <w:sz w:val="26"/>
          <w:szCs w:val="26"/>
        </w:rPr>
        <w:t>u</w:t>
      </w:r>
      <w:r>
        <w:rPr>
          <w:rStyle w:val="None"/>
          <w:rFonts w:ascii="Times New Roman" w:hAnsi="Times New Roman" w:cs="Times New Roman"/>
          <w:b/>
          <w:bCs/>
          <w:sz w:val="26"/>
          <w:szCs w:val="26"/>
          <w:lang w:val="vi-VN"/>
        </w:rPr>
        <w:t>p</w:t>
      </w:r>
      <w:r>
        <w:rPr>
          <w:rStyle w:val="None"/>
          <w:rFonts w:ascii="Times New Roman" w:hAnsi="Times New Roman" w:cs="Times New Roman"/>
          <w:b/>
          <w:bCs/>
          <w:sz w:val="26"/>
          <w:szCs w:val="26"/>
        </w:rPr>
        <w:t>pl</w:t>
      </w:r>
      <w:r>
        <w:rPr>
          <w:rStyle w:val="None"/>
          <w:rFonts w:ascii="Times New Roman" w:hAnsi="Times New Roman" w:cs="Times New Roman"/>
          <w:b/>
          <w:bCs/>
          <w:sz w:val="26"/>
          <w:szCs w:val="26"/>
          <w:lang w:val="vi-VN"/>
        </w:rPr>
        <w:t>e</w:t>
      </w:r>
      <w:proofErr w:type="spellStart"/>
      <w:r>
        <w:rPr>
          <w:rStyle w:val="None"/>
          <w:rFonts w:ascii="Times New Roman" w:hAnsi="Times New Roman" w:cs="Times New Roman"/>
          <w:b/>
          <w:bCs/>
          <w:sz w:val="26"/>
          <w:szCs w:val="26"/>
        </w:rPr>
        <w:t>mentary</w:t>
      </w:r>
      <w:proofErr w:type="spellEnd"/>
      <w:r>
        <w:rPr>
          <w:rStyle w:val="None"/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 table 2</w:t>
      </w:r>
      <w:r w:rsidRPr="006F5847">
        <w:rPr>
          <w:rStyle w:val="None"/>
          <w:rFonts w:ascii="Times New Roman" w:hAnsi="Times New Roman" w:cs="Times New Roman"/>
          <w:b/>
          <w:bCs/>
          <w:sz w:val="26"/>
          <w:szCs w:val="26"/>
        </w:rPr>
        <w:t xml:space="preserve">. Biological roles of some highly expressed genes suspected to be related to </w:t>
      </w:r>
      <w:r>
        <w:rPr>
          <w:rStyle w:val="None"/>
          <w:rFonts w:ascii="Times New Roman" w:hAnsi="Times New Roman" w:cs="Times New Roman"/>
          <w:b/>
          <w:bCs/>
          <w:sz w:val="26"/>
          <w:szCs w:val="26"/>
        </w:rPr>
        <w:t>mucus</w:t>
      </w:r>
      <w:r>
        <w:rPr>
          <w:rStyle w:val="None"/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 gel barrier</w:t>
      </w:r>
      <w:r w:rsidRPr="006F5847">
        <w:rPr>
          <w:rStyle w:val="None"/>
          <w:rFonts w:ascii="Times New Roman" w:hAnsi="Times New Roman" w:cs="Times New Roman"/>
          <w:b/>
          <w:bCs/>
          <w:sz w:val="26"/>
          <w:szCs w:val="26"/>
        </w:rPr>
        <w:t xml:space="preserve"> in labor. </w:t>
      </w:r>
    </w:p>
    <w:tbl>
      <w:tblPr>
        <w:tblW w:w="14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1168"/>
        <w:gridCol w:w="1134"/>
        <w:gridCol w:w="7088"/>
        <w:gridCol w:w="4677"/>
      </w:tblGrid>
      <w:tr w:rsidR="00902DC9" w:rsidRPr="007062D3" w14:paraId="1FE955D5" w14:textId="77777777" w:rsidTr="00DE1091">
        <w:trPr>
          <w:trHeight w:val="319"/>
          <w:tblHeader/>
          <w:jc w:val="center"/>
        </w:trPr>
        <w:tc>
          <w:tcPr>
            <w:tcW w:w="1168" w:type="dxa"/>
          </w:tcPr>
          <w:p w14:paraId="4B4A58C4" w14:textId="77777777" w:rsidR="00902DC9" w:rsidRPr="0017749A" w:rsidRDefault="00902DC9" w:rsidP="00DE1091">
            <w:pPr>
              <w:pStyle w:val="Body"/>
              <w:spacing w:line="360" w:lineRule="auto"/>
              <w:jc w:val="center"/>
              <w:rPr>
                <w:rStyle w:val="None"/>
                <w:rFonts w:ascii="Arial Narrow" w:hAnsi="Arial Narrow" w:cs="Times New Roman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C41AC" w14:textId="77777777" w:rsidR="00902DC9" w:rsidRPr="0017749A" w:rsidRDefault="00902DC9" w:rsidP="00DE1091">
            <w:pPr>
              <w:pStyle w:val="Body"/>
              <w:spacing w:line="360" w:lineRule="auto"/>
              <w:jc w:val="center"/>
              <w:rPr>
                <w:rFonts w:ascii="Arial Narrow" w:hAnsi="Arial Narrow" w:cs="Times New Roman"/>
              </w:rPr>
            </w:pPr>
            <w:r w:rsidRPr="0017749A">
              <w:rPr>
                <w:rStyle w:val="None"/>
                <w:rFonts w:ascii="Arial Narrow" w:hAnsi="Arial Narrow" w:cs="Times New Roman"/>
              </w:rPr>
              <w:t>Gene</w:t>
            </w:r>
          </w:p>
        </w:tc>
        <w:tc>
          <w:tcPr>
            <w:tcW w:w="7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067F5" w14:textId="77777777" w:rsidR="00902DC9" w:rsidRPr="0017749A" w:rsidRDefault="00902DC9" w:rsidP="00DE1091">
            <w:pPr>
              <w:pStyle w:val="Body"/>
              <w:spacing w:line="360" w:lineRule="auto"/>
              <w:jc w:val="center"/>
              <w:rPr>
                <w:rFonts w:ascii="Arial Narrow" w:hAnsi="Arial Narrow" w:cs="Times New Roman"/>
              </w:rPr>
            </w:pPr>
            <w:r w:rsidRPr="0017749A">
              <w:rPr>
                <w:rStyle w:val="None"/>
                <w:rFonts w:ascii="Arial Narrow" w:hAnsi="Arial Narrow" w:cs="Times New Roman"/>
              </w:rPr>
              <w:t>Role</w:t>
            </w:r>
          </w:p>
        </w:tc>
        <w:tc>
          <w:tcPr>
            <w:tcW w:w="467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1013D" w14:textId="77777777" w:rsidR="00902DC9" w:rsidRPr="0017749A" w:rsidRDefault="00902DC9" w:rsidP="00DE1091">
            <w:pPr>
              <w:pStyle w:val="Body"/>
              <w:spacing w:line="360" w:lineRule="auto"/>
              <w:jc w:val="center"/>
              <w:rPr>
                <w:rFonts w:ascii="Arial Narrow" w:hAnsi="Arial Narrow" w:cs="Times New Roman"/>
              </w:rPr>
            </w:pPr>
            <w:r w:rsidRPr="0017749A">
              <w:rPr>
                <w:rStyle w:val="None"/>
                <w:rFonts w:ascii="Arial Narrow" w:hAnsi="Arial Narrow" w:cs="Times New Roman"/>
              </w:rPr>
              <w:t>Tissue/Organ Expression</w:t>
            </w:r>
          </w:p>
        </w:tc>
      </w:tr>
      <w:tr w:rsidR="00902DC9" w:rsidRPr="007062D3" w14:paraId="1DA92B76" w14:textId="77777777" w:rsidTr="00DE1091">
        <w:tblPrEx>
          <w:shd w:val="clear" w:color="auto" w:fill="CDD4E9"/>
        </w:tblPrEx>
        <w:trPr>
          <w:trHeight w:val="1268"/>
          <w:jc w:val="center"/>
        </w:trPr>
        <w:tc>
          <w:tcPr>
            <w:tcW w:w="1168" w:type="dxa"/>
            <w:vMerge w:val="restart"/>
          </w:tcPr>
          <w:p w14:paraId="558E8998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Style w:val="None"/>
                <w:rFonts w:ascii="Arial Narrow" w:hAnsi="Arial Narrow" w:cs="Times New Roman"/>
                <w:lang w:val="vi-VN"/>
              </w:rPr>
            </w:pPr>
            <w:r w:rsidRPr="0017749A">
              <w:rPr>
                <w:rStyle w:val="None"/>
                <w:rFonts w:ascii="Arial Narrow" w:hAnsi="Arial Narrow" w:cs="Times New Roman"/>
                <w:lang w:val="vi-VN"/>
              </w:rPr>
              <w:t>Cluster 2: Mucus barrier</w:t>
            </w: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841756B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Fonts w:ascii="Arial Narrow" w:hAnsi="Arial Narrow" w:cs="Times New Roman"/>
                <w:lang w:val="vi-VN"/>
              </w:rPr>
            </w:pPr>
            <w:r w:rsidRPr="0017749A">
              <w:rPr>
                <w:rFonts w:ascii="Arial Narrow" w:hAnsi="Arial Narrow" w:cs="Times New Roman"/>
              </w:rPr>
              <w:t>MUC6</w:t>
            </w:r>
          </w:p>
        </w:tc>
        <w:tc>
          <w:tcPr>
            <w:tcW w:w="7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42649C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17749A">
              <w:rPr>
                <w:rFonts w:ascii="Arial Narrow" w:hAnsi="Arial Narrow" w:cs="Times New Roman"/>
              </w:rPr>
              <w:t>Encodes a secreted gel-forming mucin. It is a major component of the mucus gel layer that protects epithelial surfaces from acid, proteolysis, and pathogen invasion. In the cervix, it contributes to the viscoelastic properties of the mucus plug.</w:t>
            </w:r>
          </w:p>
        </w:tc>
        <w:tc>
          <w:tcPr>
            <w:tcW w:w="4677" w:type="dxa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1A8D3D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17749A">
              <w:rPr>
                <w:rFonts w:ascii="Arial Narrow" w:hAnsi="Arial Narrow" w:cs="Times New Roman"/>
              </w:rPr>
              <w:t>Endocervical glands (Cervix), Stomach (Pyloric glands), Duodenum.</w:t>
            </w:r>
          </w:p>
        </w:tc>
      </w:tr>
      <w:tr w:rsidR="00902DC9" w:rsidRPr="007062D3" w14:paraId="5A2A0A4D" w14:textId="77777777" w:rsidTr="00DE1091">
        <w:tblPrEx>
          <w:shd w:val="clear" w:color="auto" w:fill="CDD4E9"/>
        </w:tblPrEx>
        <w:trPr>
          <w:trHeight w:val="1268"/>
          <w:jc w:val="center"/>
        </w:trPr>
        <w:tc>
          <w:tcPr>
            <w:tcW w:w="1168" w:type="dxa"/>
            <w:vMerge/>
          </w:tcPr>
          <w:p w14:paraId="7DF52096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Style w:val="None"/>
                <w:rFonts w:ascii="Arial Narrow" w:hAnsi="Arial Narrow" w:cs="Times New Roman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F008B6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Fonts w:ascii="Arial Narrow" w:hAnsi="Arial Narrow" w:cs="Times New Roman"/>
                <w:lang w:val="vi-VN"/>
              </w:rPr>
            </w:pPr>
            <w:r w:rsidRPr="0017749A">
              <w:rPr>
                <w:rFonts w:ascii="Arial Narrow" w:hAnsi="Arial Narrow" w:cs="Times New Roman"/>
              </w:rPr>
              <w:t>MUC16</w:t>
            </w:r>
          </w:p>
        </w:tc>
        <w:tc>
          <w:tcPr>
            <w:tcW w:w="7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8B0F72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17749A">
              <w:rPr>
                <w:rFonts w:ascii="Arial Narrow" w:hAnsi="Arial Narrow" w:cs="Times New Roman"/>
              </w:rPr>
              <w:t>Encodes the largest transmembrane mucin (clinically known as CA-125). It forms a protective glycocalyx barrier on the apical surface of epithelial cells, providing hydration, lubrication, and a steric shield against bacterial adherence and immune attack.</w:t>
            </w:r>
          </w:p>
        </w:tc>
        <w:tc>
          <w:tcPr>
            <w:tcW w:w="4677" w:type="dxa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DC86BE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17749A">
              <w:rPr>
                <w:rFonts w:ascii="Arial Narrow" w:hAnsi="Arial Narrow" w:cs="Times New Roman"/>
              </w:rPr>
              <w:t>Endometrium, Endocervix, Fallopian tubes, Peritoneum, Cornea, Respiratory tract.</w:t>
            </w:r>
          </w:p>
        </w:tc>
      </w:tr>
      <w:tr w:rsidR="00902DC9" w:rsidRPr="007062D3" w14:paraId="046BFBD1" w14:textId="77777777" w:rsidTr="00DE1091">
        <w:tblPrEx>
          <w:shd w:val="clear" w:color="auto" w:fill="CDD4E9"/>
        </w:tblPrEx>
        <w:trPr>
          <w:trHeight w:val="319"/>
          <w:jc w:val="center"/>
        </w:trPr>
        <w:tc>
          <w:tcPr>
            <w:tcW w:w="1168" w:type="dxa"/>
            <w:vMerge/>
          </w:tcPr>
          <w:p w14:paraId="19DA1FAA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Style w:val="None"/>
                <w:rFonts w:ascii="Arial Narrow" w:hAnsi="Arial Narrow" w:cs="Times New Roman"/>
              </w:rPr>
            </w:pPr>
          </w:p>
        </w:tc>
        <w:tc>
          <w:tcPr>
            <w:tcW w:w="1134" w:type="dxa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FFD819E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Fonts w:ascii="Arial Narrow" w:hAnsi="Arial Narrow" w:cs="Times New Roman"/>
                <w:lang w:val="vi-VN"/>
              </w:rPr>
            </w:pPr>
            <w:r w:rsidRPr="0017749A">
              <w:rPr>
                <w:rFonts w:ascii="Arial Narrow" w:hAnsi="Arial Narrow" w:cs="Times New Roman"/>
              </w:rPr>
              <w:t>MUC3A</w:t>
            </w:r>
          </w:p>
        </w:tc>
        <w:tc>
          <w:tcPr>
            <w:tcW w:w="7088" w:type="dxa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626178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17749A">
              <w:rPr>
                <w:rFonts w:ascii="Arial Narrow" w:hAnsi="Arial Narrow" w:cs="Times New Roman"/>
              </w:rPr>
              <w:t xml:space="preserve">Encodes a membrane-bound mucin with epidermal growth factor (EGF)-like domains. It plays a key role in mucosal </w:t>
            </w:r>
            <w:proofErr w:type="spellStart"/>
            <w:r w:rsidRPr="0017749A">
              <w:rPr>
                <w:rFonts w:ascii="Arial Narrow" w:hAnsi="Arial Narrow" w:cs="Times New Roman"/>
              </w:rPr>
              <w:t>cytoprotection</w:t>
            </w:r>
            <w:proofErr w:type="spellEnd"/>
            <w:r w:rsidRPr="0017749A">
              <w:rPr>
                <w:rFonts w:ascii="Arial Narrow" w:hAnsi="Arial Narrow" w:cs="Times New Roman"/>
              </w:rPr>
              <w:t>, maintenance of epithelial integrity, and intracellular signaling to regulate cell survival and repair.</w:t>
            </w:r>
          </w:p>
        </w:tc>
        <w:tc>
          <w:tcPr>
            <w:tcW w:w="4677" w:type="dxa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41EE9E" w14:textId="77777777" w:rsidR="00902DC9" w:rsidRPr="0017749A" w:rsidRDefault="00902DC9" w:rsidP="00DE1091">
            <w:pPr>
              <w:pStyle w:val="Body"/>
              <w:spacing w:line="360" w:lineRule="auto"/>
              <w:jc w:val="both"/>
              <w:rPr>
                <w:rFonts w:ascii="Arial Narrow" w:hAnsi="Arial Narrow" w:cs="Times New Roman"/>
              </w:rPr>
            </w:pPr>
            <w:r w:rsidRPr="0017749A">
              <w:rPr>
                <w:rFonts w:ascii="Arial Narrow" w:hAnsi="Arial Narrow" w:cs="Times New Roman"/>
              </w:rPr>
              <w:t xml:space="preserve">Cervical epithelium, </w:t>
            </w:r>
            <w:proofErr w:type="gramStart"/>
            <w:r w:rsidRPr="0017749A">
              <w:rPr>
                <w:rFonts w:ascii="Arial Narrow" w:hAnsi="Arial Narrow" w:cs="Times New Roman"/>
              </w:rPr>
              <w:t>Small</w:t>
            </w:r>
            <w:proofErr w:type="gramEnd"/>
            <w:r w:rsidRPr="0017749A">
              <w:rPr>
                <w:rFonts w:ascii="Arial Narrow" w:hAnsi="Arial Narrow" w:cs="Times New Roman"/>
              </w:rPr>
              <w:t xml:space="preserve"> intestine, Colon, Gallbladder.</w:t>
            </w:r>
          </w:p>
        </w:tc>
      </w:tr>
    </w:tbl>
    <w:p w14:paraId="3DA8414A" w14:textId="77777777" w:rsidR="00902DC9" w:rsidRPr="0017749A" w:rsidRDefault="00902DC9" w:rsidP="00902DC9">
      <w:pPr>
        <w:pStyle w:val="Body"/>
        <w:spacing w:line="360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</w:p>
    <w:p w14:paraId="153EF59B" w14:textId="77777777" w:rsidR="00ED540A" w:rsidRDefault="00ED540A"/>
    <w:sectPr w:rsidR="00ED540A" w:rsidSect="00902DC9">
      <w:pgSz w:w="15840" w:h="12240" w:orient="landscape"/>
      <w:pgMar w:top="1440" w:right="1440" w:bottom="1440" w:left="1440" w:header="708" w:footer="70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DC9"/>
    <w:rsid w:val="00291DCC"/>
    <w:rsid w:val="00902DC9"/>
    <w:rsid w:val="00AD288E"/>
    <w:rsid w:val="00BE797C"/>
    <w:rsid w:val="00ED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A473400"/>
  <w15:chartTrackingRefBased/>
  <w15:docId w15:val="{524512B7-21E7-DD43-BE68-97B427A46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DC9"/>
    <w:pPr>
      <w:spacing w:after="0" w:line="240" w:lineRule="auto"/>
    </w:pPr>
    <w:rPr>
      <w:rFonts w:ascii="Times New Roman" w:eastAsia="Times New Roman" w:hAnsi="Times New Roman" w:cs="Times New Roman"/>
      <w:kern w:val="0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2DC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V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DC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V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DC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V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DC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V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DC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V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DC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V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DC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V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DC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V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DC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V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D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D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D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D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D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D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D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D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D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2D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V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0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DC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V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02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2DC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V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02D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2DC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V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02D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D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V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D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2DC9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902D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None">
    <w:name w:val="None"/>
    <w:rsid w:val="00902DC9"/>
  </w:style>
  <w:style w:type="character" w:customStyle="1" w:styleId="apple-converted-space">
    <w:name w:val="apple-converted-space"/>
    <w:basedOn w:val="DefaultParagraphFont"/>
    <w:rsid w:val="00902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506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TrungThanh</dc:creator>
  <cp:keywords/>
  <dc:description/>
  <cp:lastModifiedBy>Tran TrungThanh</cp:lastModifiedBy>
  <cp:revision>1</cp:revision>
  <dcterms:created xsi:type="dcterms:W3CDTF">2026-03-08T02:15:00Z</dcterms:created>
  <dcterms:modified xsi:type="dcterms:W3CDTF">2026-03-08T02:16:00Z</dcterms:modified>
</cp:coreProperties>
</file>