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88611C" w14:textId="77777777" w:rsidR="00E06BD8" w:rsidRDefault="00E06BD8" w:rsidP="00E06BD8">
      <w:pPr>
        <w:pStyle w:val="Heading1"/>
      </w:pPr>
      <w:r>
        <w:rPr>
          <w:rFonts w:ascii="Arial" w:eastAsia="Arial" w:hAnsi="Arial" w:cs="Arial"/>
          <w:b/>
          <w:bCs/>
          <w:sz w:val="28"/>
          <w:szCs w:val="28"/>
        </w:rPr>
        <w:t>Appendix B: 3D Cylindrical Phantom Validation</w:t>
      </w:r>
    </w:p>
    <w:p w14:paraId="52026149" w14:textId="77777777" w:rsidR="00E06BD8" w:rsidRDefault="00E06BD8" w:rsidP="00E06BD8">
      <w:pPr>
        <w:spacing w:after="200" w:line="276" w:lineRule="auto"/>
        <w:ind w:firstLine="360"/>
        <w:jc w:val="both"/>
      </w:pPr>
      <w:r>
        <w:t>To assess the geometry-dependence of the vascular waveguide effect, we performed 3D FDTD simulations using a cylindrical multi-layer phantom on an NVIDIA A100 GPU. The phantom comprised 9 concentric cylindrical layers (skin, fat, muscle, intercostal muscle, rib, lung, pericardium, blood, myocardium) with identical tissue properties and cardiovascular state definitions as the 1D model (Table 1). The computational domain comprised approximately 3.2 million cells with 2 mm isotropic resolution, and simulations ran for 50 RF cycles at 0.9 GHz to ensure steady-state convergence.</w:t>
      </w:r>
    </w:p>
    <w:p w14:paraId="405B1FEF" w14:textId="77777777" w:rsidR="00E06BD8" w:rsidRDefault="00E06BD8" w:rsidP="00E06BD8">
      <w:pPr>
        <w:spacing w:after="200" w:line="276" w:lineRule="auto"/>
        <w:ind w:firstLine="360"/>
        <w:jc w:val="both"/>
      </w:pPr>
      <w:r>
        <w:t>Results are summarized in Table B1. The vasoconstriction SAR modulation factor (1.165) matched the 1D prediction (1.14) within 2.2%, confirming that the stress paradox is not an artifact of the planar geometry. The vasodilation modulation factor (0.781) was substantially smaller than the 1D prediction (0.50), with the E-field modulation showing 30% deviation. This difference has a clear physical interpretation: in the cylindrical geometry, electromagnetic waves can diffract around the phantom surface, providing alternative propagation paths that partially bypass the enhanced superficial absorption during vasodilation. This diffraction mechanism does not exist in the 1D planar model, where all energy must traverse every layer sequentially.</w:t>
      </w:r>
    </w:p>
    <w:p w14:paraId="02E4FBAE" w14:textId="77777777" w:rsidR="00E06BD8" w:rsidRDefault="00E06BD8" w:rsidP="00E06BD8">
      <w:pPr>
        <w:spacing w:after="200" w:line="276" w:lineRule="auto"/>
        <w:jc w:val="both"/>
      </w:pPr>
      <w:r>
        <w:rPr>
          <w:b/>
          <w:bCs/>
        </w:rPr>
        <w:t>Table B1.</w:t>
      </w:r>
      <w:r>
        <w:t xml:space="preserve"> 3D cylindrical phantom FDTD results at 0.9 GHz (50 RF cycles, A100 GPU).</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58"/>
        <w:gridCol w:w="1243"/>
        <w:gridCol w:w="1450"/>
        <w:gridCol w:w="1243"/>
        <w:gridCol w:w="1450"/>
        <w:gridCol w:w="1616"/>
      </w:tblGrid>
      <w:tr w:rsidR="00E06BD8" w14:paraId="15DA1180" w14:textId="77777777" w:rsidTr="00A014DE">
        <w:tblPrEx>
          <w:tblCellMar>
            <w:top w:w="0" w:type="dxa"/>
            <w:bottom w:w="0" w:type="dxa"/>
          </w:tblCellMar>
        </w:tblPrEx>
        <w:tc>
          <w:tcPr>
            <w:tcW w:w="160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2597EC3F" w14:textId="77777777" w:rsidR="00E06BD8" w:rsidRDefault="00E06BD8" w:rsidP="00A014DE">
            <w:r>
              <w:rPr>
                <w:rFonts w:ascii="Arial" w:eastAsia="Arial" w:hAnsi="Arial" w:cs="Arial"/>
                <w:b/>
                <w:bCs/>
                <w:sz w:val="20"/>
                <w:szCs w:val="20"/>
              </w:rPr>
              <w:t>State</w:t>
            </w:r>
          </w:p>
        </w:tc>
        <w:tc>
          <w:tcPr>
            <w:tcW w:w="120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504F02E8" w14:textId="77777777" w:rsidR="00E06BD8" w:rsidRDefault="00E06BD8" w:rsidP="00A014DE">
            <w:r>
              <w:rPr>
                <w:rFonts w:ascii="Arial" w:eastAsia="Arial" w:hAnsi="Arial" w:cs="Arial"/>
                <w:b/>
                <w:bCs/>
                <w:sz w:val="20"/>
                <w:szCs w:val="20"/>
              </w:rPr>
              <w:t>SAR (W/kg)</w:t>
            </w:r>
          </w:p>
        </w:tc>
        <w:tc>
          <w:tcPr>
            <w:tcW w:w="140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022F5CD8" w14:textId="77777777" w:rsidR="00E06BD8" w:rsidRDefault="00E06BD8" w:rsidP="00A014DE">
            <w:r>
              <w:rPr>
                <w:rFonts w:ascii="Arial" w:eastAsia="Arial" w:hAnsi="Arial" w:cs="Arial"/>
                <w:b/>
                <w:bCs/>
                <w:sz w:val="20"/>
                <w:szCs w:val="20"/>
              </w:rPr>
              <w:t>SAR Mod. (3D)</w:t>
            </w:r>
          </w:p>
        </w:tc>
        <w:tc>
          <w:tcPr>
            <w:tcW w:w="120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6E0986C9" w14:textId="77777777" w:rsidR="00E06BD8" w:rsidRDefault="00E06BD8" w:rsidP="00A014DE">
            <w:r>
              <w:rPr>
                <w:rFonts w:ascii="Arial" w:eastAsia="Arial" w:hAnsi="Arial" w:cs="Arial"/>
                <w:b/>
                <w:bCs/>
                <w:sz w:val="20"/>
                <w:szCs w:val="20"/>
              </w:rPr>
              <w:t>SAR Mod. (1D)</w:t>
            </w:r>
          </w:p>
        </w:tc>
        <w:tc>
          <w:tcPr>
            <w:tcW w:w="140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7E84AF53" w14:textId="77777777" w:rsidR="00E06BD8" w:rsidRDefault="00E06BD8" w:rsidP="00A014DE">
            <w:r>
              <w:rPr>
                <w:rFonts w:ascii="Arial" w:eastAsia="Arial" w:hAnsi="Arial" w:cs="Arial"/>
                <w:b/>
                <w:bCs/>
                <w:sz w:val="20"/>
                <w:szCs w:val="20"/>
              </w:rPr>
              <w:t>Deviation (%)</w:t>
            </w:r>
          </w:p>
        </w:tc>
        <w:tc>
          <w:tcPr>
            <w:tcW w:w="156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4347000F" w14:textId="77777777" w:rsidR="00E06BD8" w:rsidRDefault="00E06BD8" w:rsidP="00A014DE">
            <w:r>
              <w:rPr>
                <w:rFonts w:ascii="Arial" w:eastAsia="Arial" w:hAnsi="Arial" w:cs="Arial"/>
                <w:b/>
                <w:bCs/>
                <w:sz w:val="20"/>
                <w:szCs w:val="20"/>
              </w:rPr>
              <w:t>Assessment</w:t>
            </w:r>
          </w:p>
        </w:tc>
      </w:tr>
      <w:tr w:rsidR="00E06BD8" w14:paraId="7343D678" w14:textId="77777777" w:rsidTr="00A014DE">
        <w:tblPrEx>
          <w:tblCellMar>
            <w:top w:w="0" w:type="dxa"/>
            <w:bottom w:w="0" w:type="dxa"/>
          </w:tblCellMar>
        </w:tblPrEx>
        <w:tc>
          <w:tcPr>
            <w:tcW w:w="160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69DE0B01" w14:textId="77777777" w:rsidR="00E06BD8" w:rsidRDefault="00E06BD8" w:rsidP="00A014DE">
            <w:r>
              <w:rPr>
                <w:rFonts w:ascii="Arial" w:eastAsia="Arial" w:hAnsi="Arial" w:cs="Arial"/>
                <w:sz w:val="20"/>
                <w:szCs w:val="20"/>
              </w:rPr>
              <w:t>REST</w:t>
            </w:r>
          </w:p>
        </w:tc>
        <w:tc>
          <w:tcPr>
            <w:tcW w:w="120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0659055A" w14:textId="77777777" w:rsidR="00E06BD8" w:rsidRDefault="00E06BD8" w:rsidP="00A014DE">
            <w:r>
              <w:rPr>
                <w:rFonts w:ascii="Arial" w:eastAsia="Arial" w:hAnsi="Arial" w:cs="Arial"/>
                <w:sz w:val="20"/>
                <w:szCs w:val="20"/>
              </w:rPr>
              <w:t>0.0375</w:t>
            </w:r>
          </w:p>
        </w:tc>
        <w:tc>
          <w:tcPr>
            <w:tcW w:w="140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202EF4F6" w14:textId="77777777" w:rsidR="00E06BD8" w:rsidRDefault="00E06BD8" w:rsidP="00A014DE">
            <w:r>
              <w:rPr>
                <w:rFonts w:ascii="Arial" w:eastAsia="Arial" w:hAnsi="Arial" w:cs="Arial"/>
                <w:sz w:val="20"/>
                <w:szCs w:val="20"/>
              </w:rPr>
              <w:t>1.000 (ref)</w:t>
            </w:r>
          </w:p>
        </w:tc>
        <w:tc>
          <w:tcPr>
            <w:tcW w:w="120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44783BBD" w14:textId="77777777" w:rsidR="00E06BD8" w:rsidRDefault="00E06BD8" w:rsidP="00A014DE">
            <w:r>
              <w:rPr>
                <w:rFonts w:ascii="Arial" w:eastAsia="Arial" w:hAnsi="Arial" w:cs="Arial"/>
                <w:sz w:val="20"/>
                <w:szCs w:val="20"/>
              </w:rPr>
              <w:t>1.000 (ref)</w:t>
            </w:r>
          </w:p>
        </w:tc>
        <w:tc>
          <w:tcPr>
            <w:tcW w:w="140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5398883E" w14:textId="77777777" w:rsidR="00E06BD8" w:rsidRDefault="00E06BD8" w:rsidP="00A014DE">
            <w:r>
              <w:rPr>
                <w:rFonts w:ascii="Arial" w:eastAsia="Arial" w:hAnsi="Arial" w:cs="Arial"/>
                <w:sz w:val="20"/>
                <w:szCs w:val="20"/>
              </w:rPr>
              <w:t>—</w:t>
            </w:r>
          </w:p>
        </w:tc>
        <w:tc>
          <w:tcPr>
            <w:tcW w:w="156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1DAF9069" w14:textId="77777777" w:rsidR="00E06BD8" w:rsidRDefault="00E06BD8" w:rsidP="00A014DE">
            <w:r>
              <w:rPr>
                <w:rFonts w:ascii="Arial" w:eastAsia="Arial" w:hAnsi="Arial" w:cs="Arial"/>
                <w:sz w:val="20"/>
                <w:szCs w:val="20"/>
              </w:rPr>
              <w:t>—</w:t>
            </w:r>
          </w:p>
        </w:tc>
      </w:tr>
      <w:tr w:rsidR="00E06BD8" w14:paraId="33343EE7" w14:textId="77777777" w:rsidTr="00A014DE">
        <w:tblPrEx>
          <w:tblCellMar>
            <w:top w:w="0" w:type="dxa"/>
            <w:bottom w:w="0" w:type="dxa"/>
          </w:tblCellMar>
        </w:tblPrEx>
        <w:tc>
          <w:tcPr>
            <w:tcW w:w="160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0C87C0FE" w14:textId="77777777" w:rsidR="00E06BD8" w:rsidRDefault="00E06BD8" w:rsidP="00A014DE">
            <w:r>
              <w:rPr>
                <w:rFonts w:ascii="Arial" w:eastAsia="Arial" w:hAnsi="Arial" w:cs="Arial"/>
                <w:sz w:val="20"/>
                <w:szCs w:val="20"/>
              </w:rPr>
              <w:t>VASODILATION</w:t>
            </w:r>
          </w:p>
        </w:tc>
        <w:tc>
          <w:tcPr>
            <w:tcW w:w="120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4F038C71" w14:textId="77777777" w:rsidR="00E06BD8" w:rsidRDefault="00E06BD8" w:rsidP="00A014DE">
            <w:r>
              <w:rPr>
                <w:rFonts w:ascii="Arial" w:eastAsia="Arial" w:hAnsi="Arial" w:cs="Arial"/>
                <w:sz w:val="20"/>
                <w:szCs w:val="20"/>
              </w:rPr>
              <w:t>0.0293</w:t>
            </w:r>
          </w:p>
        </w:tc>
        <w:tc>
          <w:tcPr>
            <w:tcW w:w="140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562F9F6B" w14:textId="77777777" w:rsidR="00E06BD8" w:rsidRDefault="00E06BD8" w:rsidP="00A014DE">
            <w:r>
              <w:rPr>
                <w:rFonts w:ascii="Arial" w:eastAsia="Arial" w:hAnsi="Arial" w:cs="Arial"/>
                <w:sz w:val="20"/>
                <w:szCs w:val="20"/>
              </w:rPr>
              <w:t>0.781</w:t>
            </w:r>
          </w:p>
        </w:tc>
        <w:tc>
          <w:tcPr>
            <w:tcW w:w="120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7C03B9F0" w14:textId="77777777" w:rsidR="00E06BD8" w:rsidRDefault="00E06BD8" w:rsidP="00A014DE">
            <w:r>
              <w:rPr>
                <w:rFonts w:ascii="Arial" w:eastAsia="Arial" w:hAnsi="Arial" w:cs="Arial"/>
                <w:sz w:val="20"/>
                <w:szCs w:val="20"/>
              </w:rPr>
              <w:t>0.50</w:t>
            </w:r>
          </w:p>
        </w:tc>
        <w:tc>
          <w:tcPr>
            <w:tcW w:w="140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360125DF" w14:textId="77777777" w:rsidR="00E06BD8" w:rsidRDefault="00E06BD8" w:rsidP="00A014DE">
            <w:r>
              <w:rPr>
                <w:rFonts w:ascii="Arial" w:eastAsia="Arial" w:hAnsi="Arial" w:cs="Arial"/>
                <w:sz w:val="20"/>
                <w:szCs w:val="20"/>
              </w:rPr>
              <w:t>56%</w:t>
            </w:r>
          </w:p>
        </w:tc>
        <w:tc>
          <w:tcPr>
            <w:tcW w:w="156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6516B540" w14:textId="77777777" w:rsidR="00E06BD8" w:rsidRDefault="00E06BD8" w:rsidP="00A014DE">
            <w:r>
              <w:rPr>
                <w:rFonts w:ascii="Arial" w:eastAsia="Arial" w:hAnsi="Arial" w:cs="Arial"/>
                <w:sz w:val="20"/>
                <w:szCs w:val="20"/>
              </w:rPr>
              <w:t>Direction correct; 3D &gt; 1D</w:t>
            </w:r>
          </w:p>
        </w:tc>
      </w:tr>
      <w:tr w:rsidR="00E06BD8" w14:paraId="06A5E426" w14:textId="77777777" w:rsidTr="00A014DE">
        <w:tblPrEx>
          <w:tblCellMar>
            <w:top w:w="0" w:type="dxa"/>
            <w:bottom w:w="0" w:type="dxa"/>
          </w:tblCellMar>
        </w:tblPrEx>
        <w:tc>
          <w:tcPr>
            <w:tcW w:w="160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765DF7E9" w14:textId="77777777" w:rsidR="00E06BD8" w:rsidRDefault="00E06BD8" w:rsidP="00A014DE">
            <w:r>
              <w:rPr>
                <w:rFonts w:ascii="Arial" w:eastAsia="Arial" w:hAnsi="Arial" w:cs="Arial"/>
                <w:sz w:val="20"/>
                <w:szCs w:val="20"/>
              </w:rPr>
              <w:t>VASOCONSTRICTION</w:t>
            </w:r>
          </w:p>
        </w:tc>
        <w:tc>
          <w:tcPr>
            <w:tcW w:w="120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0DFC973D" w14:textId="77777777" w:rsidR="00E06BD8" w:rsidRDefault="00E06BD8" w:rsidP="00A014DE">
            <w:r>
              <w:rPr>
                <w:rFonts w:ascii="Arial" w:eastAsia="Arial" w:hAnsi="Arial" w:cs="Arial"/>
                <w:sz w:val="20"/>
                <w:szCs w:val="20"/>
              </w:rPr>
              <w:t>0.0437</w:t>
            </w:r>
          </w:p>
        </w:tc>
        <w:tc>
          <w:tcPr>
            <w:tcW w:w="140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2E42C0B9" w14:textId="77777777" w:rsidR="00E06BD8" w:rsidRDefault="00E06BD8" w:rsidP="00A014DE">
            <w:r>
              <w:rPr>
                <w:rFonts w:ascii="Arial" w:eastAsia="Arial" w:hAnsi="Arial" w:cs="Arial"/>
                <w:sz w:val="20"/>
                <w:szCs w:val="20"/>
              </w:rPr>
              <w:t>1.165</w:t>
            </w:r>
          </w:p>
        </w:tc>
        <w:tc>
          <w:tcPr>
            <w:tcW w:w="120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51E85093" w14:textId="77777777" w:rsidR="00E06BD8" w:rsidRDefault="00E06BD8" w:rsidP="00A014DE">
            <w:r>
              <w:rPr>
                <w:rFonts w:ascii="Arial" w:eastAsia="Arial" w:hAnsi="Arial" w:cs="Arial"/>
                <w:sz w:val="20"/>
                <w:szCs w:val="20"/>
              </w:rPr>
              <w:t>1.14</w:t>
            </w:r>
          </w:p>
        </w:tc>
        <w:tc>
          <w:tcPr>
            <w:tcW w:w="140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5867E94C" w14:textId="77777777" w:rsidR="00E06BD8" w:rsidRDefault="00E06BD8" w:rsidP="00A014DE">
            <w:r>
              <w:rPr>
                <w:rFonts w:ascii="Arial" w:eastAsia="Arial" w:hAnsi="Arial" w:cs="Arial"/>
                <w:sz w:val="20"/>
                <w:szCs w:val="20"/>
              </w:rPr>
              <w:t>2.2%</w:t>
            </w:r>
          </w:p>
        </w:tc>
        <w:tc>
          <w:tcPr>
            <w:tcW w:w="1560" w:type="dxa"/>
            <w:tcBorders>
              <w:top w:val="single" w:sz="1" w:space="0" w:color="999999"/>
              <w:left w:val="single" w:sz="1" w:space="0" w:color="999999"/>
              <w:bottom w:val="single" w:sz="1" w:space="0" w:color="999999"/>
              <w:right w:val="single" w:sz="1" w:space="0" w:color="999999"/>
            </w:tcBorders>
            <w:tcMar>
              <w:top w:w="60" w:type="dxa"/>
              <w:left w:w="100" w:type="dxa"/>
              <w:bottom w:w="60" w:type="dxa"/>
              <w:right w:w="100" w:type="dxa"/>
            </w:tcMar>
          </w:tcPr>
          <w:p w14:paraId="256DF6E8" w14:textId="77777777" w:rsidR="00E06BD8" w:rsidRDefault="00E06BD8" w:rsidP="00A014DE">
            <w:r>
              <w:rPr>
                <w:rFonts w:ascii="Arial" w:eastAsia="Arial" w:hAnsi="Arial" w:cs="Arial"/>
                <w:sz w:val="20"/>
                <w:szCs w:val="20"/>
              </w:rPr>
              <w:t>Excellent agreement</w:t>
            </w:r>
          </w:p>
        </w:tc>
      </w:tr>
    </w:tbl>
    <w:p w14:paraId="252E2C52" w14:textId="77777777" w:rsidR="00E06BD8" w:rsidRDefault="00E06BD8" w:rsidP="00E06BD8">
      <w:pPr>
        <w:spacing w:after="200"/>
      </w:pPr>
    </w:p>
    <w:p w14:paraId="77670733" w14:textId="77777777" w:rsidR="00E06BD8" w:rsidRDefault="00E06BD8" w:rsidP="00E06BD8">
      <w:pPr>
        <w:spacing w:after="200" w:line="276" w:lineRule="auto"/>
        <w:ind w:firstLine="360"/>
        <w:jc w:val="both"/>
      </w:pPr>
      <w:r>
        <w:t>The asymmetry between vasoconstriction agreement (2.2%) and vasodilation disagreement (56%) is itself informative. During vasoconstriction, the dominant effect is increased myocardial conductivity, which enhances local power deposition regardless of how the wave arrives. During vasodilation, the dominant effect is increased superficial absorption in skin and muscle blood vessels, which in 3D can be partially circumvented by diffraction. This means that the 1D model correctly predicts the clinically relevant scenario (stress-induced vasoconstriction) while overestimating the protective scenario (vasodilation).</w:t>
      </w:r>
    </w:p>
    <w:p w14:paraId="468C1F52" w14:textId="77777777" w:rsidR="00E06BD8" w:rsidRDefault="00E06BD8" w:rsidP="00E06BD8">
      <w:pPr>
        <w:spacing w:after="200" w:line="276" w:lineRule="auto"/>
        <w:ind w:firstLine="360"/>
        <w:jc w:val="both"/>
      </w:pPr>
      <w:r>
        <w:t xml:space="preserve">Convergence monitoring showed approximately 4% variation in mean E-field over the final 10 cycles, compared to a target of &lt;1%. While additional cycles would improve convergence, the modulation ratios—which are relative quantities—are substantially more stable than absolute values, as systematic convergence errors cancel in the ratio. The REST SAR value of 0.0375 W/kg </w:t>
      </w:r>
      <w:r>
        <w:lastRenderedPageBreak/>
        <w:t>is within the plausible range for the exposure conditions modeled, and the directional preservation of state modulation (vasodilation &lt; REST &lt; vasoconstriction) is robust.</w:t>
      </w:r>
    </w:p>
    <w:p w14:paraId="1C5239BC" w14:textId="050CA5DA"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BD8"/>
    <w:rsid w:val="00066677"/>
    <w:rsid w:val="003A4E89"/>
    <w:rsid w:val="00556784"/>
    <w:rsid w:val="008B07A6"/>
    <w:rsid w:val="00987B63"/>
    <w:rsid w:val="00D2062F"/>
    <w:rsid w:val="00D31E7D"/>
    <w:rsid w:val="00E06B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AF0AB"/>
  <w15:chartTrackingRefBased/>
  <w15:docId w15:val="{506C2D6B-A5DC-4E79-B460-F6BA4DA31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6BD8"/>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E06BD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06BD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06BD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06BD8"/>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E06BD8"/>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E06BD8"/>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E06BD8"/>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E06BD8"/>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E06BD8"/>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6B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6B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6B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6B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6B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6B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6B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6B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6BD8"/>
    <w:rPr>
      <w:rFonts w:eastAsiaTheme="majorEastAsia" w:cstheme="majorBidi"/>
      <w:color w:val="272727" w:themeColor="text1" w:themeTint="D8"/>
    </w:rPr>
  </w:style>
  <w:style w:type="paragraph" w:styleId="Title">
    <w:name w:val="Title"/>
    <w:basedOn w:val="Normal"/>
    <w:next w:val="Normal"/>
    <w:link w:val="TitleChar"/>
    <w:uiPriority w:val="10"/>
    <w:qFormat/>
    <w:rsid w:val="00E06BD8"/>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06B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6BD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06B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6BD8"/>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E06BD8"/>
    <w:rPr>
      <w:i/>
      <w:iCs/>
      <w:color w:val="404040" w:themeColor="text1" w:themeTint="BF"/>
    </w:rPr>
  </w:style>
  <w:style w:type="paragraph" w:styleId="ListParagraph">
    <w:name w:val="List Paragraph"/>
    <w:basedOn w:val="Normal"/>
    <w:uiPriority w:val="34"/>
    <w:qFormat/>
    <w:rsid w:val="00E06BD8"/>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E06BD8"/>
    <w:rPr>
      <w:i/>
      <w:iCs/>
      <w:color w:val="0F4761" w:themeColor="accent1" w:themeShade="BF"/>
    </w:rPr>
  </w:style>
  <w:style w:type="paragraph" w:styleId="IntenseQuote">
    <w:name w:val="Intense Quote"/>
    <w:basedOn w:val="Normal"/>
    <w:next w:val="Normal"/>
    <w:link w:val="IntenseQuoteChar"/>
    <w:uiPriority w:val="30"/>
    <w:qFormat/>
    <w:rsid w:val="00E06BD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E06BD8"/>
    <w:rPr>
      <w:i/>
      <w:iCs/>
      <w:color w:val="0F4761" w:themeColor="accent1" w:themeShade="BF"/>
    </w:rPr>
  </w:style>
  <w:style w:type="character" w:styleId="IntenseReference">
    <w:name w:val="Intense Reference"/>
    <w:basedOn w:val="DefaultParagraphFont"/>
    <w:uiPriority w:val="32"/>
    <w:qFormat/>
    <w:rsid w:val="00E06BD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399</Words>
  <Characters>2458</Characters>
  <Application>Microsoft Office Word</Application>
  <DocSecurity>0</DocSecurity>
  <Lines>59</Lines>
  <Paragraphs>34</Paragraphs>
  <ScaleCrop>false</ScaleCrop>
  <Company/>
  <LinksUpToDate>false</LinksUpToDate>
  <CharactersWithSpaces>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2026-02-24T04:14:00Z</dcterms:created>
  <dcterms:modified xsi:type="dcterms:W3CDTF">2026-02-24T04:15:00Z</dcterms:modified>
</cp:coreProperties>
</file>