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18E4" w14:textId="2758FADC" w:rsidR="0061313D" w:rsidRPr="009625DB" w:rsidRDefault="0061313D" w:rsidP="009625DB">
      <w:pPr>
        <w:widowControl/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b/>
          <w:bCs/>
          <w:szCs w:val="20"/>
        </w:rPr>
        <w:t>Table S1</w:t>
      </w:r>
      <w:r w:rsidR="00B404CF" w:rsidRPr="001809CF">
        <w:rPr>
          <w:rFonts w:asciiTheme="majorBidi" w:hAnsiTheme="majorBidi" w:cstheme="majorBidi"/>
          <w:b/>
          <w:bCs/>
          <w:szCs w:val="20"/>
        </w:rPr>
        <w:t>.</w:t>
      </w:r>
      <w:r w:rsidRPr="009625DB">
        <w:rPr>
          <w:rFonts w:asciiTheme="majorBidi" w:hAnsiTheme="majorBidi" w:cstheme="majorBidi"/>
          <w:szCs w:val="20"/>
        </w:rPr>
        <w:t xml:space="preserve"> Robustness checks for the association between the </w:t>
      </w:r>
      <w:r w:rsidR="009D2336" w:rsidRPr="001809CF">
        <w:rPr>
          <w:rFonts w:asciiTheme="majorBidi" w:hAnsiTheme="majorBidi" w:cstheme="majorBidi"/>
          <w:szCs w:val="20"/>
        </w:rPr>
        <w:t xml:space="preserve">systemic inflammation response index </w:t>
      </w:r>
      <w:r w:rsidRPr="009625DB">
        <w:rPr>
          <w:rFonts w:asciiTheme="majorBidi" w:hAnsiTheme="majorBidi" w:cstheme="majorBidi"/>
          <w:szCs w:val="20"/>
        </w:rPr>
        <w:t xml:space="preserve">(SIRI) and </w:t>
      </w:r>
      <w:r w:rsidR="009D2336" w:rsidRPr="001809CF">
        <w:rPr>
          <w:rFonts w:asciiTheme="majorBidi" w:hAnsiTheme="majorBidi" w:cstheme="majorBidi"/>
          <w:szCs w:val="20"/>
        </w:rPr>
        <w:t>overall survival</w:t>
      </w:r>
      <w:r w:rsidR="00CC26B5" w:rsidRPr="001809CF">
        <w:rPr>
          <w:rFonts w:asciiTheme="majorBidi" w:hAnsiTheme="majorBidi" w:cstheme="majorBidi"/>
          <w:szCs w:val="20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1574"/>
        <w:gridCol w:w="709"/>
      </w:tblGrid>
      <w:tr w:rsidR="0061313D" w:rsidRPr="001809CF" w14:paraId="1670D74B" w14:textId="77777777" w:rsidTr="008E5D63">
        <w:trPr>
          <w:tblHeader/>
          <w:tblCellSpacing w:w="15" w:type="dxa"/>
        </w:trPr>
        <w:tc>
          <w:tcPr>
            <w:tcW w:w="345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FBDBD7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Analysis methods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02D87FF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HR (95% CI)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C700A7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p-value</w:t>
            </w:r>
          </w:p>
        </w:tc>
      </w:tr>
      <w:tr w:rsidR="0061313D" w:rsidRPr="001809CF" w14:paraId="2EC88373" w14:textId="77777777" w:rsidTr="008E5D63">
        <w:trPr>
          <w:tblCellSpacing w:w="15" w:type="dxa"/>
        </w:trPr>
        <w:tc>
          <w:tcPr>
            <w:tcW w:w="3455" w:type="dxa"/>
            <w:vAlign w:val="center"/>
            <w:hideMark/>
          </w:tcPr>
          <w:p w14:paraId="02001CCF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Primary Cox multivariate model</w:t>
            </w:r>
          </w:p>
        </w:tc>
        <w:tc>
          <w:tcPr>
            <w:tcW w:w="1544" w:type="dxa"/>
            <w:vAlign w:val="center"/>
            <w:hideMark/>
          </w:tcPr>
          <w:p w14:paraId="595DEC64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2.02 (1.53–2.67)</w:t>
            </w:r>
          </w:p>
        </w:tc>
        <w:tc>
          <w:tcPr>
            <w:tcW w:w="0" w:type="auto"/>
            <w:vAlign w:val="center"/>
            <w:hideMark/>
          </w:tcPr>
          <w:p w14:paraId="0342A535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&lt;0.001</w:t>
            </w:r>
          </w:p>
        </w:tc>
      </w:tr>
      <w:tr w:rsidR="0061313D" w:rsidRPr="001809CF" w14:paraId="10587FC5" w14:textId="77777777" w:rsidTr="008E5D63">
        <w:trPr>
          <w:tblCellSpacing w:w="15" w:type="dxa"/>
        </w:trPr>
        <w:tc>
          <w:tcPr>
            <w:tcW w:w="3455" w:type="dxa"/>
            <w:vAlign w:val="center"/>
            <w:hideMark/>
          </w:tcPr>
          <w:p w14:paraId="5D679829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Time-varying albumin coefficient model</w:t>
            </w:r>
          </w:p>
        </w:tc>
        <w:tc>
          <w:tcPr>
            <w:tcW w:w="1544" w:type="dxa"/>
            <w:vAlign w:val="center"/>
            <w:hideMark/>
          </w:tcPr>
          <w:p w14:paraId="6A455561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2.03 (1.55–2.66)</w:t>
            </w:r>
          </w:p>
        </w:tc>
        <w:tc>
          <w:tcPr>
            <w:tcW w:w="0" w:type="auto"/>
            <w:vAlign w:val="center"/>
            <w:hideMark/>
          </w:tcPr>
          <w:p w14:paraId="00E94714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&lt;0.001</w:t>
            </w:r>
          </w:p>
        </w:tc>
      </w:tr>
      <w:tr w:rsidR="0061313D" w:rsidRPr="001809CF" w14:paraId="4C199DFF" w14:textId="77777777" w:rsidTr="008E5D63">
        <w:trPr>
          <w:tblCellSpacing w:w="15" w:type="dxa"/>
        </w:trPr>
        <w:tc>
          <w:tcPr>
            <w:tcW w:w="3455" w:type="dxa"/>
            <w:vAlign w:val="center"/>
            <w:hideMark/>
          </w:tcPr>
          <w:p w14:paraId="2E2A5035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3-month Landmark analysis</w:t>
            </w:r>
          </w:p>
        </w:tc>
        <w:tc>
          <w:tcPr>
            <w:tcW w:w="1544" w:type="dxa"/>
            <w:vAlign w:val="center"/>
            <w:hideMark/>
          </w:tcPr>
          <w:p w14:paraId="2853C39B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2.11 (0.60–7.40)</w:t>
            </w:r>
          </w:p>
        </w:tc>
        <w:tc>
          <w:tcPr>
            <w:tcW w:w="0" w:type="auto"/>
            <w:vAlign w:val="center"/>
            <w:hideMark/>
          </w:tcPr>
          <w:p w14:paraId="3083D1EF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0.243</w:t>
            </w:r>
          </w:p>
        </w:tc>
      </w:tr>
    </w:tbl>
    <w:p w14:paraId="0DCF0B81" w14:textId="542C0E76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 xml:space="preserve">The table presents the hazard ratios for log-transformed SIRI across different statistical models to verify the consistency of the </w:t>
      </w:r>
      <w:r w:rsidR="00136FAF" w:rsidRPr="001809CF">
        <w:rPr>
          <w:rFonts w:asciiTheme="majorBidi" w:eastAsia="바탕" w:hAnsiTheme="majorBidi" w:cstheme="majorBidi"/>
          <w:szCs w:val="20"/>
        </w:rPr>
        <w:t>results. The</w:t>
      </w:r>
      <w:r w:rsidRPr="009625DB">
        <w:rPr>
          <w:rFonts w:asciiTheme="majorBidi" w:eastAsia="바탕" w:hAnsiTheme="majorBidi" w:cstheme="majorBidi"/>
          <w:szCs w:val="20"/>
        </w:rPr>
        <w:t xml:space="preserve"> Primary Cox multivariate model was adjusted for age, ECOG performance status, line of therapy, and </w:t>
      </w:r>
      <w:r w:rsidR="00136FAF" w:rsidRPr="001809CF">
        <w:rPr>
          <w:rFonts w:asciiTheme="majorBidi" w:eastAsia="바탕" w:hAnsiTheme="majorBidi" w:cstheme="majorBidi"/>
          <w:szCs w:val="20"/>
        </w:rPr>
        <w:t>albumin. The</w:t>
      </w:r>
      <w:r w:rsidRPr="009625DB">
        <w:rPr>
          <w:rFonts w:asciiTheme="majorBidi" w:eastAsia="바탕" w:hAnsiTheme="majorBidi" w:cstheme="majorBidi"/>
          <w:szCs w:val="20"/>
        </w:rPr>
        <w:t xml:space="preserve"> Time-varying albumin coefficient model was applied to address the violation of the proportional </w:t>
      </w:r>
      <w:proofErr w:type="gramStart"/>
      <w:r w:rsidRPr="009625DB">
        <w:rPr>
          <w:rFonts w:asciiTheme="majorBidi" w:eastAsia="바탕" w:hAnsiTheme="majorBidi" w:cstheme="majorBidi"/>
          <w:szCs w:val="20"/>
        </w:rPr>
        <w:t>hazards</w:t>
      </w:r>
      <w:proofErr w:type="gramEnd"/>
      <w:r w:rsidRPr="009625DB">
        <w:rPr>
          <w:rFonts w:asciiTheme="majorBidi" w:eastAsia="바탕" w:hAnsiTheme="majorBidi" w:cstheme="majorBidi"/>
          <w:szCs w:val="20"/>
        </w:rPr>
        <w:t xml:space="preserve"> assumption for </w:t>
      </w:r>
      <w:r w:rsidR="00136FAF" w:rsidRPr="001809CF">
        <w:rPr>
          <w:rFonts w:asciiTheme="majorBidi" w:eastAsia="바탕" w:hAnsiTheme="majorBidi" w:cstheme="majorBidi"/>
          <w:szCs w:val="20"/>
        </w:rPr>
        <w:t>albumin. The</w:t>
      </w:r>
      <w:r w:rsidRPr="009625DB">
        <w:rPr>
          <w:rFonts w:asciiTheme="majorBidi" w:eastAsia="바탕" w:hAnsiTheme="majorBidi" w:cstheme="majorBidi"/>
          <w:szCs w:val="20"/>
        </w:rPr>
        <w:t xml:space="preserve"> 3-month Landmark analysis excluded patients who died or were censored within 3 months of treatment initiation (n=19) to minimize guarantee-time bias.</w:t>
      </w:r>
    </w:p>
    <w:p w14:paraId="5AF91726" w14:textId="52D5A69A" w:rsidR="00CC26B5" w:rsidRPr="001809CF" w:rsidRDefault="0061313D" w:rsidP="00D408AE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>Abbreviations: HR, hazard ratio; CI, confidence interval; SIRI, systemic inflammation response index.</w:t>
      </w:r>
    </w:p>
    <w:p w14:paraId="69653A95" w14:textId="77777777" w:rsidR="00CC26B5" w:rsidRPr="001809CF" w:rsidRDefault="00CC26B5">
      <w:pPr>
        <w:widowControl/>
        <w:spacing w:line="278" w:lineRule="auto"/>
        <w:jc w:val="left"/>
        <w:rPr>
          <w:rFonts w:asciiTheme="majorBidi" w:eastAsia="바탕" w:hAnsiTheme="majorBidi" w:cstheme="majorBidi"/>
          <w:szCs w:val="20"/>
        </w:rPr>
      </w:pPr>
      <w:r w:rsidRPr="001809CF">
        <w:rPr>
          <w:rFonts w:asciiTheme="majorBidi" w:eastAsia="바탕" w:hAnsiTheme="majorBidi" w:cstheme="majorBidi"/>
          <w:szCs w:val="20"/>
        </w:rPr>
        <w:br w:type="page"/>
      </w:r>
      <w:bookmarkStart w:id="0" w:name="_GoBack"/>
      <w:bookmarkEnd w:id="0"/>
    </w:p>
    <w:p w14:paraId="2EB8D21D" w14:textId="3933BA35" w:rsidR="0061313D" w:rsidRPr="009625DB" w:rsidRDefault="0061313D" w:rsidP="009625DB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b/>
          <w:bCs/>
          <w:szCs w:val="20"/>
        </w:rPr>
        <w:lastRenderedPageBreak/>
        <w:t>Table S2</w:t>
      </w:r>
      <w:r w:rsidR="00B404CF" w:rsidRPr="001809CF">
        <w:rPr>
          <w:rFonts w:asciiTheme="majorBidi" w:hAnsiTheme="majorBidi" w:cstheme="majorBidi"/>
          <w:b/>
          <w:bCs/>
          <w:szCs w:val="20"/>
        </w:rPr>
        <w:t>.</w:t>
      </w:r>
      <w:r w:rsidRPr="009625DB">
        <w:rPr>
          <w:rFonts w:asciiTheme="majorBidi" w:hAnsiTheme="majorBidi" w:cstheme="majorBidi"/>
          <w:b/>
          <w:bCs/>
          <w:szCs w:val="20"/>
        </w:rPr>
        <w:t xml:space="preserve"> </w:t>
      </w:r>
      <w:r w:rsidRPr="009625DB">
        <w:rPr>
          <w:rFonts w:asciiTheme="majorBidi" w:hAnsiTheme="majorBidi" w:cstheme="majorBidi"/>
          <w:szCs w:val="20"/>
        </w:rPr>
        <w:t>Sensitivity analysis: Multivariable Cox proportional hazards model adjusted for PD-L1 expression status</w:t>
      </w:r>
      <w:r w:rsidR="008C30DA" w:rsidRPr="001809CF">
        <w:rPr>
          <w:rFonts w:asciiTheme="majorBidi" w:hAnsiTheme="majorBidi" w:cstheme="majorBidi"/>
          <w:szCs w:val="20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1622"/>
        <w:gridCol w:w="694"/>
        <w:gridCol w:w="1533"/>
        <w:gridCol w:w="709"/>
      </w:tblGrid>
      <w:tr w:rsidR="0061313D" w:rsidRPr="001809CF" w14:paraId="6DAA318E" w14:textId="77777777" w:rsidTr="008E5D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1731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C88D095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PFS HR (95% CI)</w:t>
            </w:r>
          </w:p>
        </w:tc>
        <w:tc>
          <w:tcPr>
            <w:tcW w:w="0" w:type="auto"/>
            <w:vAlign w:val="center"/>
            <w:hideMark/>
          </w:tcPr>
          <w:p w14:paraId="37B6C9CF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p-value</w:t>
            </w:r>
          </w:p>
        </w:tc>
        <w:tc>
          <w:tcPr>
            <w:tcW w:w="0" w:type="auto"/>
            <w:vAlign w:val="center"/>
          </w:tcPr>
          <w:p w14:paraId="7A68D054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OS HR (95% CI)</w:t>
            </w:r>
          </w:p>
        </w:tc>
        <w:tc>
          <w:tcPr>
            <w:tcW w:w="0" w:type="auto"/>
            <w:vAlign w:val="center"/>
          </w:tcPr>
          <w:p w14:paraId="220D2752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b/>
                <w:bCs/>
                <w:kern w:val="0"/>
                <w:szCs w:val="20"/>
              </w:rPr>
              <w:t>p-value</w:t>
            </w:r>
          </w:p>
        </w:tc>
      </w:tr>
      <w:tr w:rsidR="0061313D" w:rsidRPr="001809CF" w14:paraId="68CAF8C6" w14:textId="77777777" w:rsidTr="008E5D6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53BFA57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log-SIRI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8FFA8DB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1.37 (1.07–1.75)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2FDBDD0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0.012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B67AFC0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2.01 (1.52–2.66)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3CE34C4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&lt;0.001</w:t>
            </w:r>
          </w:p>
        </w:tc>
      </w:tr>
      <w:tr w:rsidR="0061313D" w:rsidRPr="001809CF" w14:paraId="16BD8391" w14:textId="77777777" w:rsidTr="008E5D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6BF43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6D4466D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0.99 (0.97–1.01)</w:t>
            </w:r>
          </w:p>
        </w:tc>
        <w:tc>
          <w:tcPr>
            <w:tcW w:w="0" w:type="auto"/>
            <w:vAlign w:val="center"/>
            <w:hideMark/>
          </w:tcPr>
          <w:p w14:paraId="489EC2AD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0.544</w:t>
            </w:r>
          </w:p>
        </w:tc>
        <w:tc>
          <w:tcPr>
            <w:tcW w:w="0" w:type="auto"/>
            <w:vAlign w:val="center"/>
          </w:tcPr>
          <w:p w14:paraId="0D9F431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0.98 (0.96–1.00)</w:t>
            </w:r>
          </w:p>
        </w:tc>
        <w:tc>
          <w:tcPr>
            <w:tcW w:w="0" w:type="auto"/>
            <w:vAlign w:val="center"/>
          </w:tcPr>
          <w:p w14:paraId="31DD6D79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0.125</w:t>
            </w:r>
          </w:p>
        </w:tc>
      </w:tr>
      <w:tr w:rsidR="0061313D" w:rsidRPr="001809CF" w14:paraId="39DFFCD9" w14:textId="77777777" w:rsidTr="008E5D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D058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 xml:space="preserve">ECOG </w:t>
            </w:r>
            <w:r w:rsidRPr="009625DB">
              <w:rPr>
                <w:rFonts w:asciiTheme="majorBidi" w:eastAsia="굴림" w:hAnsiTheme="majorBidi" w:cstheme="majorBidi" w:hint="eastAsia"/>
                <w:kern w:val="0"/>
                <w:szCs w:val="20"/>
              </w:rPr>
              <w:t>≥</w:t>
            </w: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9DA32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1.62 (0.91–2.91)</w:t>
            </w:r>
          </w:p>
        </w:tc>
        <w:tc>
          <w:tcPr>
            <w:tcW w:w="0" w:type="auto"/>
            <w:vAlign w:val="center"/>
            <w:hideMark/>
          </w:tcPr>
          <w:p w14:paraId="21B4750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0.104</w:t>
            </w:r>
          </w:p>
        </w:tc>
        <w:tc>
          <w:tcPr>
            <w:tcW w:w="0" w:type="auto"/>
            <w:vAlign w:val="center"/>
          </w:tcPr>
          <w:p w14:paraId="22FA3E40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1.26 (0.68–2.32)</w:t>
            </w:r>
          </w:p>
        </w:tc>
        <w:tc>
          <w:tcPr>
            <w:tcW w:w="0" w:type="auto"/>
            <w:vAlign w:val="center"/>
          </w:tcPr>
          <w:p w14:paraId="7532D345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0.463</w:t>
            </w:r>
          </w:p>
        </w:tc>
      </w:tr>
      <w:tr w:rsidR="0061313D" w:rsidRPr="001809CF" w14:paraId="4499AA0D" w14:textId="77777777" w:rsidTr="008E5D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3D132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Treatment line</w:t>
            </w:r>
          </w:p>
        </w:tc>
        <w:tc>
          <w:tcPr>
            <w:tcW w:w="0" w:type="auto"/>
            <w:vAlign w:val="center"/>
            <w:hideMark/>
          </w:tcPr>
          <w:p w14:paraId="04AD4622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0.91 (0.80–1.04)</w:t>
            </w:r>
          </w:p>
        </w:tc>
        <w:tc>
          <w:tcPr>
            <w:tcW w:w="0" w:type="auto"/>
            <w:vAlign w:val="center"/>
            <w:hideMark/>
          </w:tcPr>
          <w:p w14:paraId="06682719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0.172</w:t>
            </w:r>
          </w:p>
        </w:tc>
        <w:tc>
          <w:tcPr>
            <w:tcW w:w="0" w:type="auto"/>
            <w:vAlign w:val="center"/>
          </w:tcPr>
          <w:p w14:paraId="64B0AC04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0.87 (0.76–1.00)</w:t>
            </w:r>
          </w:p>
        </w:tc>
        <w:tc>
          <w:tcPr>
            <w:tcW w:w="0" w:type="auto"/>
            <w:vAlign w:val="center"/>
          </w:tcPr>
          <w:p w14:paraId="68C40FA9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0.045</w:t>
            </w:r>
          </w:p>
        </w:tc>
      </w:tr>
      <w:tr w:rsidR="0061313D" w:rsidRPr="001809CF" w14:paraId="3BCEC257" w14:textId="77777777" w:rsidTr="008E5D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D7E87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Albumin</w:t>
            </w:r>
          </w:p>
        </w:tc>
        <w:tc>
          <w:tcPr>
            <w:tcW w:w="0" w:type="auto"/>
            <w:vAlign w:val="center"/>
            <w:hideMark/>
          </w:tcPr>
          <w:p w14:paraId="448BD7A9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0.84 (0.56–1.27)</w:t>
            </w:r>
          </w:p>
        </w:tc>
        <w:tc>
          <w:tcPr>
            <w:tcW w:w="0" w:type="auto"/>
            <w:vAlign w:val="center"/>
            <w:hideMark/>
          </w:tcPr>
          <w:p w14:paraId="43DD475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0.416</w:t>
            </w:r>
          </w:p>
        </w:tc>
        <w:tc>
          <w:tcPr>
            <w:tcW w:w="0" w:type="auto"/>
            <w:vAlign w:val="center"/>
          </w:tcPr>
          <w:p w14:paraId="1B067906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0.40 (0.27–0.61)</w:t>
            </w:r>
          </w:p>
        </w:tc>
        <w:tc>
          <w:tcPr>
            <w:tcW w:w="0" w:type="auto"/>
            <w:vAlign w:val="center"/>
          </w:tcPr>
          <w:p w14:paraId="625D994B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&lt;0.001</w:t>
            </w:r>
          </w:p>
        </w:tc>
      </w:tr>
      <w:tr w:rsidR="0061313D" w:rsidRPr="001809CF" w14:paraId="2954A445" w14:textId="77777777" w:rsidTr="008E5D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25342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PD-L1 positive (vs negative)</w:t>
            </w:r>
          </w:p>
        </w:tc>
        <w:tc>
          <w:tcPr>
            <w:tcW w:w="0" w:type="auto"/>
            <w:vAlign w:val="center"/>
            <w:hideMark/>
          </w:tcPr>
          <w:p w14:paraId="2240C1AD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0.92 (0.40–2.12)</w:t>
            </w:r>
          </w:p>
        </w:tc>
        <w:tc>
          <w:tcPr>
            <w:tcW w:w="0" w:type="auto"/>
            <w:vAlign w:val="center"/>
            <w:hideMark/>
          </w:tcPr>
          <w:p w14:paraId="2952D441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0.848</w:t>
            </w:r>
          </w:p>
        </w:tc>
        <w:tc>
          <w:tcPr>
            <w:tcW w:w="0" w:type="auto"/>
            <w:vAlign w:val="center"/>
          </w:tcPr>
          <w:p w14:paraId="69A58340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1.84 (0.78–4.33)</w:t>
            </w:r>
          </w:p>
        </w:tc>
        <w:tc>
          <w:tcPr>
            <w:tcW w:w="0" w:type="auto"/>
            <w:vAlign w:val="center"/>
          </w:tcPr>
          <w:p w14:paraId="0DA90C97" w14:textId="77777777" w:rsidR="0061313D" w:rsidRPr="009625DB" w:rsidRDefault="0061313D" w:rsidP="009625DB">
            <w:pPr>
              <w:widowControl/>
              <w:spacing w:after="0" w:line="480" w:lineRule="auto"/>
              <w:rPr>
                <w:rFonts w:asciiTheme="majorBidi" w:eastAsia="굴림" w:hAnsiTheme="majorBidi" w:cstheme="majorBidi"/>
                <w:kern w:val="0"/>
                <w:szCs w:val="20"/>
              </w:rPr>
            </w:pPr>
            <w:r w:rsidRPr="009625DB">
              <w:rPr>
                <w:rFonts w:asciiTheme="majorBidi" w:eastAsia="굴림" w:hAnsiTheme="majorBidi" w:cstheme="majorBidi"/>
                <w:kern w:val="0"/>
                <w:szCs w:val="20"/>
              </w:rPr>
              <w:t>0.164</w:t>
            </w:r>
          </w:p>
        </w:tc>
      </w:tr>
    </w:tbl>
    <w:p w14:paraId="2F2EB360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>This sensitivity analysis was performed to assess whether the prognostic value of the Systemic Inflammation Response Index (SIRI) remains significant after adjusting for PD-L1 expression, a known predictive biomarker for pembrolizumab. The multivariable model included log-transformed SIRI, age, ECOG performance status, line of therapy, serum albumin, and PD-L1 status (Positive vs. Negative).</w:t>
      </w:r>
    </w:p>
    <w:p w14:paraId="0DA7A49E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>Abbreviations: PFS, progression-free survival; OS, overall survival; HR, hazard ratio; CI, confidence interval; SIRI, systemic inflammation response index; ECOG, Eastern Cooperative Oncology Group; PD-L1, programmed death-ligand 1.</w:t>
      </w:r>
    </w:p>
    <w:p w14:paraId="736304AE" w14:textId="77777777" w:rsidR="0061313D" w:rsidRPr="009625DB" w:rsidRDefault="0061313D" w:rsidP="009625DB">
      <w:pPr>
        <w:widowControl/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br w:type="page"/>
      </w:r>
    </w:p>
    <w:p w14:paraId="747977C0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noProof/>
          <w:szCs w:val="20"/>
        </w:rPr>
        <w:lastRenderedPageBreak/>
        <w:drawing>
          <wp:inline distT="0" distB="0" distL="0" distR="0" wp14:anchorId="3F711D42" wp14:editId="717C5640">
            <wp:extent cx="2844139" cy="3365770"/>
            <wp:effectExtent l="0" t="0" r="0" b="635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19" cy="3428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5DB">
        <w:rPr>
          <w:rFonts w:asciiTheme="majorBidi" w:eastAsia="바탕" w:hAnsiTheme="majorBidi" w:cstheme="majorBidi"/>
          <w:noProof/>
          <w:szCs w:val="20"/>
        </w:rPr>
        <w:drawing>
          <wp:inline distT="0" distB="0" distL="0" distR="0" wp14:anchorId="4A05B6F5" wp14:editId="5848A972">
            <wp:extent cx="2850204" cy="3372948"/>
            <wp:effectExtent l="0" t="0" r="762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32" cy="345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5DB">
        <w:rPr>
          <w:rFonts w:asciiTheme="majorBidi" w:eastAsia="바탕" w:hAnsiTheme="majorBidi" w:cstheme="majorBidi"/>
          <w:noProof/>
          <w:szCs w:val="20"/>
        </w:rPr>
        <w:drawing>
          <wp:inline distT="0" distB="0" distL="0" distR="0" wp14:anchorId="76996F73" wp14:editId="77558456">
            <wp:extent cx="2928026" cy="3465043"/>
            <wp:effectExtent l="0" t="0" r="5715" b="254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078" cy="35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A2E3A" w14:textId="6F9CDB31" w:rsidR="008C30DA" w:rsidRPr="001809CF" w:rsidRDefault="008C30DA" w:rsidP="008C30DA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b/>
          <w:bCs/>
          <w:szCs w:val="20"/>
        </w:rPr>
        <w:t>Fig</w:t>
      </w:r>
      <w:r w:rsidR="00E07BBC" w:rsidRPr="001809CF">
        <w:rPr>
          <w:rFonts w:asciiTheme="majorBidi" w:eastAsia="바탕" w:hAnsiTheme="majorBidi" w:cstheme="majorBidi"/>
          <w:b/>
          <w:bCs/>
          <w:szCs w:val="20"/>
        </w:rPr>
        <w:t>.</w:t>
      </w:r>
      <w:r w:rsidRPr="009625DB">
        <w:rPr>
          <w:rFonts w:asciiTheme="majorBidi" w:eastAsia="바탕" w:hAnsiTheme="majorBidi" w:cstheme="majorBidi"/>
          <w:b/>
          <w:bCs/>
          <w:szCs w:val="20"/>
        </w:rPr>
        <w:t xml:space="preserve"> S1</w:t>
      </w:r>
      <w:r w:rsidR="00B404CF" w:rsidRPr="001809CF">
        <w:rPr>
          <w:rFonts w:asciiTheme="majorBidi" w:eastAsia="바탕" w:hAnsiTheme="majorBidi" w:cstheme="majorBidi"/>
          <w:b/>
          <w:bCs/>
          <w:szCs w:val="20"/>
        </w:rPr>
        <w:t>.</w:t>
      </w:r>
      <w:r w:rsidRPr="001809CF">
        <w:rPr>
          <w:rFonts w:asciiTheme="majorBidi" w:eastAsia="바탕" w:hAnsiTheme="majorBidi" w:cstheme="majorBidi"/>
          <w:szCs w:val="20"/>
        </w:rPr>
        <w:t xml:space="preserve"> Distribution of peripheral blood inflammatory markers before and after natural log transformation.</w:t>
      </w:r>
    </w:p>
    <w:p w14:paraId="72F3FEA0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>The histograms illustrate the frequency distribution of the Systemic Immune-Inflammation Index (SII), Systemic Inflammation Response Index (SIRI), and Neutrophil-to-Lymphocyte Ratio (NLR).</w:t>
      </w:r>
    </w:p>
    <w:p w14:paraId="157C4653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>The left panels (blue) display the raw values, exhibiting a distinct right-skewed distribution.</w:t>
      </w:r>
    </w:p>
    <w:p w14:paraId="5BA29DEA" w14:textId="04D3C913" w:rsidR="008C30DA" w:rsidRPr="001809CF" w:rsidRDefault="0061313D" w:rsidP="00D408AE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szCs w:val="20"/>
        </w:rPr>
        <w:t xml:space="preserve">The right panels (red) display the values after natural logarithmic transformation, demonstrating a reduction in </w:t>
      </w:r>
      <w:r w:rsidRPr="009625DB">
        <w:rPr>
          <w:rFonts w:asciiTheme="majorBidi" w:eastAsia="바탕" w:hAnsiTheme="majorBidi" w:cstheme="majorBidi"/>
          <w:szCs w:val="20"/>
        </w:rPr>
        <w:lastRenderedPageBreak/>
        <w:t>skewness and an approximation to a normal distribution, which justified the use of log-transformed variables in the subsequent regression analyses.</w:t>
      </w:r>
    </w:p>
    <w:p w14:paraId="4BD58DEF" w14:textId="77777777" w:rsidR="008C30DA" w:rsidRPr="001809CF" w:rsidRDefault="008C30DA">
      <w:pPr>
        <w:widowControl/>
        <w:spacing w:line="278" w:lineRule="auto"/>
        <w:jc w:val="left"/>
        <w:rPr>
          <w:rFonts w:asciiTheme="majorBidi" w:eastAsia="바탕" w:hAnsiTheme="majorBidi" w:cstheme="majorBidi"/>
          <w:szCs w:val="20"/>
        </w:rPr>
      </w:pPr>
      <w:r w:rsidRPr="001809CF">
        <w:rPr>
          <w:rFonts w:asciiTheme="majorBidi" w:eastAsia="바탕" w:hAnsiTheme="majorBidi" w:cstheme="majorBidi"/>
          <w:szCs w:val="20"/>
        </w:rPr>
        <w:br w:type="page"/>
      </w:r>
    </w:p>
    <w:p w14:paraId="3F37975A" w14:textId="77777777" w:rsidR="0061313D" w:rsidRPr="009625DB" w:rsidRDefault="0061313D" w:rsidP="009625DB">
      <w:pPr>
        <w:spacing w:after="0" w:line="480" w:lineRule="auto"/>
        <w:rPr>
          <w:rFonts w:asciiTheme="majorBidi" w:eastAsia="바탕" w:hAnsiTheme="majorBidi" w:cstheme="majorBidi"/>
          <w:szCs w:val="20"/>
        </w:rPr>
      </w:pPr>
      <w:r w:rsidRPr="009625DB">
        <w:rPr>
          <w:rFonts w:asciiTheme="majorBidi" w:eastAsia="바탕" w:hAnsiTheme="majorBidi" w:cstheme="majorBidi"/>
          <w:noProof/>
          <w:szCs w:val="20"/>
        </w:rPr>
        <w:lastRenderedPageBreak/>
        <w:drawing>
          <wp:inline distT="0" distB="0" distL="0" distR="0" wp14:anchorId="26C2D74C" wp14:editId="1BCA426C">
            <wp:extent cx="2772383" cy="2772383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33" cy="2810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5DB">
        <w:rPr>
          <w:rFonts w:asciiTheme="majorBidi" w:eastAsia="바탕" w:hAnsiTheme="majorBidi" w:cstheme="majorBidi"/>
          <w:noProof/>
          <w:szCs w:val="20"/>
        </w:rPr>
        <w:drawing>
          <wp:inline distT="0" distB="0" distL="0" distR="0" wp14:anchorId="3962EB79" wp14:editId="22F04A50">
            <wp:extent cx="2772383" cy="2772383"/>
            <wp:effectExtent l="0" t="0" r="9525" b="952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78" cy="2815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25DB">
        <w:rPr>
          <w:rFonts w:asciiTheme="majorBidi" w:eastAsia="바탕" w:hAnsiTheme="majorBidi" w:cstheme="majorBidi"/>
          <w:noProof/>
          <w:szCs w:val="20"/>
        </w:rPr>
        <w:drawing>
          <wp:inline distT="0" distB="0" distL="0" distR="0" wp14:anchorId="775FB23B" wp14:editId="2D45731A">
            <wp:extent cx="2869660" cy="2869660"/>
            <wp:effectExtent l="0" t="0" r="6985" b="6985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34" cy="2911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145B8" w14:textId="514692B0" w:rsidR="008C30DA" w:rsidRPr="001809CF" w:rsidRDefault="008C30DA" w:rsidP="008C30DA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b/>
          <w:bCs/>
          <w:szCs w:val="20"/>
        </w:rPr>
        <w:t>Fig</w:t>
      </w:r>
      <w:r w:rsidR="00E07BBC" w:rsidRPr="001809CF">
        <w:rPr>
          <w:rFonts w:asciiTheme="majorBidi" w:hAnsiTheme="majorBidi" w:cstheme="majorBidi"/>
          <w:b/>
          <w:bCs/>
          <w:szCs w:val="20"/>
        </w:rPr>
        <w:t>.</w:t>
      </w:r>
      <w:r w:rsidRPr="009625DB">
        <w:rPr>
          <w:rFonts w:asciiTheme="majorBidi" w:hAnsiTheme="majorBidi" w:cstheme="majorBidi"/>
          <w:b/>
          <w:bCs/>
          <w:szCs w:val="20"/>
        </w:rPr>
        <w:t xml:space="preserve"> S2</w:t>
      </w:r>
      <w:r w:rsidR="00B404CF" w:rsidRPr="001809CF">
        <w:rPr>
          <w:rFonts w:asciiTheme="majorBidi" w:hAnsiTheme="majorBidi" w:cstheme="majorBidi"/>
          <w:b/>
          <w:bCs/>
          <w:szCs w:val="20"/>
        </w:rPr>
        <w:t>.</w:t>
      </w:r>
      <w:r w:rsidRPr="009625DB">
        <w:rPr>
          <w:rFonts w:asciiTheme="majorBidi" w:hAnsiTheme="majorBidi" w:cstheme="majorBidi"/>
          <w:b/>
          <w:bCs/>
          <w:szCs w:val="20"/>
        </w:rPr>
        <w:t xml:space="preserve"> </w:t>
      </w:r>
      <w:r w:rsidRPr="001809CF">
        <w:rPr>
          <w:rFonts w:asciiTheme="majorBidi" w:eastAsia="바탕" w:hAnsiTheme="majorBidi" w:cstheme="majorBidi"/>
          <w:szCs w:val="20"/>
        </w:rPr>
        <w:t>Kaplan-Meier estimates of survival outcomes stratified by the Systemic Inflammation Response Index (SIRI) over the full follow-up period.</w:t>
      </w:r>
    </w:p>
    <w:p w14:paraId="52B63CFF" w14:textId="77777777" w:rsidR="0061313D" w:rsidRPr="009625DB" w:rsidRDefault="0061313D" w:rsidP="009625DB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szCs w:val="20"/>
        </w:rPr>
        <w:t>Survival curves are plotted over the entire follow-up period (up to 80 months) to illustrate the long-term clinical course. Survival probabilities were estimated using the Kaplan–Meier method and compared using the log-rank test. Shaded regions represent 95% confidence intervals.</w:t>
      </w:r>
    </w:p>
    <w:p w14:paraId="344EF2A8" w14:textId="77777777" w:rsidR="0061313D" w:rsidRPr="009625DB" w:rsidRDefault="0061313D" w:rsidP="009625DB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szCs w:val="20"/>
        </w:rPr>
        <w:t xml:space="preserve">(A) Progression-free survival (PFS) stratified by median SIRI </w:t>
      </w:r>
    </w:p>
    <w:p w14:paraId="53BFDFB6" w14:textId="77777777" w:rsidR="0061313D" w:rsidRPr="009625DB" w:rsidRDefault="0061313D" w:rsidP="009625DB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szCs w:val="20"/>
        </w:rPr>
        <w:t>(B) PFS comparison between extreme quartiles (Q1 vs. Q4)</w:t>
      </w:r>
    </w:p>
    <w:p w14:paraId="24E0DC86" w14:textId="7A84BC0E" w:rsidR="00F03A76" w:rsidRPr="009625DB" w:rsidRDefault="0061313D" w:rsidP="009625DB">
      <w:pPr>
        <w:spacing w:after="0" w:line="480" w:lineRule="auto"/>
        <w:rPr>
          <w:rFonts w:asciiTheme="majorBidi" w:hAnsiTheme="majorBidi" w:cstheme="majorBidi"/>
          <w:szCs w:val="20"/>
        </w:rPr>
      </w:pPr>
      <w:r w:rsidRPr="009625DB">
        <w:rPr>
          <w:rFonts w:asciiTheme="majorBidi" w:hAnsiTheme="majorBidi" w:cstheme="majorBidi"/>
          <w:szCs w:val="20"/>
        </w:rPr>
        <w:t xml:space="preserve">(C) Overall Survival (OS) stratified by median SIRI </w:t>
      </w:r>
    </w:p>
    <w:sectPr w:rsidR="00F03A76" w:rsidRPr="009625DB" w:rsidSect="009625DB">
      <w:footerReference w:type="default" r:id="rId12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D621A3" w16cex:dateUtc="2026-02-19T1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2AA3" w14:textId="77777777" w:rsidR="008A720C" w:rsidRPr="001809CF" w:rsidRDefault="008A720C" w:rsidP="00984D3C">
      <w:pPr>
        <w:spacing w:after="0" w:line="240" w:lineRule="auto"/>
      </w:pPr>
      <w:r w:rsidRPr="001809CF">
        <w:separator/>
      </w:r>
    </w:p>
  </w:endnote>
  <w:endnote w:type="continuationSeparator" w:id="0">
    <w:p w14:paraId="5D24D2EF" w14:textId="77777777" w:rsidR="008A720C" w:rsidRPr="001809CF" w:rsidRDefault="008A720C" w:rsidP="00984D3C">
      <w:pPr>
        <w:spacing w:after="0" w:line="240" w:lineRule="auto"/>
      </w:pPr>
      <w:r w:rsidRPr="001809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73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2202DA29" w14:textId="367039CE" w:rsidR="00984D3C" w:rsidRPr="009625DB" w:rsidRDefault="00984D3C" w:rsidP="009625DB">
        <w:pPr>
          <w:pStyle w:val="af2"/>
          <w:jc w:val="center"/>
          <w:rPr>
            <w:rFonts w:asciiTheme="majorBidi" w:hAnsiTheme="majorBidi" w:cstheme="majorBidi"/>
          </w:rPr>
        </w:pPr>
        <w:r w:rsidRPr="009625DB">
          <w:rPr>
            <w:rFonts w:asciiTheme="majorBidi" w:hAnsiTheme="majorBidi" w:cstheme="majorBidi"/>
          </w:rPr>
          <w:fldChar w:fldCharType="begin"/>
        </w:r>
        <w:r w:rsidRPr="009625DB">
          <w:rPr>
            <w:rFonts w:asciiTheme="majorBidi" w:hAnsiTheme="majorBidi" w:cstheme="majorBidi"/>
          </w:rPr>
          <w:instrText xml:space="preserve"> PAGE   \* MERGEFORMAT </w:instrText>
        </w:r>
        <w:r w:rsidRPr="009625DB">
          <w:rPr>
            <w:rFonts w:asciiTheme="majorBidi" w:hAnsiTheme="majorBidi" w:cstheme="majorBidi"/>
          </w:rPr>
          <w:fldChar w:fldCharType="separate"/>
        </w:r>
        <w:r w:rsidRPr="009625DB">
          <w:rPr>
            <w:rFonts w:asciiTheme="majorBidi" w:hAnsiTheme="majorBidi" w:cstheme="majorBidi"/>
          </w:rPr>
          <w:t>2</w:t>
        </w:r>
        <w:r w:rsidRPr="009625DB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F8A5" w14:textId="77777777" w:rsidR="008A720C" w:rsidRPr="001809CF" w:rsidRDefault="008A720C" w:rsidP="00984D3C">
      <w:pPr>
        <w:spacing w:after="0" w:line="240" w:lineRule="auto"/>
      </w:pPr>
      <w:r w:rsidRPr="001809CF">
        <w:separator/>
      </w:r>
    </w:p>
  </w:footnote>
  <w:footnote w:type="continuationSeparator" w:id="0">
    <w:p w14:paraId="3C87AE21" w14:textId="77777777" w:rsidR="008A720C" w:rsidRPr="001809CF" w:rsidRDefault="008A720C" w:rsidP="00984D3C">
      <w:pPr>
        <w:spacing w:after="0" w:line="240" w:lineRule="auto"/>
      </w:pPr>
      <w:r w:rsidRPr="001809C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3D"/>
    <w:rsid w:val="00002AF0"/>
    <w:rsid w:val="00002D15"/>
    <w:rsid w:val="00012659"/>
    <w:rsid w:val="00021454"/>
    <w:rsid w:val="0002293A"/>
    <w:rsid w:val="00051420"/>
    <w:rsid w:val="00054FF4"/>
    <w:rsid w:val="00090978"/>
    <w:rsid w:val="000C2953"/>
    <w:rsid w:val="000D0526"/>
    <w:rsid w:val="000E5724"/>
    <w:rsid w:val="00106B56"/>
    <w:rsid w:val="001100CD"/>
    <w:rsid w:val="00112262"/>
    <w:rsid w:val="00131548"/>
    <w:rsid w:val="00133EA2"/>
    <w:rsid w:val="00136FAF"/>
    <w:rsid w:val="001401EC"/>
    <w:rsid w:val="001424B3"/>
    <w:rsid w:val="00142718"/>
    <w:rsid w:val="00151D1C"/>
    <w:rsid w:val="00163E87"/>
    <w:rsid w:val="00175BDF"/>
    <w:rsid w:val="001809CF"/>
    <w:rsid w:val="00195A18"/>
    <w:rsid w:val="001B3BF0"/>
    <w:rsid w:val="001B4D8D"/>
    <w:rsid w:val="001C40F0"/>
    <w:rsid w:val="001F069D"/>
    <w:rsid w:val="00202490"/>
    <w:rsid w:val="00211FA4"/>
    <w:rsid w:val="00214EF6"/>
    <w:rsid w:val="002259AE"/>
    <w:rsid w:val="00240466"/>
    <w:rsid w:val="00262A54"/>
    <w:rsid w:val="0028138C"/>
    <w:rsid w:val="00287014"/>
    <w:rsid w:val="002B4233"/>
    <w:rsid w:val="002B7BA3"/>
    <w:rsid w:val="002D44DE"/>
    <w:rsid w:val="002F2F59"/>
    <w:rsid w:val="00325456"/>
    <w:rsid w:val="0033792A"/>
    <w:rsid w:val="00345EDC"/>
    <w:rsid w:val="00373E24"/>
    <w:rsid w:val="003906E3"/>
    <w:rsid w:val="003A2BB0"/>
    <w:rsid w:val="003C2561"/>
    <w:rsid w:val="003C5F30"/>
    <w:rsid w:val="003D5D26"/>
    <w:rsid w:val="004045C4"/>
    <w:rsid w:val="00405154"/>
    <w:rsid w:val="00411358"/>
    <w:rsid w:val="00426031"/>
    <w:rsid w:val="0045059D"/>
    <w:rsid w:val="00491456"/>
    <w:rsid w:val="004C3914"/>
    <w:rsid w:val="004D185C"/>
    <w:rsid w:val="004D44AB"/>
    <w:rsid w:val="004E560B"/>
    <w:rsid w:val="004E5D42"/>
    <w:rsid w:val="004F2C45"/>
    <w:rsid w:val="00506E9B"/>
    <w:rsid w:val="00511632"/>
    <w:rsid w:val="0051167B"/>
    <w:rsid w:val="00517D85"/>
    <w:rsid w:val="0052676A"/>
    <w:rsid w:val="00533455"/>
    <w:rsid w:val="00544D41"/>
    <w:rsid w:val="0054724D"/>
    <w:rsid w:val="005574E7"/>
    <w:rsid w:val="00573D4E"/>
    <w:rsid w:val="005924A9"/>
    <w:rsid w:val="005A73B1"/>
    <w:rsid w:val="005B1DD0"/>
    <w:rsid w:val="005C5CF0"/>
    <w:rsid w:val="005D1D20"/>
    <w:rsid w:val="005D44AB"/>
    <w:rsid w:val="00600336"/>
    <w:rsid w:val="006006C7"/>
    <w:rsid w:val="00605669"/>
    <w:rsid w:val="0061313D"/>
    <w:rsid w:val="006174A2"/>
    <w:rsid w:val="006301CA"/>
    <w:rsid w:val="00633CA5"/>
    <w:rsid w:val="00635B03"/>
    <w:rsid w:val="00636F3F"/>
    <w:rsid w:val="00665240"/>
    <w:rsid w:val="0067156D"/>
    <w:rsid w:val="006764A6"/>
    <w:rsid w:val="00684758"/>
    <w:rsid w:val="006B3DE5"/>
    <w:rsid w:val="006C44B5"/>
    <w:rsid w:val="006C6A09"/>
    <w:rsid w:val="006D78AB"/>
    <w:rsid w:val="00727078"/>
    <w:rsid w:val="007348AA"/>
    <w:rsid w:val="0077778F"/>
    <w:rsid w:val="00786893"/>
    <w:rsid w:val="0079756C"/>
    <w:rsid w:val="007A3AA0"/>
    <w:rsid w:val="007A48B2"/>
    <w:rsid w:val="007B0EC3"/>
    <w:rsid w:val="007E4ABA"/>
    <w:rsid w:val="007E4FF1"/>
    <w:rsid w:val="007E6C9A"/>
    <w:rsid w:val="007F2847"/>
    <w:rsid w:val="007F40A8"/>
    <w:rsid w:val="008130FC"/>
    <w:rsid w:val="00871CFC"/>
    <w:rsid w:val="00880475"/>
    <w:rsid w:val="00890036"/>
    <w:rsid w:val="0089422C"/>
    <w:rsid w:val="008A15A5"/>
    <w:rsid w:val="008A720C"/>
    <w:rsid w:val="008B0AD2"/>
    <w:rsid w:val="008C0D04"/>
    <w:rsid w:val="008C1C78"/>
    <w:rsid w:val="008C30DA"/>
    <w:rsid w:val="008D5561"/>
    <w:rsid w:val="008D5C40"/>
    <w:rsid w:val="008E184B"/>
    <w:rsid w:val="008F5410"/>
    <w:rsid w:val="00930A38"/>
    <w:rsid w:val="009358E8"/>
    <w:rsid w:val="0093686D"/>
    <w:rsid w:val="00936898"/>
    <w:rsid w:val="00945326"/>
    <w:rsid w:val="009625DB"/>
    <w:rsid w:val="00975558"/>
    <w:rsid w:val="00980877"/>
    <w:rsid w:val="00984D3C"/>
    <w:rsid w:val="00997E6B"/>
    <w:rsid w:val="009D2336"/>
    <w:rsid w:val="009E0E9A"/>
    <w:rsid w:val="009E28B1"/>
    <w:rsid w:val="009E3AA1"/>
    <w:rsid w:val="00A02BF7"/>
    <w:rsid w:val="00A05C01"/>
    <w:rsid w:val="00A15537"/>
    <w:rsid w:val="00A33B8E"/>
    <w:rsid w:val="00A50AD0"/>
    <w:rsid w:val="00A62DAA"/>
    <w:rsid w:val="00A72E4F"/>
    <w:rsid w:val="00AB3783"/>
    <w:rsid w:val="00AC185E"/>
    <w:rsid w:val="00AD367F"/>
    <w:rsid w:val="00AD47B0"/>
    <w:rsid w:val="00AE293D"/>
    <w:rsid w:val="00AF03B4"/>
    <w:rsid w:val="00B019DB"/>
    <w:rsid w:val="00B123C2"/>
    <w:rsid w:val="00B3054A"/>
    <w:rsid w:val="00B404CF"/>
    <w:rsid w:val="00B41DF7"/>
    <w:rsid w:val="00B51150"/>
    <w:rsid w:val="00B520DE"/>
    <w:rsid w:val="00B528A1"/>
    <w:rsid w:val="00B65129"/>
    <w:rsid w:val="00B7316F"/>
    <w:rsid w:val="00B74AF9"/>
    <w:rsid w:val="00B859F6"/>
    <w:rsid w:val="00B86956"/>
    <w:rsid w:val="00B95BE0"/>
    <w:rsid w:val="00BF131B"/>
    <w:rsid w:val="00BF1FC5"/>
    <w:rsid w:val="00BF3A09"/>
    <w:rsid w:val="00C053D7"/>
    <w:rsid w:val="00C10E61"/>
    <w:rsid w:val="00C41DAB"/>
    <w:rsid w:val="00C42606"/>
    <w:rsid w:val="00C6367F"/>
    <w:rsid w:val="00C7180B"/>
    <w:rsid w:val="00C9396D"/>
    <w:rsid w:val="00CA64C4"/>
    <w:rsid w:val="00CC26B5"/>
    <w:rsid w:val="00CC77D1"/>
    <w:rsid w:val="00CE61AC"/>
    <w:rsid w:val="00CE766D"/>
    <w:rsid w:val="00D01047"/>
    <w:rsid w:val="00D0572B"/>
    <w:rsid w:val="00D1535C"/>
    <w:rsid w:val="00D33DD0"/>
    <w:rsid w:val="00D341BE"/>
    <w:rsid w:val="00D408AE"/>
    <w:rsid w:val="00D45CC8"/>
    <w:rsid w:val="00D541F8"/>
    <w:rsid w:val="00D71F07"/>
    <w:rsid w:val="00D7505A"/>
    <w:rsid w:val="00D80EC8"/>
    <w:rsid w:val="00D8682E"/>
    <w:rsid w:val="00D913F7"/>
    <w:rsid w:val="00DB23E7"/>
    <w:rsid w:val="00DE7B40"/>
    <w:rsid w:val="00DF1EC9"/>
    <w:rsid w:val="00E044E2"/>
    <w:rsid w:val="00E07BBC"/>
    <w:rsid w:val="00E61D92"/>
    <w:rsid w:val="00E677FA"/>
    <w:rsid w:val="00E71447"/>
    <w:rsid w:val="00E7367D"/>
    <w:rsid w:val="00E7418D"/>
    <w:rsid w:val="00E817E1"/>
    <w:rsid w:val="00EB61BE"/>
    <w:rsid w:val="00ED0F4D"/>
    <w:rsid w:val="00ED1E1E"/>
    <w:rsid w:val="00ED77CD"/>
    <w:rsid w:val="00EE78CA"/>
    <w:rsid w:val="00F03A76"/>
    <w:rsid w:val="00F10A0F"/>
    <w:rsid w:val="00F25A56"/>
    <w:rsid w:val="00F54B06"/>
    <w:rsid w:val="00F57B90"/>
    <w:rsid w:val="00F9303C"/>
    <w:rsid w:val="00FA1137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EEB9"/>
  <w15:chartTrackingRefBased/>
  <w15:docId w15:val="{E058B7B9-73E8-40BD-BC26-C1ED67A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13D"/>
    <w:pPr>
      <w:widowControl w:val="0"/>
      <w:spacing w:line="259" w:lineRule="auto"/>
      <w:jc w:val="both"/>
    </w:pPr>
    <w:rPr>
      <w:sz w:val="20"/>
      <w:szCs w:val="22"/>
      <w:lang w:val="en-US" w:eastAsia="ko-K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313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ja-JP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13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13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ja-JP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13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13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13D"/>
    <w:pPr>
      <w:keepNext/>
      <w:keepLines/>
      <w:widowControl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13D"/>
    <w:pPr>
      <w:keepNext/>
      <w:keepLines/>
      <w:widowControl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13D"/>
    <w:pPr>
      <w:keepNext/>
      <w:keepLines/>
      <w:widowControl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13D"/>
    <w:pPr>
      <w:keepNext/>
      <w:keepLines/>
      <w:widowControl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rsid w:val="00984D3C"/>
    <w:rPr>
      <w:rFonts w:asciiTheme="majorBidi" w:eastAsia="Palatino Linotype" w:hAnsiTheme="majorBidi" w:cs="Palatino Linotype"/>
      <w:sz w:val="20"/>
    </w:rPr>
  </w:style>
  <w:style w:type="character" w:customStyle="1" w:styleId="1Char">
    <w:name w:val="제목 1 Char"/>
    <w:basedOn w:val="a0"/>
    <w:link w:val="1"/>
    <w:uiPriority w:val="9"/>
    <w:rsid w:val="006131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Char">
    <w:name w:val="제목 2 Char"/>
    <w:basedOn w:val="a0"/>
    <w:link w:val="2"/>
    <w:uiPriority w:val="9"/>
    <w:semiHidden/>
    <w:rsid w:val="006131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Char">
    <w:name w:val="제목 3 Char"/>
    <w:basedOn w:val="a0"/>
    <w:link w:val="3"/>
    <w:uiPriority w:val="9"/>
    <w:semiHidden/>
    <w:rsid w:val="0061313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Char">
    <w:name w:val="제목 4 Char"/>
    <w:basedOn w:val="a0"/>
    <w:link w:val="4"/>
    <w:uiPriority w:val="9"/>
    <w:semiHidden/>
    <w:rsid w:val="0061313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Char">
    <w:name w:val="제목 5 Char"/>
    <w:basedOn w:val="a0"/>
    <w:link w:val="5"/>
    <w:uiPriority w:val="9"/>
    <w:semiHidden/>
    <w:rsid w:val="0061313D"/>
    <w:rPr>
      <w:rFonts w:eastAsiaTheme="majorEastAsia" w:cstheme="majorBidi"/>
      <w:color w:val="2F5496" w:themeColor="accent1" w:themeShade="BF"/>
      <w:lang w:val="en-US"/>
    </w:rPr>
  </w:style>
  <w:style w:type="character" w:customStyle="1" w:styleId="6Char">
    <w:name w:val="제목 6 Char"/>
    <w:basedOn w:val="a0"/>
    <w:link w:val="6"/>
    <w:uiPriority w:val="9"/>
    <w:semiHidden/>
    <w:rsid w:val="0061313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제목 7 Char"/>
    <w:basedOn w:val="a0"/>
    <w:link w:val="7"/>
    <w:uiPriority w:val="9"/>
    <w:semiHidden/>
    <w:rsid w:val="0061313D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제목 8 Char"/>
    <w:basedOn w:val="a0"/>
    <w:link w:val="8"/>
    <w:uiPriority w:val="9"/>
    <w:semiHidden/>
    <w:rsid w:val="0061313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제목 9 Char"/>
    <w:basedOn w:val="a0"/>
    <w:link w:val="9"/>
    <w:uiPriority w:val="9"/>
    <w:semiHidden/>
    <w:rsid w:val="0061313D"/>
    <w:rPr>
      <w:rFonts w:eastAsiaTheme="majorEastAsia" w:cstheme="majorBidi"/>
      <w:color w:val="272727" w:themeColor="text1" w:themeTint="D8"/>
      <w:lang w:val="en-US"/>
    </w:rPr>
  </w:style>
  <w:style w:type="paragraph" w:styleId="a4">
    <w:name w:val="Title"/>
    <w:basedOn w:val="a"/>
    <w:next w:val="a"/>
    <w:link w:val="Char"/>
    <w:uiPriority w:val="10"/>
    <w:qFormat/>
    <w:rsid w:val="0061313D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Char">
    <w:name w:val="제목 Char"/>
    <w:basedOn w:val="a0"/>
    <w:link w:val="a4"/>
    <w:uiPriority w:val="10"/>
    <w:rsid w:val="006131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Char0"/>
    <w:uiPriority w:val="11"/>
    <w:qFormat/>
    <w:rsid w:val="0061313D"/>
    <w:pPr>
      <w:widowControl/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ja-JP"/>
      <w14:ligatures w14:val="standardContextual"/>
    </w:rPr>
  </w:style>
  <w:style w:type="character" w:customStyle="1" w:styleId="Char0">
    <w:name w:val="부제 Char"/>
    <w:basedOn w:val="a0"/>
    <w:link w:val="a5"/>
    <w:uiPriority w:val="11"/>
    <w:rsid w:val="0061313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6">
    <w:name w:val="Quote"/>
    <w:basedOn w:val="a"/>
    <w:next w:val="a"/>
    <w:link w:val="Char1"/>
    <w:uiPriority w:val="29"/>
    <w:qFormat/>
    <w:rsid w:val="0061313D"/>
    <w:pPr>
      <w:widowControl/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eastAsia="ja-JP"/>
      <w14:ligatures w14:val="standardContextual"/>
    </w:rPr>
  </w:style>
  <w:style w:type="character" w:customStyle="1" w:styleId="Char1">
    <w:name w:val="인용 Char"/>
    <w:basedOn w:val="a0"/>
    <w:link w:val="a6"/>
    <w:uiPriority w:val="29"/>
    <w:rsid w:val="0061313D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61313D"/>
    <w:pPr>
      <w:widowControl/>
      <w:spacing w:line="278" w:lineRule="auto"/>
      <w:ind w:left="720"/>
      <w:contextualSpacing/>
      <w:jc w:val="left"/>
    </w:pPr>
    <w:rPr>
      <w:sz w:val="24"/>
      <w:szCs w:val="24"/>
      <w:lang w:eastAsia="ja-JP"/>
      <w14:ligatures w14:val="standardContextual"/>
    </w:rPr>
  </w:style>
  <w:style w:type="character" w:styleId="a8">
    <w:name w:val="Intense Emphasis"/>
    <w:basedOn w:val="a0"/>
    <w:uiPriority w:val="21"/>
    <w:qFormat/>
    <w:rsid w:val="006131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61313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eastAsia="ja-JP"/>
      <w14:ligatures w14:val="standardContextual"/>
    </w:rPr>
  </w:style>
  <w:style w:type="character" w:customStyle="1" w:styleId="Char2">
    <w:name w:val="강한 인용 Char"/>
    <w:basedOn w:val="a0"/>
    <w:link w:val="a9"/>
    <w:uiPriority w:val="30"/>
    <w:rsid w:val="0061313D"/>
    <w:rPr>
      <w:i/>
      <w:iCs/>
      <w:color w:val="2F5496" w:themeColor="accent1" w:themeShade="BF"/>
      <w:lang w:val="en-US"/>
    </w:rPr>
  </w:style>
  <w:style w:type="character" w:styleId="aa">
    <w:name w:val="Intense Reference"/>
    <w:basedOn w:val="a0"/>
    <w:uiPriority w:val="32"/>
    <w:qFormat/>
    <w:rsid w:val="0061313D"/>
    <w:rPr>
      <w:b/>
      <w:bCs/>
      <w:smallCaps/>
      <w:color w:val="2F5496" w:themeColor="accent1" w:themeShade="BF"/>
      <w:spacing w:val="5"/>
    </w:rPr>
  </w:style>
  <w:style w:type="paragraph" w:styleId="ab">
    <w:name w:val="Revision"/>
    <w:hidden/>
    <w:uiPriority w:val="99"/>
    <w:semiHidden/>
    <w:rsid w:val="00D408AE"/>
    <w:pPr>
      <w:spacing w:after="0" w:line="240" w:lineRule="auto"/>
    </w:pPr>
    <w:rPr>
      <w:sz w:val="20"/>
      <w:szCs w:val="22"/>
      <w:lang w:val="en-US" w:eastAsia="ko-KR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E817E1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E817E1"/>
    <w:pPr>
      <w:spacing w:line="240" w:lineRule="auto"/>
    </w:pPr>
    <w:rPr>
      <w:szCs w:val="20"/>
    </w:rPr>
  </w:style>
  <w:style w:type="character" w:customStyle="1" w:styleId="Char3">
    <w:name w:val="메모 텍스트 Char"/>
    <w:basedOn w:val="a0"/>
    <w:link w:val="ad"/>
    <w:uiPriority w:val="99"/>
    <w:rsid w:val="00E817E1"/>
    <w:rPr>
      <w:sz w:val="20"/>
      <w:szCs w:val="20"/>
      <w:lang w:val="en-US" w:eastAsia="ko-KR"/>
      <w14:ligatures w14:val="none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E817E1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E817E1"/>
    <w:rPr>
      <w:b/>
      <w:bCs/>
      <w:sz w:val="20"/>
      <w:szCs w:val="20"/>
      <w:lang w:val="en-US" w:eastAsia="ko-KR"/>
      <w14:ligatures w14:val="none"/>
    </w:rPr>
  </w:style>
  <w:style w:type="character" w:styleId="af">
    <w:name w:val="Hyperlink"/>
    <w:basedOn w:val="a0"/>
    <w:uiPriority w:val="99"/>
    <w:unhideWhenUsed/>
    <w:rsid w:val="00E817E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817E1"/>
    <w:rPr>
      <w:color w:val="605E5C"/>
      <w:shd w:val="clear" w:color="auto" w:fill="E1DFDD"/>
    </w:rPr>
  </w:style>
  <w:style w:type="paragraph" w:styleId="af1">
    <w:name w:val="header"/>
    <w:basedOn w:val="a"/>
    <w:link w:val="Char5"/>
    <w:uiPriority w:val="99"/>
    <w:unhideWhenUsed/>
    <w:rsid w:val="0098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머리글 Char"/>
    <w:basedOn w:val="a0"/>
    <w:link w:val="af1"/>
    <w:uiPriority w:val="99"/>
    <w:rsid w:val="00984D3C"/>
    <w:rPr>
      <w:sz w:val="20"/>
      <w:szCs w:val="22"/>
      <w:lang w:val="en-US" w:eastAsia="ko-KR"/>
      <w14:ligatures w14:val="none"/>
    </w:rPr>
  </w:style>
  <w:style w:type="paragraph" w:styleId="af2">
    <w:name w:val="footer"/>
    <w:basedOn w:val="a"/>
    <w:link w:val="Char6"/>
    <w:uiPriority w:val="99"/>
    <w:unhideWhenUsed/>
    <w:rsid w:val="0098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바닥글 Char"/>
    <w:basedOn w:val="a0"/>
    <w:link w:val="af2"/>
    <w:uiPriority w:val="99"/>
    <w:rsid w:val="00984D3C"/>
    <w:rPr>
      <w:sz w:val="20"/>
      <w:szCs w:val="22"/>
      <w:lang w:val="en-US" w:eastAsia="ko-KR"/>
      <w14:ligatures w14:val="none"/>
    </w:rPr>
  </w:style>
  <w:style w:type="paragraph" w:styleId="af3">
    <w:name w:val="Balloon Text"/>
    <w:basedOn w:val="a"/>
    <w:link w:val="Char7"/>
    <w:uiPriority w:val="99"/>
    <w:semiHidden/>
    <w:unhideWhenUsed/>
    <w:rsid w:val="009625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3"/>
    <w:uiPriority w:val="99"/>
    <w:semiHidden/>
    <w:rsid w:val="009625DB"/>
    <w:rPr>
      <w:rFonts w:asciiTheme="majorHAnsi" w:eastAsiaTheme="majorEastAsia" w:hAnsiTheme="majorHAnsi" w:cstheme="majorBidi"/>
      <w:sz w:val="18"/>
      <w:szCs w:val="18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임승연</cp:lastModifiedBy>
  <cp:revision>12</cp:revision>
  <dcterms:created xsi:type="dcterms:W3CDTF">2026-02-19T13:05:00Z</dcterms:created>
  <dcterms:modified xsi:type="dcterms:W3CDTF">2026-02-21T16:25:00Z</dcterms:modified>
</cp:coreProperties>
</file>