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9554" w14:textId="4A970203" w:rsidR="000F1240" w:rsidRPr="00CB5714" w:rsidRDefault="000F1240" w:rsidP="000F1240">
      <w:pPr>
        <w:rPr>
          <w:sz w:val="24"/>
          <w:szCs w:val="24"/>
        </w:rPr>
      </w:pPr>
      <w:r>
        <w:rPr>
          <w:sz w:val="24"/>
          <w:szCs w:val="24"/>
        </w:rPr>
        <w:t xml:space="preserve">                                              </w:t>
      </w:r>
      <w:r w:rsidRPr="00CB5714">
        <w:rPr>
          <w:sz w:val="24"/>
          <w:szCs w:val="24"/>
        </w:rPr>
        <w:t xml:space="preserve">Additional file 3. TIDieR used for reporting </w:t>
      </w:r>
      <w:r w:rsidR="002D0956">
        <w:rPr>
          <w:sz w:val="24"/>
          <w:szCs w:val="24"/>
        </w:rPr>
        <w:t xml:space="preserve">mode of delivery of </w:t>
      </w:r>
      <w:r w:rsidRPr="00CB5714">
        <w:rPr>
          <w:sz w:val="24"/>
          <w:szCs w:val="24"/>
        </w:rPr>
        <w:t>our food safety intervention</w:t>
      </w:r>
    </w:p>
    <w:p w14:paraId="383DAEE4" w14:textId="50261B2D" w:rsidR="001029DF" w:rsidRPr="00F57C8A" w:rsidRDefault="00025DB6" w:rsidP="001B082A">
      <w:pPr>
        <w:spacing w:line="240" w:lineRule="auto"/>
        <w:ind w:firstLine="720"/>
        <w:rPr>
          <w:rFonts w:ascii="Times New Roman" w:hAnsi="Times New Roman" w:cs="Times New Roman"/>
          <w:b/>
          <w:bCs/>
          <w:color w:val="4F81BD" w:themeColor="accent1"/>
          <w:sz w:val="20"/>
          <w:szCs w:val="20"/>
        </w:rPr>
      </w:pPr>
      <w:r w:rsidRPr="00F57C8A">
        <w:rPr>
          <w:rFonts w:ascii="Times New Roman" w:hAnsi="Times New Roman" w:cs="Times New Roman"/>
          <w:b/>
          <w:bCs/>
          <w:noProof/>
          <w:color w:val="4F81BD" w:themeColor="accent1"/>
          <w:sz w:val="20"/>
          <w:szCs w:val="20"/>
          <w:lang w:val="en-GB" w:eastAsia="en-GB"/>
        </w:rPr>
        <w:drawing>
          <wp:anchor distT="0" distB="0" distL="114300" distR="114300" simplePos="0" relativeHeight="251658240" behindDoc="1" locked="0" layoutInCell="1" allowOverlap="1" wp14:anchorId="383DAF67" wp14:editId="383DAF68">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F57C8A">
        <w:rPr>
          <w:rFonts w:ascii="Times New Roman" w:hAnsi="Times New Roman" w:cs="Times New Roman"/>
          <w:b/>
          <w:bCs/>
          <w:color w:val="4F81BD" w:themeColor="accent1"/>
          <w:sz w:val="20"/>
          <w:szCs w:val="20"/>
        </w:rPr>
        <w:t xml:space="preserve">The TIDieR </w:t>
      </w:r>
      <w:r w:rsidR="001029DF" w:rsidRPr="00F57C8A">
        <w:rPr>
          <w:rFonts w:ascii="Times New Roman" w:hAnsi="Times New Roman" w:cs="Times New Roman"/>
          <w:b/>
          <w:bCs/>
          <w:color w:val="4F81BD" w:themeColor="accent1"/>
          <w:sz w:val="20"/>
          <w:szCs w:val="20"/>
        </w:rPr>
        <w:t xml:space="preserve">(Template for Intervention Description and Replication) </w:t>
      </w:r>
      <w:r w:rsidR="00200C2E" w:rsidRPr="00F57C8A">
        <w:rPr>
          <w:rFonts w:ascii="Times New Roman" w:hAnsi="Times New Roman" w:cs="Times New Roman"/>
          <w:b/>
          <w:bCs/>
          <w:color w:val="4F81BD" w:themeColor="accent1"/>
          <w:sz w:val="20"/>
          <w:szCs w:val="20"/>
        </w:rPr>
        <w:t>Checklist</w:t>
      </w:r>
      <w:r w:rsidR="00F6748D" w:rsidRPr="00F57C8A">
        <w:rPr>
          <w:rFonts w:ascii="Times New Roman" w:hAnsi="Times New Roman" w:cs="Times New Roman"/>
          <w:b/>
          <w:bCs/>
          <w:color w:val="4F81BD" w:themeColor="accent1"/>
          <w:sz w:val="20"/>
          <w:szCs w:val="20"/>
        </w:rPr>
        <w:t>*</w:t>
      </w:r>
      <w:r w:rsidR="00200C2E" w:rsidRPr="00F57C8A">
        <w:rPr>
          <w:rFonts w:ascii="Times New Roman" w:hAnsi="Times New Roman" w:cs="Times New Roman"/>
          <w:b/>
          <w:bCs/>
          <w:color w:val="4F81BD" w:themeColor="accent1"/>
          <w:sz w:val="20"/>
          <w:szCs w:val="20"/>
        </w:rPr>
        <w:t>:</w:t>
      </w:r>
    </w:p>
    <w:p w14:paraId="383DAEE5" w14:textId="77777777" w:rsidR="0029581A" w:rsidRPr="00F57C8A" w:rsidRDefault="001B082A" w:rsidP="001B082A">
      <w:pPr>
        <w:spacing w:line="240" w:lineRule="auto"/>
        <w:rPr>
          <w:rFonts w:ascii="Times New Roman" w:hAnsi="Times New Roman" w:cs="Times New Roman"/>
          <w:sz w:val="20"/>
          <w:szCs w:val="20"/>
        </w:rPr>
      </w:pPr>
      <w:r w:rsidRPr="00F57C8A">
        <w:rPr>
          <w:rFonts w:ascii="Times New Roman" w:hAnsi="Times New Roman" w:cs="Times New Roman"/>
          <w:sz w:val="20"/>
          <w:szCs w:val="20"/>
        </w:rPr>
        <w:t xml:space="preserve">     </w:t>
      </w:r>
      <w:r w:rsidR="00025DB6" w:rsidRPr="00F57C8A">
        <w:rPr>
          <w:rFonts w:ascii="Times New Roman" w:hAnsi="Times New Roman" w:cs="Times New Roman"/>
          <w:sz w:val="20"/>
          <w:szCs w:val="20"/>
        </w:rPr>
        <w:t xml:space="preserve">    </w:t>
      </w:r>
      <w:r w:rsidRPr="00F57C8A">
        <w:rPr>
          <w:rFonts w:ascii="Times New Roman" w:hAnsi="Times New Roman" w:cs="Times New Roman"/>
          <w:sz w:val="20"/>
          <w:szCs w:val="20"/>
        </w:rPr>
        <w:t xml:space="preserve"> </w:t>
      </w:r>
      <w:r w:rsidR="001029DF" w:rsidRPr="00F57C8A">
        <w:rPr>
          <w:rFonts w:ascii="Times New Roman" w:hAnsi="Times New Roman" w:cs="Times New Roman"/>
          <w:sz w:val="20"/>
          <w:szCs w:val="20"/>
        </w:rPr>
        <w:t>Information</w:t>
      </w:r>
      <w:r w:rsidR="00200C2E" w:rsidRPr="00F57C8A">
        <w:rPr>
          <w:rFonts w:ascii="Times New Roman" w:hAnsi="Times New Roman" w:cs="Times New Roman"/>
          <w:sz w:val="20"/>
          <w:szCs w:val="20"/>
        </w:rPr>
        <w:t xml:space="preserve"> to include when describing an intervention and the location of the information</w:t>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F57C8A" w14:paraId="383DAEE9" w14:textId="77777777" w:rsidTr="000D28AE">
        <w:trPr>
          <w:trHeight w:val="383"/>
        </w:trPr>
        <w:tc>
          <w:tcPr>
            <w:tcW w:w="959" w:type="dxa"/>
            <w:vMerge w:val="restart"/>
            <w:tcBorders>
              <w:top w:val="single" w:sz="4" w:space="0" w:color="auto"/>
              <w:bottom w:val="nil"/>
              <w:right w:val="nil"/>
            </w:tcBorders>
            <w:shd w:val="clear" w:color="auto" w:fill="C6D9F1" w:themeFill="text2" w:themeFillTint="33"/>
          </w:tcPr>
          <w:p w14:paraId="383DAEE6"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383DAEE7"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 xml:space="preserve">Item </w:t>
            </w:r>
          </w:p>
        </w:tc>
        <w:tc>
          <w:tcPr>
            <w:tcW w:w="3686" w:type="dxa"/>
            <w:gridSpan w:val="2"/>
            <w:tcBorders>
              <w:top w:val="single" w:sz="4" w:space="0" w:color="auto"/>
              <w:left w:val="nil"/>
              <w:bottom w:val="nil"/>
            </w:tcBorders>
            <w:shd w:val="clear" w:color="auto" w:fill="C6D9F1" w:themeFill="text2" w:themeFillTint="33"/>
          </w:tcPr>
          <w:p w14:paraId="383DAEE8" w14:textId="77777777" w:rsidR="00200C2E" w:rsidRPr="00F57C8A" w:rsidRDefault="00200C2E" w:rsidP="005D598F">
            <w:pPr>
              <w:jc w:val="center"/>
              <w:rPr>
                <w:rFonts w:ascii="Times New Roman" w:eastAsia="Calibri" w:hAnsi="Times New Roman" w:cs="Times New Roman"/>
                <w:b/>
                <w:bCs/>
                <w:sz w:val="20"/>
                <w:szCs w:val="20"/>
              </w:rPr>
            </w:pPr>
            <w:r w:rsidRPr="00F57C8A">
              <w:rPr>
                <w:rFonts w:ascii="Times New Roman" w:eastAsia="Times New Roman" w:hAnsi="Times New Roman" w:cs="Times New Roman"/>
                <w:b/>
                <w:bCs/>
                <w:color w:val="000000"/>
                <w:kern w:val="24"/>
                <w:sz w:val="20"/>
                <w:szCs w:val="20"/>
                <w:lang w:val="en-GB"/>
              </w:rPr>
              <w:t>Where located</w:t>
            </w:r>
            <w:r w:rsidR="005D598F" w:rsidRPr="00F57C8A">
              <w:rPr>
                <w:rFonts w:ascii="Times New Roman" w:eastAsia="Times New Roman" w:hAnsi="Times New Roman" w:cs="Times New Roman"/>
                <w:b/>
                <w:bCs/>
                <w:color w:val="000000"/>
                <w:kern w:val="24"/>
                <w:sz w:val="20"/>
                <w:szCs w:val="20"/>
                <w:lang w:val="en-GB"/>
              </w:rPr>
              <w:t xml:space="preserve"> **</w:t>
            </w:r>
          </w:p>
        </w:tc>
      </w:tr>
      <w:tr w:rsidR="00200C2E" w:rsidRPr="00F57C8A" w14:paraId="383DAEF0" w14:textId="77777777" w:rsidTr="000D28AE">
        <w:tc>
          <w:tcPr>
            <w:tcW w:w="959" w:type="dxa"/>
            <w:vMerge/>
            <w:tcBorders>
              <w:top w:val="nil"/>
              <w:bottom w:val="single" w:sz="4" w:space="0" w:color="auto"/>
              <w:right w:val="nil"/>
            </w:tcBorders>
            <w:shd w:val="clear" w:color="auto" w:fill="C6D9F1" w:themeFill="text2" w:themeFillTint="33"/>
          </w:tcPr>
          <w:p w14:paraId="383DAEEA"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top w:val="nil"/>
              <w:left w:val="nil"/>
              <w:bottom w:val="single" w:sz="4" w:space="0" w:color="auto"/>
              <w:right w:val="nil"/>
            </w:tcBorders>
            <w:shd w:val="clear" w:color="auto" w:fill="C6D9F1" w:themeFill="text2" w:themeFillTint="33"/>
          </w:tcPr>
          <w:p w14:paraId="383DAEEB"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top w:val="nil"/>
              <w:left w:val="nil"/>
              <w:bottom w:val="single" w:sz="4" w:space="0" w:color="auto"/>
              <w:right w:val="single" w:sz="4" w:space="0" w:color="auto"/>
            </w:tcBorders>
            <w:shd w:val="clear" w:color="auto" w:fill="C6D9F1" w:themeFill="text2" w:themeFillTint="33"/>
          </w:tcPr>
          <w:p w14:paraId="383DAEEC" w14:textId="77777777" w:rsidR="00200C2E" w:rsidRPr="00F57C8A" w:rsidRDefault="00200C2E" w:rsidP="00317D9A">
            <w:pPr>
              <w:spacing w:line="360" w:lineRule="auto"/>
              <w:ind w:left="-108" w:right="-1347"/>
              <w:rPr>
                <w:rFonts w:ascii="Times New Roman" w:eastAsia="Times New Roman" w:hAnsi="Times New Roman" w:cs="Times New Roman"/>
                <w:color w:val="000000"/>
                <w:kern w:val="24"/>
                <w:sz w:val="20"/>
                <w:szCs w:val="20"/>
                <w:lang w:val="en-GB"/>
              </w:rPr>
            </w:pPr>
            <w:r w:rsidRPr="00F57C8A">
              <w:rPr>
                <w:rFonts w:ascii="Times New Roman" w:eastAsia="Times New Roman" w:hAnsi="Times New Roman" w:cs="Times New Roman"/>
                <w:color w:val="000000"/>
                <w:kern w:val="24"/>
                <w:sz w:val="20"/>
                <w:szCs w:val="20"/>
                <w:lang w:val="en-GB"/>
              </w:rPr>
              <w:t>Primary paper</w:t>
            </w:r>
          </w:p>
          <w:p w14:paraId="383DAEEE" w14:textId="0AF2C57D" w:rsidR="00200C2E" w:rsidRPr="00F57C8A" w:rsidRDefault="00200C2E" w:rsidP="00AA11D2">
            <w:pPr>
              <w:spacing w:line="360" w:lineRule="auto"/>
              <w:ind w:left="-108" w:right="-1347"/>
              <w:rPr>
                <w:rFonts w:ascii="Times New Roman" w:eastAsia="Times New Roman" w:hAnsi="Times New Roman" w:cs="Times New Roman"/>
                <w:color w:val="000000"/>
                <w:kern w:val="24"/>
                <w:sz w:val="20"/>
                <w:szCs w:val="20"/>
                <w:lang w:val="en-GB"/>
              </w:rPr>
            </w:pPr>
            <w:r w:rsidRPr="00F57C8A">
              <w:rPr>
                <w:rFonts w:ascii="Times New Roman" w:eastAsia="Times New Roman" w:hAnsi="Times New Roman" w:cs="Times New Roman"/>
                <w:color w:val="000000"/>
                <w:kern w:val="24"/>
                <w:sz w:val="20"/>
                <w:szCs w:val="20"/>
                <w:lang w:val="en-GB"/>
              </w:rPr>
              <w:t>(</w:t>
            </w:r>
            <w:r w:rsidR="0012730A" w:rsidRPr="00F57C8A">
              <w:rPr>
                <w:rFonts w:ascii="Times New Roman" w:eastAsia="Times New Roman" w:hAnsi="Times New Roman" w:cs="Times New Roman"/>
                <w:color w:val="000000"/>
                <w:kern w:val="24"/>
                <w:sz w:val="20"/>
                <w:szCs w:val="20"/>
                <w:lang w:val="en-GB"/>
              </w:rPr>
              <w:t>Page</w:t>
            </w:r>
            <w:r w:rsidRPr="00F57C8A">
              <w:rPr>
                <w:rFonts w:ascii="Times New Roman" w:eastAsia="Times New Roman" w:hAnsi="Times New Roman" w:cs="Times New Roman"/>
                <w:color w:val="000000"/>
                <w:kern w:val="24"/>
                <w:sz w:val="20"/>
                <w:szCs w:val="20"/>
                <w:lang w:val="en-GB"/>
              </w:rPr>
              <w:t xml:space="preserve"> number)</w:t>
            </w:r>
          </w:p>
        </w:tc>
        <w:tc>
          <w:tcPr>
            <w:tcW w:w="1843" w:type="dxa"/>
            <w:tcBorders>
              <w:top w:val="nil"/>
              <w:left w:val="single" w:sz="4" w:space="0" w:color="auto"/>
              <w:bottom w:val="single" w:sz="4" w:space="0" w:color="auto"/>
            </w:tcBorders>
            <w:shd w:val="clear" w:color="auto" w:fill="C6D9F1" w:themeFill="text2" w:themeFillTint="33"/>
          </w:tcPr>
          <w:p w14:paraId="383DAEEF" w14:textId="77777777" w:rsidR="00200C2E" w:rsidRPr="00F57C8A" w:rsidRDefault="00200C2E" w:rsidP="00317D9A">
            <w:pPr>
              <w:spacing w:line="360" w:lineRule="auto"/>
              <w:jc w:val="center"/>
              <w:rPr>
                <w:rFonts w:ascii="Times New Roman" w:eastAsia="Calibri" w:hAnsi="Times New Roman" w:cs="Times New Roman"/>
                <w:sz w:val="20"/>
                <w:szCs w:val="20"/>
              </w:rPr>
            </w:pPr>
            <w:r w:rsidRPr="00F57C8A">
              <w:rPr>
                <w:rFonts w:ascii="Times New Roman" w:eastAsia="Calibri" w:hAnsi="Times New Roman" w:cs="Times New Roman"/>
                <w:sz w:val="20"/>
                <w:szCs w:val="20"/>
              </w:rPr>
              <w:t xml:space="preserve">Other </w:t>
            </w:r>
            <w:r w:rsidRPr="00F57C8A">
              <w:rPr>
                <w:rFonts w:ascii="Times New Roman" w:eastAsia="Calibri" w:hAnsi="Times New Roman" w:cs="Times New Roman"/>
                <w:sz w:val="20"/>
                <w:szCs w:val="20"/>
                <w:vertAlign w:val="superscript"/>
              </w:rPr>
              <w:t>†</w:t>
            </w:r>
            <w:r w:rsidRPr="00F57C8A">
              <w:rPr>
                <w:rFonts w:ascii="Times New Roman" w:eastAsia="Calibri" w:hAnsi="Times New Roman" w:cs="Times New Roman"/>
                <w:sz w:val="20"/>
                <w:szCs w:val="20"/>
              </w:rPr>
              <w:t xml:space="preserve"> (details)</w:t>
            </w:r>
          </w:p>
        </w:tc>
      </w:tr>
      <w:tr w:rsidR="00200C2E" w:rsidRPr="00F57C8A" w14:paraId="383DAEF5" w14:textId="77777777" w:rsidTr="000D28AE">
        <w:tc>
          <w:tcPr>
            <w:tcW w:w="959" w:type="dxa"/>
            <w:tcBorders>
              <w:top w:val="single" w:sz="4" w:space="0" w:color="auto"/>
              <w:right w:val="nil"/>
            </w:tcBorders>
          </w:tcPr>
          <w:p w14:paraId="383DAEF1"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top w:val="single" w:sz="4" w:space="0" w:color="auto"/>
              <w:left w:val="nil"/>
              <w:right w:val="nil"/>
            </w:tcBorders>
          </w:tcPr>
          <w:p w14:paraId="383DAEF2" w14:textId="77777777" w:rsidR="00200C2E" w:rsidRPr="00F57C8A" w:rsidRDefault="00200C2E" w:rsidP="00904A65">
            <w:pPr>
              <w:spacing w:before="240"/>
              <w:rPr>
                <w:rFonts w:ascii="Times New Roman" w:eastAsia="Calibri" w:hAnsi="Times New Roman" w:cs="Times New Roman"/>
                <w:b/>
                <w:sz w:val="20"/>
                <w:szCs w:val="20"/>
              </w:rPr>
            </w:pPr>
            <w:r w:rsidRPr="00F57C8A">
              <w:rPr>
                <w:rFonts w:ascii="Times New Roman" w:eastAsia="Calibri" w:hAnsi="Times New Roman" w:cs="Times New Roman"/>
                <w:b/>
                <w:sz w:val="20"/>
                <w:szCs w:val="20"/>
              </w:rPr>
              <w:t>BRIEF NAME</w:t>
            </w:r>
          </w:p>
        </w:tc>
        <w:tc>
          <w:tcPr>
            <w:tcW w:w="1843" w:type="dxa"/>
            <w:tcBorders>
              <w:top w:val="single" w:sz="4" w:space="0" w:color="auto"/>
              <w:left w:val="nil"/>
              <w:right w:val="single" w:sz="4" w:space="0" w:color="auto"/>
            </w:tcBorders>
          </w:tcPr>
          <w:p w14:paraId="114125B5" w14:textId="77777777" w:rsidR="00200C2E" w:rsidRPr="00F57C8A" w:rsidRDefault="00200C2E" w:rsidP="00200C2E">
            <w:pPr>
              <w:spacing w:line="360" w:lineRule="auto"/>
              <w:rPr>
                <w:rFonts w:ascii="Times New Roman" w:eastAsia="Calibri" w:hAnsi="Times New Roman" w:cs="Times New Roman"/>
                <w:sz w:val="20"/>
                <w:szCs w:val="20"/>
              </w:rPr>
            </w:pPr>
          </w:p>
          <w:p w14:paraId="1F8D51AC" w14:textId="77777777" w:rsidR="00E805A3" w:rsidRPr="00F57C8A" w:rsidRDefault="00E805A3" w:rsidP="00200C2E">
            <w:pPr>
              <w:spacing w:line="360" w:lineRule="auto"/>
              <w:rPr>
                <w:rFonts w:ascii="Times New Roman" w:eastAsia="Calibri" w:hAnsi="Times New Roman" w:cs="Times New Roman"/>
                <w:sz w:val="20"/>
                <w:szCs w:val="20"/>
              </w:rPr>
            </w:pPr>
          </w:p>
          <w:p w14:paraId="383DAEF3" w14:textId="29A8760A" w:rsidR="00E805A3" w:rsidRPr="00F57C8A" w:rsidRDefault="00E805A3" w:rsidP="00200C2E">
            <w:pPr>
              <w:spacing w:line="360" w:lineRule="auto"/>
              <w:rPr>
                <w:rFonts w:ascii="Times New Roman" w:eastAsia="Calibri" w:hAnsi="Times New Roman" w:cs="Times New Roman"/>
                <w:sz w:val="20"/>
                <w:szCs w:val="20"/>
              </w:rPr>
            </w:pPr>
          </w:p>
        </w:tc>
        <w:tc>
          <w:tcPr>
            <w:tcW w:w="1843" w:type="dxa"/>
            <w:tcBorders>
              <w:top w:val="single" w:sz="4" w:space="0" w:color="auto"/>
              <w:left w:val="single" w:sz="4" w:space="0" w:color="auto"/>
            </w:tcBorders>
          </w:tcPr>
          <w:p w14:paraId="383DAEF4"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EFA" w14:textId="77777777" w:rsidTr="000D28AE">
        <w:trPr>
          <w:trHeight w:val="377"/>
        </w:trPr>
        <w:tc>
          <w:tcPr>
            <w:tcW w:w="959" w:type="dxa"/>
            <w:tcBorders>
              <w:right w:val="nil"/>
            </w:tcBorders>
          </w:tcPr>
          <w:p w14:paraId="383DAEF6"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1.</w:t>
            </w:r>
          </w:p>
        </w:tc>
        <w:tc>
          <w:tcPr>
            <w:tcW w:w="10064" w:type="dxa"/>
            <w:tcBorders>
              <w:left w:val="nil"/>
              <w:right w:val="nil"/>
            </w:tcBorders>
          </w:tcPr>
          <w:p w14:paraId="3847D883" w14:textId="77777777" w:rsidR="00200C2E" w:rsidRPr="00F57C8A" w:rsidRDefault="00200C2E" w:rsidP="00904A65">
            <w:pPr>
              <w:spacing w:line="360" w:lineRule="auto"/>
              <w:ind w:right="175"/>
              <w:rPr>
                <w:rFonts w:ascii="Times New Roman" w:eastAsia="Calibri" w:hAnsi="Times New Roman" w:cs="Times New Roman"/>
                <w:bCs/>
                <w:iCs/>
                <w:sz w:val="20"/>
                <w:szCs w:val="20"/>
                <w:lang w:eastAsia="zh-CN"/>
              </w:rPr>
            </w:pPr>
            <w:r w:rsidRPr="00F57C8A">
              <w:rPr>
                <w:rFonts w:ascii="Times New Roman" w:eastAsia="Calibri" w:hAnsi="Times New Roman" w:cs="Times New Roman"/>
                <w:bCs/>
                <w:iCs/>
                <w:sz w:val="20"/>
                <w:szCs w:val="20"/>
                <w:lang w:eastAsia="zh-CN"/>
              </w:rPr>
              <w:t>Provide the name or a phrase that describes the intervention.</w:t>
            </w:r>
          </w:p>
          <w:p w14:paraId="383DAEF7" w14:textId="488AB19D" w:rsidR="00E805A3" w:rsidRPr="00F57C8A" w:rsidRDefault="009E7F11" w:rsidP="00A259E5">
            <w:pPr>
              <w:pStyle w:val="ListParagraph"/>
              <w:numPr>
                <w:ilvl w:val="0"/>
                <w:numId w:val="1"/>
              </w:numPr>
              <w:spacing w:line="360" w:lineRule="auto"/>
              <w:ind w:right="175"/>
              <w:rPr>
                <w:rFonts w:ascii="Times New Roman" w:eastAsia="Calibri" w:hAnsi="Times New Roman" w:cs="Times New Roman"/>
                <w:sz w:val="20"/>
                <w:szCs w:val="20"/>
              </w:rPr>
            </w:pPr>
            <w:r w:rsidRPr="009E7F11">
              <w:rPr>
                <w:rFonts w:ascii="Times New Roman" w:eastAsia="Calibri" w:hAnsi="Times New Roman" w:cs="Times New Roman"/>
                <w:sz w:val="20"/>
                <w:szCs w:val="20"/>
              </w:rPr>
              <w:t>Development of a theory-informed multicomponent food safety intervention to enhance food safety knowledge and behaviours of meat handlers and reduce microbial contamination in butcher shops in Addis Ababa, Ethiopia</w:t>
            </w:r>
          </w:p>
        </w:tc>
        <w:tc>
          <w:tcPr>
            <w:tcW w:w="1843" w:type="dxa"/>
            <w:tcBorders>
              <w:left w:val="nil"/>
              <w:right w:val="single" w:sz="4" w:space="0" w:color="auto"/>
            </w:tcBorders>
          </w:tcPr>
          <w:p w14:paraId="383DAEF8" w14:textId="3E9D0A7F" w:rsidR="00200C2E" w:rsidRPr="0012730A" w:rsidRDefault="0012730A" w:rsidP="00200C2E">
            <w:pPr>
              <w:spacing w:line="360" w:lineRule="auto"/>
              <w:rPr>
                <w:rFonts w:ascii="Times New Roman" w:eastAsia="Calibri" w:hAnsi="Times New Roman" w:cs="Times New Roman"/>
                <w:b/>
                <w:bCs/>
                <w:sz w:val="20"/>
                <w:szCs w:val="20"/>
                <w:u w:val="single"/>
              </w:rPr>
            </w:pPr>
            <w:r w:rsidRPr="0012730A">
              <w:rPr>
                <w:rFonts w:ascii="Times New Roman" w:eastAsia="Calibri" w:hAnsi="Times New Roman" w:cs="Times New Roman"/>
                <w:b/>
                <w:bCs/>
                <w:sz w:val="20"/>
                <w:szCs w:val="20"/>
                <w:u w:val="single"/>
              </w:rPr>
              <w:t>1</w:t>
            </w:r>
          </w:p>
        </w:tc>
        <w:tc>
          <w:tcPr>
            <w:tcW w:w="1843" w:type="dxa"/>
            <w:tcBorders>
              <w:left w:val="single" w:sz="4" w:space="0" w:color="auto"/>
            </w:tcBorders>
          </w:tcPr>
          <w:p w14:paraId="383DAEF9" w14:textId="77777777" w:rsidR="00200C2E" w:rsidRPr="00F57C8A" w:rsidRDefault="00317D9A" w:rsidP="00317D9A">
            <w:pPr>
              <w:spacing w:line="360" w:lineRule="auto"/>
              <w:ind w:right="-392"/>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w:t>
            </w:r>
            <w:r w:rsidR="006367C5" w:rsidRPr="00F57C8A">
              <w:rPr>
                <w:rFonts w:ascii="Times New Roman" w:eastAsia="Calibri" w:hAnsi="Times New Roman" w:cs="Times New Roman"/>
                <w:sz w:val="20"/>
                <w:szCs w:val="20"/>
              </w:rPr>
              <w:t>__</w:t>
            </w:r>
          </w:p>
        </w:tc>
      </w:tr>
      <w:tr w:rsidR="00200C2E" w:rsidRPr="00F57C8A" w14:paraId="383DAEFF" w14:textId="77777777" w:rsidTr="000D28AE">
        <w:tc>
          <w:tcPr>
            <w:tcW w:w="959" w:type="dxa"/>
            <w:tcBorders>
              <w:right w:val="nil"/>
            </w:tcBorders>
          </w:tcPr>
          <w:p w14:paraId="383DAEFB"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right w:val="nil"/>
            </w:tcBorders>
          </w:tcPr>
          <w:p w14:paraId="383DAEFC" w14:textId="1801AE18"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sz w:val="20"/>
                <w:szCs w:val="20"/>
              </w:rPr>
              <w:t>WHY</w:t>
            </w:r>
          </w:p>
        </w:tc>
        <w:tc>
          <w:tcPr>
            <w:tcW w:w="1843" w:type="dxa"/>
            <w:tcBorders>
              <w:left w:val="nil"/>
              <w:right w:val="single" w:sz="4" w:space="0" w:color="auto"/>
            </w:tcBorders>
          </w:tcPr>
          <w:p w14:paraId="383DAEFD"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left w:val="single" w:sz="4" w:space="0" w:color="auto"/>
            </w:tcBorders>
          </w:tcPr>
          <w:p w14:paraId="383DAEFE"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04" w14:textId="77777777" w:rsidTr="000D28AE">
        <w:tc>
          <w:tcPr>
            <w:tcW w:w="959" w:type="dxa"/>
            <w:tcBorders>
              <w:right w:val="nil"/>
            </w:tcBorders>
          </w:tcPr>
          <w:p w14:paraId="383DAF00"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2.</w:t>
            </w:r>
          </w:p>
        </w:tc>
        <w:tc>
          <w:tcPr>
            <w:tcW w:w="10064" w:type="dxa"/>
            <w:tcBorders>
              <w:left w:val="nil"/>
              <w:right w:val="nil"/>
            </w:tcBorders>
          </w:tcPr>
          <w:p w14:paraId="1DA7235D" w14:textId="77777777" w:rsidR="00A546C2" w:rsidRPr="00A546C2" w:rsidRDefault="00A546C2" w:rsidP="00A546C2">
            <w:pPr>
              <w:spacing w:line="360" w:lineRule="auto"/>
              <w:contextualSpacing/>
              <w:jc w:val="both"/>
              <w:rPr>
                <w:rFonts w:ascii="Times New Roman" w:eastAsia="Aptos" w:hAnsi="Times New Roman" w:cs="Times New Roman"/>
                <w:kern w:val="2"/>
                <w:sz w:val="20"/>
                <w:szCs w:val="20"/>
                <w:lang w:val="en-GB"/>
                <w14:ligatures w14:val="standardContextual"/>
              </w:rPr>
            </w:pPr>
            <w:r w:rsidRPr="00A546C2">
              <w:rPr>
                <w:rFonts w:ascii="Times New Roman" w:eastAsia="Aptos" w:hAnsi="Times New Roman" w:cs="Times New Roman"/>
                <w:kern w:val="2"/>
                <w:sz w:val="20"/>
                <w:szCs w:val="20"/>
                <w:lang w:val="en-GB"/>
                <w14:ligatures w14:val="standardContextual"/>
              </w:rPr>
              <w:t xml:space="preserve">Foodborne diseases cause substantial public health and socioeconomic burdens worldwide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{"citationID":"a275b6ereh1","properties":{"formattedCitation":"\\super 1\\nosupersub{}","plainCitation":"1","noteIndex":0},"citationItems":[{"id":8082,"uris":["http://zotero.org/users/15765277/items/67ZXWZV7"],"itemData":{"id":8082,"type":"article-journal","container-title":"PLoS medicine","ISSN":"1549-1277","issue":"12","page":"e1001923","publisher":"Public Library of Science San Francisco, CA USA","title":"World Health Organization global estimates and regional comparisons of the burden of foodborne disease in 2010","volume":"12","author":[{"family":"Havelaar","given":"Arie H.","suffix":"Kirk, Martyn D., Tprgerson, Paul R., Gibb, Herman J., Hald Tine.,Lake, Robin J., Praet,Nicolas, Bellinger, Dvid C., De Silva Nilanthi R., Gargouri, Neyla"}],"issued":{"date-parts":[["2015"]]}}}],"schema":"https://github.com/citation-style-language/schema/raw/master/csl-citation.json"}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Food businesses are expected to comply with the Codex Alimentarius Commission (CAC) General Principles of Food Hygiene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{"citationID":"a1d9dh0mh98","properties":{"formattedCitation":"\\super 2\\nosupersub{}","plainCitation":"2","noteIndex":0},"citationItems":[{"id":8531,"uris":["http://zotero.org/users/15765277/items/89RXK4QQ"],"itemData":{"id":8531,"type":"book","DOI":"10.4060/cc6125en","language":"en","publisher":"FAO; WHO;","source":"DOI.org (Crossref)","title":"General principles of food hygiene.Codex Alimentarius Code of Practice","URL":"http://www.fao.org/documents/card/en/c/cc6125en","volume":"No.CXC 1-1969","author":[{"family":"FAO and WHO","given":""}],"accessed":{"date-parts":[["2025",11,26]]},"issued":{"date-parts":[["2023",5,24]]}}}],"schema":"https://github.com/citation-style-language/schema/raw/master/csl-citation.json"}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2</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to ensure the safety of the food they produce. However, their adherence to good hygiene practices (GHPs) largely depends on their food safety culture  such as food handlers’ behaviour towards food safety, which is influenced by multiple environmental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{"citationID":"a16o053t7cf","properties":{"formattedCitation":"\\super 3\\uc0\\u8211{}7\\nosupersub{}","plainCitation":"3–7","noteIndex":0},"citationItems":[{"id":7932,"uris":["http://zotero.org/users/15765277/items/MN6VVK64"],"itemData":{"id":7932,"type":"article-journal","abstract":"This study collected data on food workers' self-reported food safety practices and beliefs about factors that impacted their ability to prepare food safely. Eleven focus groups were conducted with food service workers and managers in which they discussed their current implementation of seven food preparation practices (handwashing, hot holding, etc.), and the factors they believed impacted their safe implementation of those practices. Some participants reported unsafe food preparation practices, such as inappropriate glove use and not checking the temperatures of cooked, reheated, and cooled foods. Most participants, however, reported safe practices (e.g., washing their hands after preparing raw meat). Participants identified a number of factors that impacted their ability to prepare food safely, including time pressure; structural environments, equipment, and resources; management and coworker emphasis on food safety; worker characteristics; negative consequences for those who do not prepare food safely; food safety education and training; restaurant procedures; and glove and sanitizer use. Results suggest that food safety programs need to address the full range of factors that impact food preparation behaviors. A","container-title":"Food Protection Trends","issue":"12","page":"981–990","title":"Workers ' and Managers ' Safe Food Preparation Practices : A Qualitative Study INTRODUCTION","volume":"25","author":[{"family":"Green","given":"Laura R"},{"family":"Selman","given":"Carol"}],"issued":{"date-parts":[["2005"]]}}},{"id":8522,"uris":["http://zotero.org/users/15765277/items/BU8NAYIK"],"itemData":{"id":8522,"type":"article-journal","issue":"10","language":"en","page":"27-33","source":"Zotero","title":"Food Workers’ Perspectives on Handwashing Behaviors and Barriers in the Restaurant Environment","volume":"69","author":[{"family":"Pragle","given":"Aimee S"},{"family":"Harding","given":"Anna K"},{"family":"Mack","given":"James C"}],"issued":{"date-parts":[["2007"]]}}},{"id":7693,"uris":["http://zotero.org/users/15765277/items/FJSXHPME","http://zotero.org/users/15765277/items/WQJS9YR6"],"itemData":{"id":7693,"type":"article-journal","DOI":"10.5555/20083294421","title":"Employee motivators for following food safety practices: pivotal role of supervision.","URL":"https://www.cabidigitallibrary.org/doi/full/10.5555/20083294421","author":[{"family":"Arendt","given":"SW"},{"family":"Sneed","given":"J"}],"accessed":{"date-parts":[["2025",7,28]]},"issued":{"date-parts":[["2008"]]}}},{"id":7565,"uris":["http://zotero.org/users/15765277/items/PCTSDZGZ","http://zotero.org/users/15765277/items/F6CZXGCI"],"itemData":{"id":7565,"type":"article-journal","abstract":"Limited research has been conducted to assess employees' perceptions of barriers to implementing food safety practices. Focus groups were conducted with two groups of restaurant employees to identify perceived barriers to implementing three food safety practices: handwashing, using thermometers, and cleaning work surfaces. Ten focus groups were conducted with 34 employees who did not receive training (Group A). Twenty focus groups were conducted with 125 employees after they had participated in a formal ServSafe training program (Group B). The following barriers were identified in at least one focus group in both Group A and Group B for all three practices: time constraints, inconvenience, inadequate training, and inadequate resources. In Group A, additional barriers identified most often were a lack of space and other tasks competing with cleaning work surfaces; inconvenient location of sinks and dry skin from handwashing; and lack of working thermometers and thermometers in inconvenient locations. Additional barriers identified most often by Group B were no incentive to do it and the manager not monitoring whether employees cleaned work surfaces; inconvenient location of sinks and dry skin from handwashing; and lack of working thermometers and manager not monitoring the use of thermometers. Results will be used to develop and implement interventions to overcome perceived barriers that training appears not to address. Knowledge of perceived barriers among employees can assist food and nutrition professionals in facilitating employees in overcoming these barriers and ultimately improve compliance with food safety practices. © 2008 American Dietetic Association.","container-title":"Journal of the American Dietetic Association","DOI":"10.1016/j.jada.2008.05.010","ISSN":"00028223","issue":"8","page":"1345-1349","PMID":"18656574","title":"Restaurant Employees' Perceptions of Barriers to Three Food Safety Practices","volume":"108","author":[{"family":"Howells","given":"Amber D."},{"family":"Roberts","given":"Kevin R."},{"family":"Shanklin","given":"Carol W."},{"family":"Pilling","given":"Valerie K."},{"family":"Brannon","given":"Laura A."},{"family":"Barrett","given":"Betsy B."}],"issued":{"date-parts":[["2008"]]}}},{"id":8231,"uris":["http://zotero.org/users/15765277/items/ZM93E2EI"],"itemData":{"id":8231,"type":"article-journal","language":"en","source":"Zotero","title":"Motivators and Barriers to Safe Food Practices: Observation and Interview","author":[{"family":"Arendt","given":"Susan"},{"family":"Strohbehn","given":"Catherine"},{"family":"Jun","given":"Jinhyun"}],"issued":{"date-parts":[["2015"]]}}}],"schema":"https://github.com/citation-style-language/schema/raw/master/csl-citation.json"}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3–7</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and individual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{"citationID":"a167pshkvi","properties":{"formattedCitation":"\\super 3,4,6,7\\nosupersub{}","plainCitation":"3,4,6,7","noteIndex":0},"citationItems":[{"id":7932,"uris":["http://zotero.org/users/15765277/items/MN6VVK64"],"itemData":{"id":7932,"type":"article-journal","abstract":"This study collected data on food workers' self-reported food safety practices and beliefs about factors that impacted their ability to prepare food safely. Eleven focus groups were conducted with food service workers and managers in which they discussed their current implementation of seven food preparation practices (handwashing, hot holding, etc.), and the factors they believed impacted their safe implementation of those practices. Some participants reported unsafe food preparation practices, such as inappropriate glove use and not checking the temperatures of cooked, reheated, and cooled foods. Most participants, however, reported safe practices (e.g., washing their hands after preparing raw meat). Participants identified a number of factors that impacted their ability to prepare food safely, including time pressure; structural environments, equipment, and resources; management and coworker emphasis on food safety; worker characteristics; negative consequences for those who do not prepare food safely; food safety education and training; restaurant procedures; and glove and sanitizer use. Results suggest that food safety programs need to address the full range of factors that impact food preparation behaviors. A","container-title":"Food Protection Trends","issue":"12","page":"981–990","title":"Workers ' and Managers ' Safe Food Preparation Practices : A Qualitative Study INTRODUCTION","volume":"25","author":[{"family":"Green","given":"Laura R"},{"family":"Selman","given":"Carol"}],"issued":{"date-parts":[["2005"]]}}},{"id":8522,"uris":["http://zotero.org/users/15765277/items/BU8NAYIK"],"itemData":{"id":8522,"type":"article-journal","issue":"10","language":"en","page":"27-33","source":"Zotero","title":"Food Workers’ Perspectives on Handwashing Behaviors and Barriers in the Restaurant Environment","volume":"69","author":[{"family":"Pragle","given":"Aimee S"},{"family":"Harding","given":"Anna K"},{"family":"Mack","given":"James C"}],"issued":{"date-parts":[["2007"]]}}},{"id":7565,"uris":["http://zotero.org/users/15765277/items/PCTSDZGZ","http://zotero.org/users/15765277/items/F6CZXGCI"],"itemData":{"id":7565,"type":"article-journal","abstract":"Limited research has been conducted to assess employees' perceptions of barriers to implementing food safety practices. Focus groups were conducted with two groups of restaurant employees to identify perceived barriers to implementing three food safety practices: handwashing, using thermometers, and cleaning work surfaces. Ten focus groups were conducted with 34 employees who did not receive training (Group A). Twenty focus groups were conducted with 125 employees after they had participated in a formal ServSafe training program (Group B). The following barriers were identified in at least one focus group in both Group A and Group B for all three practices: time constraints, inconvenience, inadequate training, and inadequate resources. In Group A, additional barriers identified most often were a lack of space and other tasks competing with cleaning work surfaces; inconvenient location of sinks and dry skin from handwashing; and lack of working thermometers and thermometers in inconvenient locations. Additional barriers identified most often by Group B were no incentive to do it and the manager not monitoring whether employees cleaned work surfaces; inconvenient location of sinks and dry skin from handwashing; and lack of working thermometers and manager not monitoring the use of thermometers. Results will be used to develop and implement interventions to overcome perceived barriers that training appears not to address. Knowledge of perceived barriers among employees can assist food and nutrition professionals in facilitating employees in overcoming these barriers and ultimately improve compliance with food safety practices. © 2008 American Dietetic Association.","container-title":"Journal of the American Dietetic Association","DOI":"10.1016/j.jada.2008.05.010","ISSN":"00028223","issue":"8","page":"1345-1349","PMID":"18656574","title":"Restaurant Employees' Perceptions of Barriers to Three Food Safety Practices","volume":"108","author":[{"family":"Howells","given":"Amber D."},{"family":"Roberts","given":"Kevin R."},{"family":"Shanklin","given":"Carol W."},{"family":"Pilling","given":"Valerie K."},{"family":"Brannon","given":"Laura A."},{"family":"Barrett","given":"Betsy B."}],"issued":{"date-parts":[["2008"]]}}},{"id":8231,"uris":["http://zotero.org/users/15765277/items/ZM93E2EI"],"itemData":{"id":8231,"type":"article-journal","language":"en","source":"Zotero","title":"Motivators and Barriers to Safe Food Practices: Observation and Interview","author":[{"family":"Arendt","given":"Susan"},{"family":"Strohbehn","given":"Catherine"},{"family":"Jun","given":"Jinhyun"}],"issued":{"date-parts":[["2015"]]}}}],"schema":"https://github.com/citation-style-language/schema/raw/master/csl-citation.json"}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3,4,6,7</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factors. Thus, BCIs that target multiple food safety determinants are key to enhancing food businesses’ adherence to proper food safety practices.  While an intervention is a planned process that has the aim of influencing an outcome, BCI is an intervention that has the aim of influencing human behaviour</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{"citationID":"a19kpvrknh0","properties":{"formattedCitation":"\\super 8\\nosupersub{}","plainCitation":"8","noteIndex":0},"citationItems":[{"id":8229,"uris":["http://zotero.org/users/15765277/items/CLDBDYTU"],"itemData":{"id":8229,"type":"article-journal","abstract":"Background Behaviour change interventions influence behaviour through causal processes called “mechanisms of action” (MoAs). Reports of such interventions and their evaluations often use inconsistent or ambiguous terminology, creating problems for searching, evidence synthesis and theory development. This inconsistency includes the reporting of MoAs. An ontology can help address these challenges by serving as a classification system that labels and defines MoAs and their relationships. The aim of this study was to develop an ontology of MoAs of behaviour change interventions.","container-title":"Wellcome Open Research","language":"en","source":"Zotero","title":"An ontology of mechanisms of action in behaviour change interventions [version 2; peer review: 3 approved]","author":[{"family":"Schenk","given":"Paulina M"},{"family":"Wright","given":"Alison J"},{"family":"West","given":"Robert"},{"family":"Hastings","given":"Janna"},{"family":"Lorencatto","given":"Fabiana"},{"family":"Moore","given":"Candice"},{"family":"Hayes","given":"Emily"},{"family":"Schneider","given":"Verena"},{"family":"Howes","given":"Ella"},{"family":"Michie","given":"Susan"}],"issued":{"date-parts":[["2024"]]}}}],"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8</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Although BCIs are recommended to be grounded in behaviour change theories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{"citationID":"a2b3qipsn48","properties":{"formattedCitation":"\\super 9,10\\nosupersub{}","plainCitation":"9,10","noteIndex":0},"citationItems":[{"id":8219,"uris":["http://zotero.org/users/15765277/items/5NEJCSS3"],"itemData":{"id":8219,"type":"article-journal","abstract":"Background: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Science","DOI":"10.1186/1748-5908-6-42","ISSN":"1748-5908","issue":"1","journalAbbreviation":"Implementation Sci","language":"en","license":"http://www.springer.com/tdm","page":"42","source":"DOI.org (Crossref)","title":"The behaviour change wheel: A new method for characterising and designing behaviour change interventions","title-short":"The behaviour change wheel","URL":"http://implementationscience.biomedcentral.com/articles/10.1186/1748-5908-6-42","volume":"6","author":[{"family":"Michie","given":"Susan"},{"family":"Van Stralen","given":"Maartje M"},{"family":"West","given":"Robert"}],"accessed":{"date-parts":[["2025",11,6]]},"issued":{"date-parts":[["2011",12]]}}},{"id":8217,"uris":["http://zotero.org/users/15765277/items/TWLQI8A5"],"itemData":{"id":8217,"type":"article-journal","abstract":"Background: An integrative theoretical framework, developed for cross-disciplinary implementation and other behaviour change research, has been applied across a wide range of clinical situations. This study tests the validity of this framework.\nMethods: Validity was investigated by behavioural experts sorting 112 unique theoretical constructs using closed and open sort tasks. The extent of replication was tested by Discriminant Content Validation and Fuzzy Cluster Analysis.\nResults: There was good support for a refinement of the framework comprising 14 domains of theoretical constructs (average silhouette value 0.29): ‘Knowledge’, ‘Skills’, ‘Social/Professional Role and Identity’, ‘Beliefs about Capabilities’, ‘Optimism’, ‘Beliefs about Consequences’, ‘Reinforcement’, ‘Intentions’, ‘Goals’, ‘Memory, Attention and Decision Processes’, ‘Environmental Context and Resources’, ‘Social Influences’, ‘Emotions’, and ‘Behavioural Regulation’.\nConclusions: The refined Theoretical Domains Framework has a strengthened empirical base and provides a method for theoretically assessing implementation problems, as well as professional and other health-related behaviours as a basis for intervention development.","container-title":"Implementation Science","DOI":"10.1186/1748-5908-7-37","ISSN":"1748-5908","issue":"1","journalAbbreviation":"Implementation Sci","language":"en","page":"37","source":"DOI.org (Crossref)","title":"Validation of the theoretical domains framework for use in behaviour change and implementation research","URL":"https://implementationscience.biomedcentral.com/articles/10.1186/1748-5908-7-37","volume":"7","author":[{"family":"Cane","given":"James"},{"family":"O’Connor","given":"Denise"},{"family":"Michie","given":"Susan"}],"accessed":{"date-parts":[["2025",11,6]]},"issued":{"date-parts":[["2012",4,24]]}}}],"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9,10</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food safety BCIs are rarely guided by theoretical frameworks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{"citationID":"a2n0kakvrp3","properties":{"formattedCitation":"\\super 11,12\\nosupersub{}","plainCitation":"11,12","noteIndex":0},"citationItems":[{"id":6703,"uris":["http://www.mendeley.com/documents/?uuid=e7f2114a-bdf5-4f9a-9e6e-f8b1229c8982","http://zotero.org/users/15765277/items/3LR9TR6U"],"itemData":{"id":6703,"type":"article-journal","abstract":"Purpose: This paper aims to evaluate the relative effectiveness of four-hour ServSafe® food safety training, a theory-based intervention targeting food service employees' perceived barriers to implementing food safety practices, and a combination of the two treatments. Dependent measures include behavioral compliance with and perceptions of control over performing hand washing, use of thermometers, and handling of work surfaces. Design/methodology/approach: Four groups are compared: employees receiving only ServSafe® training, intervention alone, training and intervention, and no treatment. Employees complete a questionnaire assessing perceived barriers to practicing the targeted behaviors. Then, employees are observed in the production area for behavioral compliance. Findings: Training or intervention alone is better than no treatment, but the training/intervention combination is most effective at improving employees' compliance with and perceptions of control over performing the behaviors. Research limitations/implications: Research is limited to restaurant employees in three states within the USA, in only 31 of the 1,298 restaurants originally contacted. Future research should identify barriers of other types of food service employees and evaluate the effectiveness of these and other intervention strategies. Practical implications: ServSafe® training can be enhanced with a simple intervention targeting food service employees' perceived barriers to food safety. Providing knowledge and addressing barriers are both important steps to improving food safety in restaurants. Originality/value: No previous research has used the theory of planned behavior to develop an intervention targeting food service employees' perceived barriers to implementing food safety practices. Research also has not attempted to improve the effectiveness of ServSafe® food safety training by adding an intervention. © Emerald Group Publishing Limited.","container-title":"International Journal of Contemporary Hospitality Management","DOI":"10.1108/09596110910955703","ISSN":"09596119","issue":"4","page":"459-478","title":"Intervention improves restaurant employees' food safety compliance rates","volume":"21","author":[{"family":"York","given":"Valerie K"},{"family":"Brannon","given":"Laura A"},{"family":"Shanklin","given":"Carol W"},{"family":"Roberts","given":"Kevin R"},{"family":"Barrett","given":"Betsy B"},{"family":"Howells","given":"Amber D"}],"issued":{"date-parts":[["2009"]]}}},{"id":"kuktxt1h/FmS4A70u","uris":["http://zotero.org/users/15765277/items/IV39I6BU"],"itemData":{"id":137,"type":"article-journal","container-title":"The Eletronic Library","ISSN":"0520130049","issue":"411","note":"ISBN: 1460106121","page":"397–412","title":"Effect of food safety training on food handlers' knowledge and practices A randomized controlled trial","volume":"7","author":[{"family":"Nik Rosmawati Nik Husain","given":"Wan Manan Wan Muda"},{"family":"Jamil","given":"Noor Izani Noor"}],"issued":{"date-parts":[["2016"]]}}}],"schema":"https://github.com/citation-style-language/schema/raw/master/csl-citation.json"}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11,12</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When theory is used, it is often limited to a single theory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{"citationID":"a1vqj4nobas","properties":{"formattedCitation":"\\super 11\\uc0\\u8211{}13\\nosupersub{}","plainCitation":"11–13","noteIndex":0},"citationItems":[{"id":6703,"uris":["http://www.mendeley.com/documents/?uuid=e7f2114a-bdf5-4f9a-9e6e-f8b1229c8982","http://zotero.org/users/15765277/items/3LR9TR6U"],"itemData":{"id":6703,"type":"article-journal","abstract":"Purpose: This paper aims to evaluate the relative effectiveness of four-hour ServSafe® food safety training, a theory-based intervention targeting food service employees' perceived barriers to implementing food safety practices, and a combination of the two treatments. Dependent measures include behavioral compliance with and perceptions of control over performing hand washing, use of thermometers, and handling of work surfaces. Design/methodology/approach: Four groups are compared: employees receiving only ServSafe® training, intervention alone, training and intervention, and no treatment. Employees complete a questionnaire assessing perceived barriers to practicing the targeted behaviors. Then, employees are observed in the production area for behavioral compliance. Findings: Training or intervention alone is better than no treatment, but the training/intervention combination is most effective at improving employees' compliance with and perceptions of control over performing the behaviors. Research limitations/implications: Research is limited to restaurant employees in three states within the USA, in only 31 of the 1,298 restaurants originally contacted. Future research should identify barriers of other types of food service employees and evaluate the effectiveness of these and other intervention strategies. Practical implications: ServSafe® training can be enhanced with a simple intervention targeting food service employees' perceived barriers to food safety. Providing knowledge and addressing barriers are both important steps to improving food safety in restaurants. Originality/value: No previous research has used the theory of planned behavior to develop an intervention targeting food service employees' perceived barriers to implementing food safety practices. Research also has not attempted to improve the effectiveness of ServSafe® food safety training by adding an intervention. © Emerald Group Publishing Limited.","container-title":"International Journal of Contemporary Hospitality Management","DOI":"10.1108/09596110910955703","ISSN":"09596119","issue":"4","page":"459-478","title":"Intervention improves restaurant employees' food safety compliance rates","volume":"21","author":[{"family":"York","given":"Valerie K"},{"family":"Brannon","given":"Laura A"},{"family":"Shanklin","given":"Carol W"},{"family":"Roberts","given":"Kevin R"},{"family":"Barrett","given":"Betsy B"},{"family":"Howells","given":"Amber D"}],"issued":{"date-parts":[["2009"]]}}},{"id":"kuktxt1h/FmS4A70u","uris":["http://zotero.org/users/15765277/items/IV39I6BU"],"itemData":{"id":137,"type":"article-journal","container-title":"The Eletronic Library","ISSN":"0520130049","issue":"411","note":"ISBN: 1460106121","page":"397–412","title":"Effect of food safety training on food handlers' knowledge and practices A randomized controlled trial","volume":"7","author":[{"family":"Nik Rosmawati Nik Husain","given":"Wan Manan Wan Muda"},{"family":"Jamil","given":"Noor Izani Noor"}],"issued":{"date-parts":[["2016"]]}}},{"id":8821,"uris":["http://zotero.org/users/15765277/items/AJQFDB54"],"itemData":{"id":8821,"type":"article-journal","abstract":"Theories of behaviour change can explain the factors aﬀecting food handlers’ use of food safety practices. A systematic review was conducted on this topic to identify which theories have been applied in this area and to determine which theories are the most consistent predictors of food handlers’ behaviours. Standard systematic review procedures were followed: comprehensive search strategy; relevance screening of abstracts; article characterization; data extraction; risk-of-bias assessment; and descriptive analysis. Among 19 relevant studies, the most commonly investigated theories were the Theory of Planned Behaviour (n = 9 studies) and Health Belief Model (n = 5). All investigated theories were useful to explain food handlers’ behavioural intentions and behaviours related to food safety across diﬀerent settings, and could serve as useful frameworks for future research and practice. However, there was wide variability in the predictive ability of the theories and their speciﬁc constructs, indicating theories should be adapted to the local context of application.","container-title":"International Journal of Environmental Health Research","DOI":"10.1080/09603123.2018.1476846","ISSN":"0960-3123, 1369-1619","issue":"3","journalAbbreviation":"International Journal of Environmental Health Research","language":"en","page":"323-340","source":"DOI.org (Crossref)","title":"Explaining the food safety behaviours of food handlers using theories of behaviour change: a systematic review","title-short":"Explaining the food safety behaviours of food handlers using theories of behaviour change","URL":"https://www.tandfonline.com/doi/full/10.1080/09603123.2018.1476846","volume":"28","author":[{"family":"Young","given":"Ian"},{"family":"Thaivalappil","given":"Abhinand"},{"family":"Greig","given":"Judy"},{"family":"Meldrum","given":"Richard"},{"family":"Waddell","given":"Lisa"}],"accessed":{"date-parts":[["2025",12,1]]},"issued":{"date-parts":[["2018",5,4]]}}}],"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11–13</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which captures only a subset of the determinants influencing food safety behaviour, excluding potentially important food safety determinants from considering in interventions. In addition, use of single theories often focuses on identifying determinants of food safety practices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{"citationID":"a2639ukd2jj","properties":{"formattedCitation":"\\super 11,12,14\\nosupersub{}","plainCitation":"11,12,14","noteIndex":0},"citationItems":[{"id":6703,"uris":["http://www.mendeley.com/documents/?uuid=e7f2114a-bdf5-4f9a-9e6e-f8b1229c8982","http://zotero.org/users/15765277/items/3LR9TR6U"],"itemData":{"id":6703,"type":"article-journal","abstract":"Purpose: This paper aims to evaluate the relative effectiveness of four-hour ServSafe® food safety training, a theory-based intervention targeting food service employees' perceived barriers to implementing food safety practices, and a combination of the two treatments. Dependent measures include behavioral compliance with and perceptions of control over performing hand washing, use of thermometers, and handling of work surfaces. Design/methodology/approach: Four groups are compared: employees receiving only ServSafe® training, intervention alone, training and intervention, and no treatment. Employees complete a questionnaire assessing perceived barriers to practicing the targeted behaviors. Then, employees are observed in the production area for behavioral compliance. Findings: Training or intervention alone is better than no treatment, but the training/intervention combination is most effective at improving employees' compliance with and perceptions of control over performing the behaviors. Research limitations/implications: Research is limited to restaurant employees in three states within the USA, in only 31 of the 1,298 restaurants originally contacted. Future research should identify barriers of other types of food service employees and evaluate the effectiveness of these and other intervention strategies. Practical implications: ServSafe® training can be enhanced with a simple intervention targeting food service employees' perceived barriers to food safety. Providing knowledge and addressing barriers are both important steps to improving food safety in restaurants. Originality/value: No previous research has used the theory of planned behavior to develop an intervention targeting food service employees' perceived barriers to implementing food safety practices. Research also has not attempted to improve the effectiveness of ServSafe® food safety training by adding an intervention. © Emerald Group Publishing Limited.","container-title":"International Journal of Contemporary Hospitality Management","DOI":"10.1108/09596110910955703","ISSN":"09596119","issue":"4","page":"459-478","title":"Intervention improves restaurant employees' food safety compliance rates","volume":"21","author":[{"family":"York","given":"Valerie K"},{"family":"Brannon","given":"Laura A"},{"family":"Shanklin","given":"Carol W"},{"family":"Roberts","given":"Kevin R"},{"family":"Barrett","given":"Betsy B"},{"family":"Howells","given":"Amber D"}],"issued":{"date-parts":[["2009"]]}}},{"id":"kuktxt1h/FmS4A70u","uris":["http://zotero.org/users/15765277/items/IV39I6BU"],"itemData":{"id":137,"type":"article-journal","container-title":"The Eletronic Library","ISSN":"0520130049","issue":"411","note":"ISBN: 1460106121","page":"397–412","title":"Effect of food safety training on food handlers' knowledge and practices A randomized controlled trial","volume":"7","author":[{"family":"Nik Rosmawati Nik Husain","given":"Wan Manan Wan Muda"},{"family":"Jamil","given":"Noor Izani Noor"}],"issued":{"date-parts":[["2016"]]}}},{"id":8840,"uris":["http://zotero.org/users/15765277/items/WPTZ47II"],"itemData":{"id":8840,"type":"article-journal","abstract":"Introduction\n              \n                Several Cambodian initiatives seek to improve nutritional outcomes\n                via\n                increased production and consumption of nutrient-dense foods, including vegetables. However, food safety gaps in informal markets, where most vegetables are purchased, allow for the transmission of foodborne pathogens and threaten the positive nutritional outcomes associated with vegetable consumption.\n              \n            \n            \n              Methods\n              This study describes a tool used to measure perceptions of Cambodians involved with informal vegetable markets regarding their capabilities, opportunities, and motivations to implement food safety practices. The quantitative tool could also be used to assess capability, opportunity, and motivation to adopt a behavior in a wide range of development contexts. To these ends, a questionnaire assessing these perceptions was developed using the Capability, Opportunity, Motivation-Behavior (COM-B) model of behavior and the Theoretical Domains Framework (TDF).\n            \n            \n              Results\n              \n                The questionnaire was piloted with vegetable vendors in Phnom Penh (\n                N\n                = 55), revised, and subsequently implemented in the provinces of Battambang and Siem Reap with vegetable producers, distributors, and vendors (\n                N\n                = 181). Confirmatory factor analysis resulted in a nine-factor model corresponding to TDF constructs with a comparative fit index of 0.91, a Tucker-Lewis index of 0.89, and a root mean square error of ~0.05. Further analysis indicated that vegetable vendors and distributors typically had significantly higher (\n                p\n                &amp;lt; 0.05) levels of perceived motivation and capability to implement the target food safety practice (washing surfaces that come in contact with vegetables with soap and water every day) compared to their perceived opportunity to do so. Among farmers, however, levels of perceived motivation were significantly higher (\n                p\n                &amp;lt; 0.05) than levels of perceived opportunity and capability. In addition, vendors in Battambang had significantly higher (\n                p\n                &amp;lt; 0.05) levels of perceived capability, opportunity, and motivation to implement the target food safety practice in comparison to farmers in either province. Vendors in Battambang had significantly higher (\n                p\n                &amp;lt; 0.05) levels of perceived opportunity and motivation than vendors in Siem Reap.\n              \n            \n            \n              Conclusions\n              These data suggest that efforts to bolster vegetable vendors' and distributors' perceived opportunity and vegetable farmers' perceived opportunity and capability to implement food safety practices could increase the likelihood of adoption of the target food safety practice.","container-title":"Frontiers in Sustainable Food Systems","DOI":"10.3389/fsufs.2023.1060876","ISSN":"2571-581X","journalAbbreviation":"Front. Sustain. Food Syst.","language":"en","page":"1060876","source":"DOI.org (Crossref)","title":"Describing capability, opportunity, and motivation for food safety practices among actors in the Cambodian informal vegetable market","URL":"https://www.frontiersin.org/articles/10.3389/fsufs.2023.1060876/full","volume":"7","author":[{"family":"Mosimann","given":"Sabrina"},{"family":"Ouk","given":"Keorimy"},{"family":"Bello","given":"Nora M."},{"family":"Chhoeun","given":"Malyheng"},{"family":"Vipham","given":"Jessie"},{"family":"Hok","given":"Lyda"},{"family":"Ebner","given":"Paul"}],"accessed":{"date-parts":[["2025",12,2]]},"issued":{"date-parts":[["2023",3,2]]}}}],"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11,12,14</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and overlook use of theories to guide intervention design such as selecting target behaviours and intervention options. </w:t>
            </w:r>
          </w:p>
          <w:p w14:paraId="300478C2" w14:textId="77777777" w:rsidR="00A546C2" w:rsidRPr="00A546C2" w:rsidRDefault="00A546C2" w:rsidP="00A546C2">
            <w:pPr>
              <w:spacing w:line="360" w:lineRule="auto"/>
              <w:contextualSpacing/>
              <w:jc w:val="both"/>
              <w:rPr>
                <w:rFonts w:ascii="Times New Roman" w:eastAsia="Aptos" w:hAnsi="Times New Roman" w:cs="Times New Roman"/>
                <w:kern w:val="2"/>
                <w:sz w:val="20"/>
                <w:szCs w:val="20"/>
                <w:highlight w:val="yellow"/>
                <w:lang w:val="en-GB"/>
                <w14:ligatures w14:val="standardContextual"/>
              </w:rPr>
            </w:pPr>
          </w:p>
          <w:p w14:paraId="36997961" w14:textId="77777777" w:rsidR="00A546C2" w:rsidRPr="00A546C2" w:rsidRDefault="00A546C2" w:rsidP="00A546C2">
            <w:pPr>
              <w:spacing w:line="360" w:lineRule="auto"/>
              <w:contextualSpacing/>
              <w:jc w:val="both"/>
              <w:rPr>
                <w:rFonts w:ascii="Times New Roman" w:eastAsia="Aptos" w:hAnsi="Times New Roman" w:cs="Times New Roman"/>
                <w:kern w:val="2"/>
                <w:sz w:val="20"/>
                <w:szCs w:val="20"/>
                <w:lang w:val="en-GB"/>
                <w14:ligatures w14:val="standardContextual"/>
              </w:rPr>
            </w:pPr>
            <w:r w:rsidRPr="00A546C2">
              <w:rPr>
                <w:rFonts w:ascii="Times New Roman" w:eastAsia="Aptos" w:hAnsi="Times New Roman" w:cs="Times New Roman"/>
                <w:kern w:val="2"/>
                <w:sz w:val="20"/>
                <w:szCs w:val="20"/>
                <w:lang w:val="en-GB"/>
                <w14:ligatures w14:val="standardContextual"/>
              </w:rPr>
              <w:lastRenderedPageBreak/>
              <w:t xml:space="preserve">To address challenges related to using theories in BCIs designing, researchers working in BCIs have developed comprehensive theoretical frameworks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{"citationID":"a1uauqgjhhv","properties":{"formattedCitation":"\\super 9,10,15\\nosupersub{}","plainCitation":"9,10,15","noteIndex":0},"citationItems":[{"id":8219,"uris":["http://zotero.org/users/15765277/items/5NEJCSS3"],"itemData":{"id":8219,"type":"article-journal","abstract":"Background: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Science","DOI":"10.1186/1748-5908-6-42","ISSN":"1748-5908","issue":"1","journalAbbreviation":"Implementation Sci","language":"en","license":"http://www.springer.com/tdm","page":"42","source":"DOI.org (Crossref)","title":"The behaviour change wheel: A new method for characterising and designing behaviour change interventions","title-short":"The behaviour change wheel","URL":"http://implementationscience.biomedcentral.com/articles/10.1186/1748-5908-6-42","volume":"6","author":[{"family":"Michie","given":"Susan"},{"family":"Van Stralen","given":"Maartje M"},{"family":"West","given":"Robert"}],"accessed":{"date-parts":[["2025",11,6]]},"issued":{"date-parts":[["2011",12]]}}},{"id":8217,"uris":["http://zotero.org/users/15765277/items/TWLQI8A5"],"itemData":{"id":8217,"type":"article-journal","abstract":"Background: An integrative theoretical framework, developed for cross-disciplinary implementation and other behaviour change research, has been applied across a wide range of clinical situations. This study tests the validity of this framework.\nMethods: Validity was investigated by behavioural experts sorting 112 unique theoretical constructs using closed and open sort tasks. The extent of replication was tested by Discriminant Content Validation and Fuzzy Cluster Analysis.\nResults: There was good support for a refinement of the framework comprising 14 domains of theoretical constructs (average silhouette value 0.29): ‘Knowledge’, ‘Skills’, ‘Social/Professional Role and Identity’, ‘Beliefs about Capabilities’, ‘Optimism’, ‘Beliefs about Consequences’, ‘Reinforcement’, ‘Intentions’, ‘Goals’, ‘Memory, Attention and Decision Processes’, ‘Environmental Context and Resources’, ‘Social Influences’, ‘Emotions’, and ‘Behavioural Regulation’.\nConclusions: The refined Theoretical Domains Framework has a strengthened empirical base and provides a method for theoretically assessing implementation problems, as well as professional and other health-related behaviours as a basis for intervention development.","container-title":"Implementation Science","DOI":"10.1186/1748-5908-7-37","ISSN":"1748-5908","issue":"1","journalAbbreviation":"Implementation Sci","language":"en","page":"37","source":"DOI.org (Crossref)","title":"Validation of the theoretical domains framework for use in behaviour change and implementation research","URL":"https://implementationscience.biomedcentral.com/articles/10.1186/1748-5908-7-37","volume":"7","author":[{"family":"Cane","given":"James"},{"family":"O’Connor","given":"Denise"},{"family":"Michie","given":"Susan"}],"accessed":{"date-parts":[["2025",11,6]]},"issued":{"date-parts":[["2012",4,24]]}}},{"id":6439,"uris":["http://www.mendeley.com/documents/?uuid=94de30b0-5d40-44ca-9321-6a660a2d189b","http://zotero.org/users/15765277/items/BHC3FPAR"],"itemData":{"id":6439,"type":"article-journal","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 © 2013 The Society of Behavioral Medicine.","container-title":"Annals of Behavioral Medicine","DOI":"10.1007/s12160-013-9486-6","ISSN":"08836612","issue":"1","page":"81-95","PMID":"23512568","title":"The behavior change technique taxonomy (v1) of 93 hierarchically clustered techniques: Building an international consensus for the reporting of behavior change interventions","volume":"46","author":[{"family":"Michie","given":"Susan"},{"family":"Richardson","given":"Michelle"},{"family":"Johnston","given":"Marie"},{"family":"Abraham","given":"Charles"},{"family":"Francis","given":"Jill"},{"family":"Hardeman","given":"Wendy"},{"family":"Eccles","given":"Martin P."},{"family":"Cane","given":"James"},{"family":"Wood","given":"Caroline E."}],"issued":{"date-parts":[["2013"]]}}}],"schema":"https://github.com/citation-style-language/schema/raw/master/csl-citation.json"}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9,10,15</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which allow systematic integration of multiple behavioural determinants into BCI processes. The BCW, for example, allows intervention designers integrating food safety determinants associated with capability, opportunity, and motivation (the COM-B model) and selecting potential intervention options and policy categories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{"citationID":"a2loohf5ail","properties":{"formattedCitation":"\\super 9\\nosupersub{}","plainCitation":"9","noteIndex":0},"citationItems":[{"id":8219,"uris":["http://zotero.org/users/15765277/items/5NEJCSS3"],"itemData":{"id":8219,"type":"article-journal","abstract":"Background: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interventions.","container-title":"Implementation Science","DOI":"10.1186/1748-5908-6-42","ISSN":"1748-5908","issue":"1","journalAbbreviation":"Implementation Sci","language":"en","license":"http://www.springer.com/tdm","page":"42","source":"DOI.org (Crossref)","title":"The behaviour change wheel: A new method for characterising and designing behaviour change interventions","title-short":"The behaviour change wheel","URL":"http://implementationscience.biomedcentral.com/articles/10.1186/1748-5908-6-42","volume":"6","author":[{"family":"Michie","given":"Susan"},{"family":"Van Stralen","given":"Maartje M"},{"family":"West","given":"Robert"}],"accessed":{"date-parts":[["2025",11,6]]},"issued":{"date-parts":[["2011",12]]}}}],"schema":"https://github.com/citation-style-language/schema/raw/master/csl-citation.json"}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9</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while designing BCIs and the TDF enables incorporating 14 domains and 84 behavioural change constructs to the design process (Cane, O’Connor and Michie, 2012). Besides, the behaviour change taxonomy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{"citationID":"a1cu1sjecuq","properties":{"formattedCitation":"\\super 15\\nosupersub{}","plainCitation":"15","noteIndex":0},"citationItems":[{"id":6439,"uris":["http://www.mendeley.com/documents/?uuid=94de30b0-5d40-44ca-9321-6a660a2d189b","http://zotero.org/users/15765277/items/BHC3FPAR"],"itemData":{"id":6439,"type":"article-journal","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 © 2013 The Society of Behavioral Medicine.","container-title":"Annals of Behavioral Medicine","DOI":"10.1007/s12160-013-9486-6","ISSN":"08836612","issue":"1","page":"81-95","PMID":"23512568","title":"The behavior change technique taxonomy (v1) of 93 hierarchically clustered techniques: Building an international consensus for the reporting of behavior change interventions","volume":"46","author":[{"family":"Michie","given":"Susan"},{"family":"Richardson","given":"Michelle"},{"family":"Johnston","given":"Marie"},{"family":"Abraham","given":"Charles"},{"family":"Francis","given":"Jill"},{"family":"Hardeman","given":"Wendy"},{"family":"Eccles","given":"Martin P."},{"family":"Cane","given":"James"},{"family":"Wood","given":"Caroline E."}],"issued":{"date-parts":[["2013"]]}}}],"schema":"https://github.com/citation-style-language/schema/raw/master/csl-citation.json"}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15</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provides 93 distinct BCTs  which can be used in BCIs across various disciplines. BCT is a planned process that is the smallest part of BCI content that is observable, replicable and on its own has the potential to bring about behaviour change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{"citationID":"a1r0vab1748","properties":{"formattedCitation":"\\super 8\\nosupersub{}","plainCitation":"8","noteIndex":0},"citationItems":[{"id":8229,"uris":["http://zotero.org/users/15765277/items/CLDBDYTU"],"itemData":{"id":8229,"type":"article-journal","abstract":"Background Behaviour change interventions influence behaviour through causal processes called “mechanisms of action” (MoAs). Reports of such interventions and their evaluations often use inconsistent or ambiguous terminology, creating problems for searching, evidence synthesis and theory development. This inconsistency includes the reporting of MoAs. An ontology can help address these challenges by serving as a classification system that labels and defines MoAs and their relationships. The aim of this study was to develop an ontology of MoAs of behaviour change interventions.","container-title":"Wellcome Open Research","language":"en","source":"Zotero","title":"An ontology of mechanisms of action in behaviour change interventions [version 2; peer review: 3 approved]","author":[{"family":"Schenk","given":"Paulina M"},{"family":"Wright","given":"Alison J"},{"family":"West","given":"Robert"},{"family":"Hastings","given":"Janna"},{"family":"Lorencatto","given":"Fabiana"},{"family":"Moore","given":"Candice"},{"family":"Hayes","given":"Emily"},{"family":"Schneider","given":"Verena"},{"family":"Howes","given":"Ella"},{"family":"Michie","given":"Susan"}],"issued":{"date-parts":[["2024"]]}}}],"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8</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Providing detailed descriptions of  BCTs used in BCIs allows research replication, evidence synthesis, effective BCIs development and understanding of mechanisms of actions of BCIs </w:t>
            </w:r>
            <w:r w:rsidRPr="00A546C2">
              <w:rPr>
                <w:rFonts w:ascii="Times New Roman" w:eastAsia="Aptos" w:hAnsi="Times New Roman" w:cs="Times New Roman"/>
                <w:kern w:val="2"/>
                <w:sz w:val="20"/>
                <w:szCs w:val="20"/>
                <w:lang w:val="en-GB"/>
                <w14:ligatures w14:val="standardContextual"/>
              </w:rPr>
              <w:fldChar w:fldCharType="begin" w:fldLock="1"/>
            </w:r>
            <w:r w:rsidRPr="00A546C2">
              <w:rPr>
                <w:rFonts w:ascii="Times New Roman" w:eastAsia="Aptos" w:hAnsi="Times New Roman" w:cs="Times New Roman"/>
                <w:kern w:val="2"/>
                <w:sz w:val="20"/>
                <w:szCs w:val="20"/>
                <w:lang w:val="en-GB"/>
                <w14:ligatures w14:val="standardContextual"/>
              </w:rPr>
              <w:instrText xml:space="preserve"> ADDIN ZOTERO_ITEM CSL_CITATION {"citationID":"UEPvByhB","properties":{"formattedCitation":"\\super 15,16\\nosupersub{}","plainCitation":"15,16","noteIndex":0},"citationItems":[{"id":6439,"uris":["http://www.mendeley.com/documents/?uuid=94de30b0-5d40-44ca-9321-6a660a2d189b","http://zotero.org/users/15765277/items/BHC3FPAR"],"itemData":{"id":6439,"type":"article-journal","abstract":"Background: CONSORT guidelines call for precise reporting of behavior change interventions: we need rigorous methods of characterizing active content of interventions with precision and specificity. Objectives: The objective of this study is to develop an extensive, consensually agreed hierarchically structured taxonomy of techniques [behavior change techniques (BCTs)] used in behavior change interventions. 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 Results: This resulted in 93 BCTs clustered into 16 groups. Of the 26 BCTs occurring at least five times, 23 had adjusted kappas of 0.60 or above. Conclusions: \"BCT taxonomy v1,\" an extensive taxonomy of 93 consensually agreed, distinct BCTs, offers a step change as a method for specifying interventions, but we anticipate further development and evaluation based on international, interdisciplinary consensus. © 2013 The Society of Behavioral Medicine.","container-title":"Annals of Behavioral Medicine","DOI":"10.1007/s12160-013-9486-6","ISSN":"08836612","issue":"1","page":"81-95","PMID":"23512568","title":"The behavior change technique taxonomy (v1) of 93 hierarchically clustered techniques: Building an international consensus for the reporting of behavior change interventions","volume":"46","author":[{"family":"Michie","given":"Susan"},{"family":"Richardson","given":"Michelle"},{"family":"Johnston","given":"Marie"},{"family":"Abraham","given":"Charles"},{"family":"Francis","given":"Jill"},{"family":"Hardeman","given":"Wendy"},{"family":"Eccles","given":"Martin P."},{"family":"Cane","given":"James"},{"family":"Wood","given":"Caroline E."}],"issued":{"date-parts":[["2013"]]}}},{"id":"kuktxt1h/kYEGNYhc","uris":["http://www.mendeley.com/documents/?uuid=6b5fbc27-5017-4a26-852c-dc908176aa0c"],"itemData":{"DOI":"10.1186/1748-5908-6-10","ISSN":"17485908","PMID":"21299860","abstract":"Background: The importance of behaviour change in improving health is illustrated by the increasing investment by funding bodies in the development and evaluation of complex interventions to change population, patient, and practitioner behaviours. The development of effective interventions is hampered by the absence of a nomenclature to specify and report their content. This limits the possibility of replicating effective interventions, synthesising evidence, and understanding the causal mechanisms underlying behaviour change. In contrast, biomedical interventions are precisely specified (e.g., the pharmacological 'ingredients' of prescribed drugs, their dose and frequency of administration). For most complex interventions, the precise 'ingredients' are unknown; descriptions (e.g., 'behavioural counseling') can mean different things to different researchers or implementers. The lack of a method for specifying complex interventions undermines the precision of evidence syntheses of effectiveness, posing a problem for secondary, as well as primary, research.We aim to develop a reliable method of specifying intervention components ('techniques') aimed at changing behaviour.Methods/Design: The research will be conducted in three phases. The first phase will develop the nomenclature. We will refine a preliminary list of techniques and definitions. Using a formal consensus method, experts will then define the key attributes of each technique and how it relates to, and differs from, others. They will evaluate the techniques and their definitions until they achieve an agreed-upon list of clearly defined, nonredundant techniques. The second phase will test the nomenclature. Trained experts (primary researchers and systematic reviewers), equipped with a coding manual and guidance, will use the nomenclature to code published descriptions of complex interventions. Reliability between experts, over time, and across types of users will be assessed. We will assess whether using the nomenclature to write intervention descriptions enhances the clarity and replicability of interventions. The third phase will develop a web-based users' resource of clearly specified and nonredundant techniques, which will aid the scientific understanding of, and development of, effective complex interventions. Dissemination throughout the project will be through stakeholder meetings, targeted multidisciplinary workshops, conference presentation, journal publication, and publication in an in…","author":[{"dropping-particle":"","family":"Michie","given":"Susan","non-dropping-particle":"","parse-names":false,"suffix":""},{"dropping-particle":"","family":"Abraham","given":"Charles","non-dropping-particle":"","parse-names":false,"suffix":""},{"dropping-particle":"","family":"Eccles","given":"Martin P.","non-dropping-particle":"","parse-names":false,"suffix":""},{"dropping-particle":"","family":"Francis","given":"Jill J.","non-dropping-particle":"","parse-names":false,"suffix":""},{"dropping-particle":"","family":"Hardeman","given":"Wendy","non-dropping-particle":"","parse-names":false,"suffix":""},{"dropping-particle":"","family":"Johnston","given":"Marie","non-dropping-particle":"","parse-names":false,"suffix":""}],"container-title":"Implementation Science","id":"ITEM-2","issue":"1","issued":{"date-parts":[["2011"]]},"page":"1-8","title":"Strengthening evaluation and implementation by specifying components of behaviour change interventions: A study protocol","type":"article-journal","volume":"6"}}],"schema":"https://github.com/citation-style-language/schema/raw/master/csl-citation.json"}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15,16</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Furthermore, linking components of the BCW, COM-B, TDF, and BCT frameworks facilitates a more explicit understanding of the mechanisms of action of BCIs. Although these frameworks and BCTs are widely applied in public health–related BCIs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{"citationID":"a68gbpb6u1","properties":{"formattedCitation":"\\super 17\\uc0\\u8211{}19\\nosupersub{}","plainCitation":"17–19","noteIndex":0},"citationItems":[{"id":8798,"uris":["http://zotero.org/users/15765277/items/ILURTEY2"],"itemData":{"id":8798,"type":"article-journal","abstract":"Background: The development and description of interventions to change professional practice are often limited by the lack of an explicit theoretical and empirical basis. We set out to develop an intervention to promote appropriate disclosure of a diagnosis of dementia based on theoretical and empirical work.\nMethods: We identified three key disclosure behaviours: finding out what the patient already knows or suspects about their diagnosis; using the actual words 'dementia' or 'Alzheimer's disease' when talking to the patient; and exploring what the diagnosis means to the patient. We conducted a questionnaire survey of older peoples' mental health teams (MHTs) based upon theoretical constructs from the Theory of Planned Behaviour (TPB) and Social Cognitive Theory (SCT) and used the findings to identify factors that predicted mental health professionals' intentions to perform each behaviour. We selected behaviour change techniques likely to alter these factors.\nResults: The change techniques selected were: persuasive communication to target subjective norm; behavioural modelling and graded tasks to target self-efficacy; persuasive communication to target attitude towards the use of explicit terminology when talking to the patient; and behavioural modelling by MHTs to target perceived behavioural control for finding out what the patient already knows or suspects and exploring what the diagnosis means to the patient. We operationalised these behaviour change techniques using an interactive 'pen and paper' intervention designed to increase intentions to perform the three target behaviours.\nConclusion: It is feasible to develop an intervention to change professional behaviour based upon theoretical models, empirical data and evidence based behaviour change techniques. The next step is to evaluate the effect of such an intervention on behavioural intention. We argue that this approach to development and reporting of interventions will contribute to the science of implementation by providing replicable interventions that illuminate the principles and processes underlying change.","container-title":"BMC Health Services Research","DOI":"10.1186/1472-6963-7-207","ISSN":"1472-6963","issue":"1","journalAbbreviation":"BMC Health Serv Res","language":"en","page":"207","source":"DOI.org (Crossref)","title":"The development of a theory-based intervention to promote appropriate disclosure of a diagnosis of dementia","URL":"https://bmchealthservres.biomedcentral.com/articles/10.1186/1472-6963-7-207","volume":"7","author":[{"family":"Foy","given":"Robbie"},{"family":"Francis","given":"Jillian J"},{"family":"Johnston","given":"Marie"},{"family":"Eccles","given":"Martin"},{"family":"Lecouturier","given":"Jan"},{"family":"Bamford","given":"Claire"},{"family":"Grimshaw","given":"Jeremy"}],"accessed":{"date-parts":[["2025",12,1]]},"issued":{"date-parts":[["2007",12]]}}},{"id":8215,"uris":["http://zotero.org/users/15765277/items/8W5LEMSN"],"itemData":{"id":8215,"type":"article-journal","abstract":"Background: There is little systematic operational guidance about how best to develop complex interventions to reduce the gap between practice and evidence. This article is one in a Series of articles documenting the development and use of the Theoretical Domains Framework (TDF) to advance the science of implementation research.\nMethods: The intervention was developed considering three main components: theory, evidence, and practical issues. We used a four-step approach, consisting of guiding questions, to direct the choice of the most appropriate components of an implementation intervention: Who needs to do what, differently? Using a theoretical framework, which barriers and enablers need to be addressed? Which intervention components (behaviour change techniques and mode(s) of delivery) could overcome the modifiable barriers and enhance the enablers? And how can behaviour change be measured and understood?\nResults: A complex implementation intervention was designed that aimed to improve acute low back pain management in primary care. We used the TDF to identify the barriers and enablers to the uptake of evidence into practice and to guide the choice of intervention components. These components were then combined into a cohesive intervention. The intervention was delivered via two facilitated interactive small group workshops. We also produced a DVD to distribute to all participants in the intervention group. We chose outcome measures in order to assess the mediating mechanisms of behaviour change.\nConclusions: We have illustrated a four-step systematic method for developing an intervention designed to change clinical practice based on a theoretical framework. The method of development provides a systematic framework that could be used by others developing complex implementation interventions. While this framework should be iteratively adjusted and refined to suit other contexts and settings, we believe that the four-step process should be maintained as the primary framework to guide researchers through a comprehensive intervention development process.","container-title":"Implementation Science","DOI":"10.1186/1748-5908-7-38","ISSN":"1748-5908","issue":"1","journalAbbreviation":"Implementation Sci","language":"en","license":"http://www.springer.com/tdm","page":"38","source":"DOI.org (Crossref)","title":"Developing theory-informed behaviour change interventions to implement evidence into practice: a systematic approach using the Theoretical Domains Framework","title-short":"Developing theory-informed behaviour change interventions to implement evidence into practice","URL":"http://implementationscience.biomedcentral.com/articles/10.1186/1748-5908-7-38","volume":"7","author":[{"family":"French","given":"Simon D"},{"family":"Green","given":"Sally E"},{"family":"O’Connor","given":"Denise A"},{"family":"McKenzie","given":"Joanne E"},{"family":"Francis","given":"Jill J"},{"family":"Michie","given":"Susan"},{"family":"Buchbinder","given":"Rachelle"},{"family":"Schattner","given":"Peter"},{"family":"Spike","given":"Neil"},{"family":"Grimshaw","given":"Jeremy M"}],"accessed":{"date-parts":[["2025",11,5]]},"issued":{"date-parts":[["2012",12]]}}},{"id":8790,"uris":["http://zotero.org/users/15765277/items/G8PIKYPX"],"itemData":{"id":8790,"type":"article-journal","abstract":"Background The integration of information and communication technologies in clinical practice can supplement traditional care pathways on discharge education and has exhibited evident benefits in improving patient health out‑comes. However, healthcare providers have reported difficulties in adopting such technologies. The existing evidence on implementation interventions supporting the implementation of information and communication technologies is insufficient, characterized by infrequent utilization or reporting of implementation theories in implementation inter‑vention designs. This study aims to outline the creation of a theory‑informed implementation intervention package to enhance the clinical implementation of information and communication technologies for post‑discharge self‑care among hospitalized older adults. Methods This study systematically applies the Behavior Change Wheel (BCW) approach, involving behavior diagno‑sis, identification of intervention options, and intervention content selection, informed by conceptual frameworks, empirical data, and relevant literature. Additionally, the Implementation Research Logic Model is utilized to synthesize, organize, and visually present the collected data. Results This structured process identified and selected five intervention functions, 11 behavior change techniques, and four policy categories. A multifaceted implementation intervention package was developed, containing four components: (i) flexible and sustainable training, (ii) mass media and opinion leader campaign, (iii) technology and workflow redesign, and (iv) regular corporate‑level audit and feedback.","container-title":"Implementation Science Communications","DOI":"10.1186/s43058-025-00739-4","ISSN":"2662-2211","issue":"1","journalAbbreviation":"Implement Sci Commun","language":"en","page":"52","source":"DOI.org (Crossref)","title":"Enhancing implementation of information and communication technologies for post-discharge care among hospitalized older adult patients: development of a multifaceted implementation intervention package using the behavior change wheel and implementation research logic model","title-short":"Enhancing implementation of information and communication technologies for post-discharge care among hospitalized older adult patients","URL":"https://implementationsciencecomms.biomedcentral.com/articles/10.1186/s43058-025-00739-4","volume":"6","author":[{"family":"Wang","given":"Dorothy Yingxuan"},{"family":"Wong","given":"Eliza Lai-Yi"},{"family":"Cheung","given":"Annie Wai-Ling"},{"family":"Tam","given":"Zoe Pui-Yee"},{"family":"Tang","given":"Kam-Shing"},{"family":"Yeoh","given":"Eng-Kiong"}],"accessed":{"date-parts":[["2025",12,1]]},"issued":{"date-parts":[["2025",5,1]]}}}],"schema":"https://github.com/citation-style-language/schema/raw/master/csl-citation.json"}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17–19</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their use is rare in food safety BCIs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{"citationID":"avdav2oh0u","properties":{"formattedCitation":"\\super 14,14\\nosupersub{}","plainCitation":"14,14","noteIndex":0},"citationItems":[{"id":8840,"uris":["http://zotero.org/users/15765277/items/WPTZ47II"],"itemData":{"id":8840,"type":"article-journal","abstract":"Introduction\n              \n                Several Cambodian initiatives seek to improve nutritional outcomes\n                via\n                increased production and consumption of nutrient-dense foods, including vegetables. However, food safety gaps in informal markets, where most vegetables are purchased, allow for the transmission of foodborne pathogens and threaten the positive nutritional outcomes associated with vegetable consumption.\n              \n            \n            \n              Methods\n              This study describes a tool used to measure perceptions of Cambodians involved with informal vegetable markets regarding their capabilities, opportunities, and motivations to implement food safety practices. The quantitative tool could also be used to assess capability, opportunity, and motivation to adopt a behavior in a wide range of development contexts. To these ends, a questionnaire assessing these perceptions was developed using the Capability, Opportunity, Motivation-Behavior (COM-B) model of behavior and the Theoretical Domains Framework (TDF).\n            \n            \n              Results\n              \n                The questionnaire was piloted with vegetable vendors in Phnom Penh (\n                N\n                = 55), revised, and subsequently implemented in the provinces of Battambang and Siem Reap with vegetable producers, distributors, and vendors (\n                N\n                = 181). Confirmatory factor analysis resulted in a nine-factor model corresponding to TDF constructs with a comparative fit index of 0.91, a Tucker-Lewis index of 0.89, and a root mean square error of ~0.05. Further analysis indicated that vegetable vendors and distributors typically had significantly higher (\n                p\n                &amp;lt; 0.05) levels of perceived motivation and capability to implement the target food safety practice (washing surfaces that come in contact with vegetables with soap and water every day) compared to their perceived opportunity to do so. Among farmers, however, levels of perceived motivation were significantly higher (\n                p\n                &amp;lt; 0.05) than levels of perceived opportunity and capability. In addition, vendors in Battambang had significantly higher (\n                p\n                &amp;lt; 0.05) levels of perceived capability, opportunity, and motivation to implement the target food safety practice in comparison to farmers in either province. Vendors in Battambang had significantly higher (\n                p\n                &amp;lt; 0.05) levels of perceived opportunity and motivation than vendors in Siem Reap.\n              \n            \n            \n              Conclusions\n              These data suggest that efforts to bolster vegetable vendors' and distributors' perceived opportunity and vegetable farmers' perceived opportunity and capability to implement food safety practices could increase the likelihood of adoption of the target food safety practice.","container-title":"Frontiers in Sustainable Food Systems","DOI":"10.3389/fsufs.2023.1060876","ISSN":"2571-581X","journalAbbreviation":"Front. Sustain. Food Syst.","language":"en","page":"1060876","source":"DOI.org (Crossref)","title":"Describing capability, opportunity, and motivation for food safety practices among actors in the Cambodian informal vegetable market","URL":"https://www.frontiersin.org/articles/10.3389/fsufs.2023.1060876/full","volume":"7","author":[{"family":"Mosimann","given":"Sabrina"},{"family":"Ouk","given":"Keorimy"},{"family":"Bello","given":"Nora M."},{"family":"Chhoeun","given":"Malyheng"},{"family":"Vipham","given":"Jessie"},{"family":"Hok","given":"Lyda"},{"family":"Ebner","given":"Paul"}],"accessed":{"date-parts":[["2025",12,2]]},"issued":{"date-parts":[["2023",3,2]]}}},{"id":8840,"uris":["http://zotero.org/users/15765277/items/WPTZ47II"],"itemData":{"id":8840,"type":"article-journal","abstract":"Introduction\n              \n                Several Cambodian initiatives seek to improve nutritional outcomes\n                via\n                increased production and consumption of nutrient-dense foods, including vegetables. However, food safety gaps in informal markets, where most vegetables are purchased, allow for the transmission of foodborne pathogens and threaten the positive nutritional outcomes associated with vegetable consumption.\n              \n            \n            \n              Methods\n              This study describes a tool used to measure perceptions of Cambodians involved with informal vegetable markets regarding their capabilities, opportunities, and motivations to implement food safety practices. The quantitative tool could also be used to assess capability, opportunity, and motivation to adopt a behavior in a wide range of development contexts. To these ends, a questionnaire assessing these perceptions was developed using the Capability, Opportunity, Motivation-Behavior (COM-B) model of behavior and the Theoretical Domains Framework (TDF).\n            \n            \n              Results\n              \n                The questionnaire was piloted with vegetable vendors in Phnom Penh (\n                N\n                = 55), revised, and subsequently implemented in the provinces of Battambang and Siem Reap with vegetable producers, distributors, and vendors (\n                N\n                = 181). Confirmatory factor analysis resulted in a nine-factor model corresponding to TDF constructs with a comparative fit index of 0.91, a Tucker-Lewis index of 0.89, and a root mean square error of ~0.05. Further analysis indicated that vegetable vendors and distributors typically had significantly higher (\n                p\n                &amp;lt; 0.05) levels of perceived motivation and capability to implement the target food safety practice (washing surfaces that come in contact with vegetables with soap and water every day) compared to their perceived opportunity to do so. Among farmers, however, levels of perceived motivation were significantly higher (\n                p\n                &amp;lt; 0.05) than levels of perceived opportunity and capability. In addition, vendors in Battambang had significantly higher (\n                p\n                &amp;lt; 0.05) levels of perceived capability, opportunity, and motivation to implement the target food safety practice in comparison to farmers in either province. Vendors in Battambang had significantly higher (\n                p\n                &amp;lt; 0.05) levels of perceived opportunity and motivation than vendors in Siem Reap.\n              \n            \n            \n              Conclusions\n              These data suggest that efforts to bolster vegetable vendors' and distributors' perceived opportunity and vegetable farmers' perceived opportunity and capability to implement food safety practices could increase the likelihood of adoption of the target food safety practice.","container-title":"Frontiers in Sustainable Food Systems","DOI":"10.3389/fsufs.2023.1060876","ISSN":"2571-581X","journalAbbreviation":"Front. Sustain. Food Syst.","language":"en","page":"1060876","source":"DOI.org (Crossref)","title":"Describing capability, opportunity, and motivation for food safety practices among actors in the Cambodian informal vegetable market","URL":"https://www.frontiersin.org/articles/10.3389/fsufs.2023.1060876/full","volume":"7","author":[{"family":"Mosimann","given":"Sabrina"},{"family":"Ouk","given":"Keorimy"},{"family":"Bello","given":"Nora M."},{"family":"Chhoeun","given":"Malyheng"},{"family":"Vipham","given":"Jessie"},{"family":"Hok","given":"Lyda"},{"family":"Ebner","given":"Paul"}],"accessed":{"date-parts":[["2025",12,2]]},"issued":{"date-parts":[["2023",3,2]]}}}],"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14,14</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w:t>
            </w:r>
          </w:p>
          <w:p w14:paraId="38D23BFB" w14:textId="77777777" w:rsidR="00A546C2" w:rsidRPr="00A546C2" w:rsidRDefault="00A546C2" w:rsidP="00A546C2">
            <w:pPr>
              <w:spacing w:line="360" w:lineRule="auto"/>
              <w:contextualSpacing/>
              <w:jc w:val="both"/>
              <w:rPr>
                <w:rFonts w:ascii="Times New Roman" w:eastAsia="Aptos" w:hAnsi="Times New Roman" w:cs="Times New Roman"/>
                <w:kern w:val="2"/>
                <w:sz w:val="20"/>
                <w:szCs w:val="20"/>
                <w:lang w:val="en-GB"/>
                <w14:ligatures w14:val="standardContextual"/>
              </w:rPr>
            </w:pPr>
          </w:p>
          <w:p w14:paraId="7453D96F" w14:textId="77777777" w:rsidR="00A546C2" w:rsidRPr="00A546C2" w:rsidRDefault="00A546C2" w:rsidP="00A546C2">
            <w:pPr>
              <w:spacing w:line="360" w:lineRule="auto"/>
              <w:contextualSpacing/>
              <w:jc w:val="both"/>
              <w:rPr>
                <w:rFonts w:ascii="Times New Roman" w:eastAsia="Aptos" w:hAnsi="Times New Roman" w:cs="Times New Roman"/>
                <w:kern w:val="2"/>
                <w:sz w:val="20"/>
                <w:szCs w:val="20"/>
                <w:lang w:val="en-GB"/>
                <w14:ligatures w14:val="standardContextual"/>
              </w:rPr>
            </w:pPr>
            <w:r w:rsidRPr="00A546C2">
              <w:rPr>
                <w:rFonts w:ascii="Times New Roman" w:eastAsia="Aptos" w:hAnsi="Times New Roman" w:cs="Times New Roman"/>
                <w:kern w:val="2"/>
                <w:sz w:val="20"/>
                <w:szCs w:val="20"/>
                <w:lang w:val="en-GB"/>
                <w14:ligatures w14:val="standardContextual"/>
              </w:rPr>
              <w:t xml:space="preserve">In addition to being grounded in theory during their designing, various aspects of BCIs such as their mode of delivery, materials used, deliverers and so on should be described adequately using appropriate guidelines and models. However, various studies have shown deficiencies in the description of BCIs while reporting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{"citationID":"a22djgoi7hm","properties":{"formattedCitation":"\\super 20\\uc0\\u8211{}25\\nosupersub{}","plainCitation":"20–25","noteIndex":0},"citationItems":[{"id":8891,"uris":["http://zotero.org/users/15765277/items/XDVRQJPY"],"itemData":{"id":8891,"type":"article-journal","container-title":"JNCI: Journal of the National Cancer Institute","DOI":"10.1093/jnci/djq117","ISSN":"0027-8874, 1460-2105","issue":"10","language":"en","page":"702-705","source":"DOI.org (Crossref)","title":"Adequacy of Published Oncology Randomized Controlled Trials to Provide Therapeutic Details Needed for Clinical Application","URL":"https://academic.oup.com/jnci/article-lookup/doi/10.1093/jnci/djq117","volume":"102","author":[{"family":"Duff","given":"Jennifer M."},{"family":"Leather","given":"Helen"},{"family":"Walden","given":"Edmund O."},{"family":"LaPlant","given":"Kourtney D."},{"family":"George","given":"Thomas J."}],"accessed":{"date-parts":[["2025",12,2]]},"issued":{"date-parts":[["2010",5,19]]}}},{"id":8894,"uris":["http://zotero.org/users/15765277/items/NY3R8HCE"],"itemData":{"id":8894,"type":"article-journal","container-title":"BMJ","DOI":"10.1136/bmj.f3755","ISSN":"1756-1833","issue":"sep10 1","journalAbbreviation":"BMJ","language":"en","page":"f3755-f3755","source":"DOI.org (Crossref)","title":"Poor description of non-pharmacological interventions: analysis of consecutive sample of randomised trials","title-short":"Poor description of non-pharmacological interventions","URL":"https://www.bmj.com/lookup/doi/10.1136/bmj.f3755","volume":"347","author":[{"family":"Hoffmann","given":"T. C."},{"family":"Erueti","given":"C."},{"family":"Glasziou","given":"P. P."}],"accessed":{"date-parts":[["2025",12,2]]},"issued":{"date-parts":[["2013",9,10]]}}},{"id":8890,"uris":["http://zotero.org/users/15765277/items/ZRZ9RLQB"],"itemData":{"id":8890,"type":"article-journal","abstract":"Introduction Complete reporting of systematic reviews of interventions is essential to the interpretation of research findings and the reproducibility of research results. The Template for Intervention Description and Replication (TIDieR) checklist—and the version specific to systematic reviews (TIDieR-SR)—was created to provide authors and researchers an evidencebased guide for reporting trial and systematic review interventions. In this study, we apply TIDieR-SR to Cochrane systematic reviews of surgical interventions. Methods We searched the Cochrane Database for relevant systematic reviews. Two investigators applied inclusion/exclusion criteria to all titles/ abstracts and full texts. These same investigators extracted all data in duplicate while masked to the other’s data. The primary outcome was adherence to TIDieR-SR items. Results Two hundred and thirty-eight systematic reviews were included. Overall, included SRs adhered to a median of 6 (IQR 5–7) out of eight TIDieR-SR items. The item with the lowest adherence was item 7 (share intervention materials, 1/238 (0.4%). Discussion Our results are encouraging, but the generalisability of our findings is compromised by the inclusion of only Cochrane systematic reviews. Future reporting of intervention materials is likely to improve the application of effective surgical interventions in the clinical practice.","container-title":"BMJ Evidence-Based Medicine","DOI":"10.1136/bmjebm-2020-111417","ISSN":"2515-446X, 2515-4478","issue":"2","journalAbbreviation":"BMJ EBM","language":"en","page":"51-52","source":"DOI.org (Crossref)","title":"Evaluation of the completeness of intervention reporting in Cochrane surgical systematic reviews using the TIDieR-SR checklist: a cross-sectional study","title-short":"Evaluation of the completeness of intervention reporting in Cochrane surgical systematic reviews using the TIDieR-SR checklist","URL":"https://ebm.bmj.com/lookup/doi/10.1136/bmjebm-2020-111417","volume":"26","author":[{"family":"Vassar","given":"Matt"},{"family":"Page","given":"Matthew J"},{"family":"Glasbey","given":"James"},{"family":"Cooper","given":"Craig"},{"family":"Jorski","given":"Austin"},{"family":"Sosio","given":"Jessica"},{"family":"Wayant","given":"Cole"}],"accessed":{"date-parts":[["2025",12,2]]},"issued":{"date-parts":[["2021",4]]}}},{"id":8892,"uris":["http://zotero.org/users/15765277/items/VMAEGFZZ"],"itemData":{"id":8892,"type":"article-journal","abstract":"Introduction: Non-pharmacological invasive interventions in cardiology are complex and often inadequately reported. Template for Intervention Description and Replication (TIDieR) checklist and guide were developed to aid reporting and assessment of non-pharmacological interventions. The aim of our study was to assess the completeness of describing invasive cardiology interventions in clinical trials at the level of trial registration and corresponding journal article publication.\nMethodology: We searched for clinical trials in invasive cardiology registered in Clinicaltrials.gov and corresponding journal publications. We used the 10-item TIDieR checklist for registries and 12-item checklist for journal publications.\nResults: Out of 7,017 registry items retrieved by our search, 301 items were included in the analysis. The search for corresponding published articles yielded 192 journal publications. The majority of trials were funded by the industry and were medical device trials. The median number of reported TIDieR items was 4.5 (95% CI 4.49–4.51) out of 10, and while the corresponding journal articles reported 6.5 (95% CI 6.0–6.5) out of 12 TIDieR items.\nConclusion: Registration and reporting of invasive cardiology trials is often incomplete and adequate detailed description of the interventions is not provided. TIDieR checklist is an important tool which should be used to ensure rigorous reporting of non-pharmacological interventions in cardiology.","container-title":"Frontiers in Medicine","DOI":"10.3389/fmed.2023.1276847","ISSN":"2296-858X","journalAbbreviation":"Front. Med.","language":"en","page":"1276847","source":"DOI.org (Crossref)","title":"Completeness of intervention description in invasive cardiology trials: an observational study of ClinicalTrials.gov registry and corresponding publications","title-short":"Completeness of intervention description in invasive cardiology trials","URL":"https://www.frontiersin.org/articles/10.3389/fmed.2023.1276847/full","volume":"10","author":[{"family":"Lišnić","given":"Viktoria"},{"family":"Ashraf","given":"Hishaam"},{"family":"Viđak","given":"Marin"},{"family":"Marušić","given":"Ana"}],"accessed":{"date-parts":[["2025",12,2]]},"issued":{"date-parts":[["2023",10,10]]}}},{"id":8893,"uris":["http://zotero.org/users/15765277/items/ABZTEABT"],"itemData":{"id":8893,"type":"article-journal","container-title":"International Journal of Obesity","DOI":"10.1038/s41366-024-01506-6","ISSN":"0307-0565, 1476-5497","issue":"7","journalAbbreviation":"Int J Obes","language":"en","page":"901-912","source":"DOI.org (Crossref)","title":"Completeness of intervention reporting of nutrition-focused weight management interventions adjunct to metabolic and bariatric surgery: effect of the TIDieR checklist","title-short":"Completeness of intervention reporting of nutrition-focused weight management interventions adjunct to metabolic and bariatric surgery","URL":"https://www.nature.com/articles/s41366-024-01506-6","volume":"48","author":[{"family":"Ben-Porat","given":"Tair"},{"family":"Yousefi","given":"Reyhaneh"},{"family":"Stojanovic","given":"Jovana"},{"family":"Boucher","given":"Vincent Gosselin"},{"family":"Fortin","given":"Annabelle"},{"family":"Lavoie","given":"Kim"},{"family":"Bacon","given":"Simon L."}],"accessed":{"date-parts":[["2025",12,2]]},"issued":{"date-parts":[["2024",7]]}}},{"id":8889,"uris":["http://zotero.org/users/15765277/items/HS9UBUUA"],"itemData":{"id":8889,"type":"article-journal","abstract":"Background: Exercise-based cardiac rehabilitation improves clinical outcomes and quality of life. Technology-enabled delivery of remote cardiac rehabilitation is as effective in improving health outcomes as in-person delivery and has the potential to transform clinical service delivery. However, for the successful translation of research to clinical practice, interventions must be adequately reported in the literature.\nMethods: Systematic review of MedLine, CINAHL, PubMed and SPORT Discus databases applying PRISMA guidance. Randomised controlled trials of remote or hybrid technology-enabled exercise-based cardiac rehabilitation interventions were included. Completeness of reporting was evaluated against the TIDieR checklist.\nResults: The search strategy returned 162 articles which, following screening, resulted in 12 randomised trials being included containing data for 1588 participants. No trial fully reported their rehabilitation intervention as per the 12-item TIDieR checklist, with a median score of eight out of 12 categories. Notably, intervention detail, dosage and modification were comparatively poorly reported.\nConclusion: Technology-enabled remotely delivered cardiac rehabilitation may be effective at improving cardiovascular fitness; however, the quality of reporting of these interventions in randomised trials is insufficient for replication which has material implications for translation into clinical practice.","container-title":"Disability and Rehabilitation","DOI":"10.1080/09638288.2023.2274887","ISSN":"0963-8288, 1464-5165","issue":"19","journalAbbreviation":"Disability and Rehabilitation","language":"en","page":"4350-4358","source":"DOI.org (Crossref)","title":"Completeness of intervention reporting in randomised trials of technology-enabled remote or hybrid exercise-based cardiac rehabilitation: a systematic review using the TIDieR framework","title-short":"Completeness of intervention reporting in randomised trials of technology-enabled remote or hybrid exercise-based cardiac rehabilitation","URL":"https://www.tandfonline.com/doi/full/10.1080/09638288.2023.2274887","volume":"46","author":[{"family":"McGrath","given":"Aoife"},{"family":"McHale","given":"Sheona"},{"family":"Hanson","given":"Coral L."},{"family":"McLelland","given":"Colin"},{"family":"Hamilton","given":"David F."}],"accessed":{"date-parts":[["2025",12,2]]},"issued":{"date-parts":[["2024",9,10]]}}}],"schema":"https://github.com/citation-style-language/schema/raw/master/csl-citation.json"}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20–25</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For example, Hoffmann </w:t>
            </w:r>
            <w:r w:rsidRPr="00A546C2">
              <w:rPr>
                <w:rFonts w:ascii="Times New Roman" w:eastAsia="Aptos" w:hAnsi="Times New Roman" w:cs="Times New Roman"/>
                <w:i/>
                <w:iCs/>
                <w:kern w:val="2"/>
                <w:sz w:val="20"/>
                <w:szCs w:val="20"/>
                <w:lang w:val="en-GB"/>
                <w14:ligatures w14:val="standardContextual"/>
              </w:rPr>
              <w:t>et al</w:t>
            </w:r>
            <w:r w:rsidRPr="00A546C2">
              <w:rPr>
                <w:rFonts w:ascii="Times New Roman" w:eastAsia="Aptos" w:hAnsi="Times New Roman" w:cs="Times New Roman"/>
                <w:kern w:val="2"/>
                <w:sz w:val="20"/>
                <w:szCs w:val="20"/>
                <w:lang w:val="en-GB"/>
                <w14:ligatures w14:val="standardContextual"/>
              </w:rPr>
              <w:t xml:space="preserve">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{"citationID":"a2eqt3r5260","properties":{"formattedCitation":"\\super 21\\nosupersub{}","plainCitation":"21","noteIndex":0},"citationItems":[{"id":8894,"uris":["http://zotero.org/users/15765277/items/NY3R8HCE"],"itemData":{"id":8894,"type":"article-journal","container-title":"BMJ","DOI":"10.1136/bmj.f3755","ISSN":"1756-1833","issue":"sep10 1","journalAbbreviation":"BMJ","language":"en","page":"f3755-f3755","source":"DOI.org (Crossref)","title":"Poor description of non-pharmacological interventions: analysis of consecutive sample of randomised trials","title-short":"Poor description of non-pharmacological interventions","URL":"https://www.bmj.com/lookup/doi/10.1136/bmj.f3755","volume":"347","author":[{"family":"Hoffmann","given":"T. C."},{"family":"Erueti","given":"C."},{"family":"Glasziou","given":"P. P."}],"accessed":{"date-parts":[["2025",12,2]]},"issued":{"date-parts":[["2013",9,10]]}},"suppress-author":true}],"schema":"https://github.com/citation-style-language/schema/raw/master/csl-citation.json"}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21</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found in their review of 137 interventions that only 39% were adequately described. Inadequate descriptions of BCIs hinders critical appraisal, reduces replicability, limits evidence synthesis, and impedes the translation of findings into practice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{"citationID":"a2559gof357","properties":{"formattedCitation":"\\super 26\\uc0\\u8211{}28\\nosupersub{}","plainCitation":"26–28","noteIndex":0},"citationItems":[{"id":8902,"uris":["http://zotero.org/users/15765277/items/R4KY8AU5"],"itemData":{"id":8902,"type":"article-journal","container-title":"BMJ","DOI":"10.1136/bmj.39590.732037.47","ISSN":"0959-8138, 1468-5833","issue":"7659","journalAbbreviation":"BMJ","language":"en","license":"http://www.bmj.org/licenses/tdm/1.0/terms-and-conditions.html","page":"1472-1474","source":"DOI.org (Crossref)","title":"What is missing from descriptions of treatment in trials and reviews?","URL":"https://www.bmj.com/lookup/doi/10.1136/bmj.39590.732037.47","volume":"336","author":[{"family":"Glasziou","given":"Paul"},{"family":"Meats","given":"Emma"},{"family":"Heneghan","given":"Carl"},{"family":"Shepperd","given":"Sasha"}],"accessed":{"date-parts":[["2025",12,2]]},"issued":{"date-parts":[["2008",6,28]]}}},{"id":8848,"uris":["http://zotero.org/users/15765277/items/7QKNRSQF"],"itemData":{"id":8848,"type":"article-journal","abstract":"Overwhelming evidence shows the quality of reporting of randomised controlled trials (RCTs) is not optimal. Without transparent reporting, readers cannot judge the reliability and validity of trial ﬁndings nor extract information for systematic reviews. Recent methodological analyses indicate that inadequate reporting and design are associated with biased estimates of treatment effects. Such systematic error is seriously damaging to RCTs, which are considered the gold standard for evaluating interventions because of their ability to minimise or avoid bias.","container-title":"International Journal of Surgery","DOI":"10.1016/j.ijsu.2011.10.001","ISSN":"17439191","issue":"1","journalAbbreviation":"International Journal of Surgery","language":"en","license":"https://www.elsevier.com/tdm/userlicense/1.0/","page":"28-55","source":"DOI.org (Crossref)","title":"CONSORT 2010 explanation and elaboration: Updated guidelines for reporting parallel group randomised trials","title-short":"CONSORT 2010 explanation and elaboration","URL":"https://linkinghub.elsevier.com/retrieve/pii/S1743919111005656","volume":"10","author":[{"family":"Moher","given":"David"},{"family":"Hopewell","given":"Sally"},{"family":"Schulz","given":"Kenneth F."},{"family":"Montori","given":"Victor"},{"family":"Gøtzsche","given":"Peter C."},{"family":"Devereaux","given":"P.J."},{"family":"Elbourne","given":"Diana"},{"family":"Egger","given":"Matthias"},{"family":"Altman","given":"Douglas G."}],"accessed":{"date-parts":[["2025",12,2]]},"issued":{"date-parts":[["2012"]]}}},{"id":8225,"uris":["http://zotero.org/users/15765277/items/7DA5Z8N4"],"itemData":{"id":8225,"type":"article-journal","container-title":"BMJ","DOI":"10.1136/bmj.g1687","ISSN":"1756-1833","issue":"mar07 3","journalAbbreviation":"BMJ","language":"en","page":"g1687-g1687","source":"DOI.org (Crossref)","title":"Better reporting of interventions: template for intervention description and replication (TIDieR) checklist and guide","title-short":"Better reporting of interventions","URL":"https://www.bmj.com/lookup/doi/10.1136/bmj.g1687","volume":"348","author":[{"family":"Hoffmann","given":"T. C."},{"family":"Glasziou","given":"P. P."},{"family":"Boutron","given":"I."},{"family":"Milne","given":"R."},{"family":"Perera","given":"R."},{"family":"Moher","given":"D."},{"family":"Altman","given":"D. G."},{"family":"Barbour","given":"V."},{"family":"Macdonald","given":"H."},{"family":"Johnston","given":"M."},{"family":"Lamb","given":"S. E."},{"family":"Dixon-Woods","given":"M."},{"family":"McCulloch","given":"P."},{"family":"Wyatt","given":"J. C."},{"family":"Chan","given":"A.-W."},{"family":"Michie","given":"S."}],"accessed":{"date-parts":[["2025",11,13]]},"issued":{"date-parts":[["2014",3,7]]}}}],"schema":"https://github.com/citation-style-language/schema/raw/master/csl-citation.json"}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26–28</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.Various guidelines have been developed to facilitate description of behaviour change interventions </w:t>
            </w:r>
            <w:r w:rsidRPr="00A546C2">
              <w:rPr>
                <w:rFonts w:ascii="Times New Roman" w:eastAsia="Aptos" w:hAnsi="Times New Roman" w:cs="Times New Roman"/>
                <w:kern w:val="2"/>
                <w:sz w:val="20"/>
                <w:szCs w:val="20"/>
                <w:lang w:val="en-GB"/>
                <w14:ligatures w14:val="standardContextual"/>
              </w:rPr>
              <w:fldChar w:fldCharType="begin"/>
            </w:r>
            <w:r w:rsidRPr="00A546C2">
              <w:rPr>
                <w:rFonts w:ascii="Times New Roman" w:eastAsia="Aptos" w:hAnsi="Times New Roman" w:cs="Times New Roman"/>
                <w:kern w:val="2"/>
                <w:sz w:val="20"/>
                <w:szCs w:val="20"/>
                <w:lang w:val="en-GB"/>
                <w14:ligatures w14:val="standardContextual"/>
              </w:rPr>
              <w:instrText xml:space="preserve"> ADDIN ZOTERO_ITEM CSL_CITATION {"citationID":"a12otj7fari","properties":{"formattedCitation":"\\super 27\\uc0\\u8211{}29\\nosupersub{}","plainCitation":"27–29","noteIndex":0},"citationItems":[{"id":8848,"uris":["http://zotero.org/users/15765277/items/7QKNRSQF"],"itemData":{"id":8848,"type":"article-journal","abstract":"Overwhelming evidence shows the quality of reporting of randomised controlled trials (RCTs) is not optimal. Without transparent reporting, readers cannot judge the reliability and validity of trial ﬁndings nor extract information for systematic reviews. Recent methodological analyses indicate that inadequate reporting and design are associated with biased estimates of treatment effects. Such systematic error is seriously damaging to RCTs, which are considered the gold standard for evaluating interventions because of their ability to minimise or avoid bias.","container-title":"International Journal of Surgery","DOI":"10.1016/j.ijsu.2011.10.001","ISSN":"17439191","issue":"1","journalAbbreviation":"International Journal of Surgery","language":"en","license":"https://www.elsevier.com/tdm/userlicense/1.0/","page":"28-55","source":"DOI.org (Crossref)","title":"CONSORT 2010 explanation and elaboration: Updated guidelines for reporting parallel group randomised trials","title-short":"CONSORT 2010 explanation and elaboration","URL":"https://linkinghub.elsevier.com/retrieve/pii/S1743919111005656","volume":"10","author":[{"family":"Moher","given":"David"},{"family":"Hopewell","given":"Sally"},{"family":"Schulz","given":"Kenneth F."},{"family":"Montori","given":"Victor"},{"family":"Gøtzsche","given":"Peter C."},{"family":"Devereaux","given":"P.J."},{"family":"Elbourne","given":"Diana"},{"family":"Egger","given":"Matthias"},{"family":"Altman","given":"Douglas G."}],"accessed":{"date-parts":[["2025",12,2]]},"issued":{"date-parts":[["2012"]]}}},{"id":8225,"uris":["http://zotero.org/users/15765277/items/7DA5Z8N4"],"itemData":{"id":8225,"type":"article-journal","container-title":"BMJ","DOI":"10.1136/bmj.g1687","ISSN":"1756-1833","issue":"mar07 3","journalAbbreviation":"BMJ","language":"en","page":"g1687-g1687","source":"DOI.org (Crossref)","title":"Better reporting of interventions: template for intervention description and replication (TIDieR) checklist and guide","title-short":"Better reporting of interventions","URL":"https://www.bmj.com/lookup/doi/10.1136/bmj.g1687","volume":"348","author":[{"family":"Hoffmann","given":"T. C."},{"family":"Glasziou","given":"P. P."},{"family":"Boutron","given":"I."},{"family":"Milne","given":"R."},{"family":"Perera","given":"R."},{"family":"Moher","given":"D."},{"family":"Altman","given":"D. G."},{"family":"Barbour","given":"V."},{"family":"Macdonald","given":"H."},{"family":"Johnston","given":"M."},{"family":"Lamb","given":"S. E."},{"family":"Dixon-Woods","given":"M."},{"family":"McCulloch","given":"P."},{"family":"Wyatt","given":"J. C."},{"family":"Chan","given":"A.-W."},{"family":"Michie","given":"S."}],"accessed":{"date-parts":[["2025",11,13]]},"issued":{"date-parts":[["2014",3,7]]}}},{"id":8904,"uris":["http://zotero.org/users/15765277/items/NAHE9VW3"],"itemData":{"id":8904,"type":"article-journal","abstract":"Conclusions: The IRLM is a semi-structured, principle-guided tool designed to improve the specification, rigor, reproducibility, and testable causal pathways involved in implementation research projects. The IRLM can also aid implementation researchers and implementation partners in the planning and execution of practice change initiatives. Adaptation and refinement of the IRLM are ongoing, as is the development of resources for use and applications to diverse projects, to address the challenges of this complex scientific field.","container-title":"Implementation Science","DOI":"10.1186/s13012-020-01041-8","ISSN":"1748-5908","issue":"1","journalAbbreviation":"Implementation Sci","language":"en","page":"84","source":"DOI.org (Crossref)","title":"The Implementation Research Logic Model: a method for planning, executing, reporting, and synthesizing implementation projects","title-short":"The Implementation Research Logic Model","URL":"https://implementationscience.biomedcentral.com/articles/10.1186/s13012-020-01041-8","volume":"15","author":[{"family":"Smith","given":"Justin D."},{"family":"Li","given":"Dennis H."},{"family":"Rafferty","given":"Miriam R."}],"accessed":{"date-parts":[["2025",12,2]]},"issued":{"date-parts":[["2020",12]]}}}],"schema":"https://github.com/citation-style-language/schema/raw/master/csl-citation.json"} </w:instrText>
            </w:r>
            <w:r w:rsidRPr="00A546C2">
              <w:rPr>
                <w:rFonts w:ascii="Times New Roman" w:eastAsia="Aptos" w:hAnsi="Times New Roman" w:cs="Times New Roman"/>
                <w:kern w:val="2"/>
                <w:sz w:val="20"/>
                <w:szCs w:val="20"/>
                <w:lang w:val="en-GB"/>
                <w14:ligatures w14:val="standardContextual"/>
              </w:rPr>
              <w:fldChar w:fldCharType="separate"/>
            </w:r>
            <w:r w:rsidRPr="00A546C2">
              <w:rPr>
                <w:rFonts w:ascii="Times New Roman" w:eastAsia="Aptos" w:hAnsi="Times New Roman" w:cs="Times New Roman"/>
                <w:sz w:val="20"/>
                <w:szCs w:val="20"/>
                <w:vertAlign w:val="superscript"/>
                <w:lang w:val="en-GB"/>
                <w14:ligatures w14:val="standardContextual"/>
              </w:rPr>
              <w:t>27–29</w:t>
            </w:r>
            <w:r w:rsidRPr="00A546C2">
              <w:rPr>
                <w:rFonts w:ascii="Times New Roman" w:eastAsia="Aptos" w:hAnsi="Times New Roman" w:cs="Times New Roman"/>
                <w:kern w:val="2"/>
                <w:sz w:val="20"/>
                <w:szCs w:val="20"/>
                <w:lang w:val="en-GB"/>
                <w14:ligatures w14:val="standardContextual"/>
              </w:rPr>
              <w:fldChar w:fldCharType="end"/>
            </w:r>
            <w:r w:rsidRPr="00A546C2">
              <w:rPr>
                <w:rFonts w:ascii="Times New Roman" w:eastAsia="Aptos" w:hAnsi="Times New Roman" w:cs="Times New Roman"/>
                <w:kern w:val="2"/>
                <w:sz w:val="20"/>
                <w:szCs w:val="20"/>
                <w:lang w:val="en-GB"/>
                <w14:ligatures w14:val="standardContextual"/>
              </w:rPr>
              <w:t xml:space="preserve">. </w:t>
            </w:r>
          </w:p>
          <w:p w14:paraId="383DAF01" w14:textId="77777777" w:rsidR="009441A8" w:rsidRPr="00A546C2" w:rsidRDefault="009441A8" w:rsidP="00F57C8A">
            <w:pPr>
              <w:spacing w:line="360" w:lineRule="auto"/>
              <w:jc w:val="both"/>
              <w:rPr>
                <w:rFonts w:ascii="Times New Roman" w:eastAsia="Calibri" w:hAnsi="Times New Roman" w:cs="Times New Roman"/>
                <w:sz w:val="20"/>
                <w:szCs w:val="20"/>
              </w:rPr>
            </w:pPr>
          </w:p>
        </w:tc>
        <w:tc>
          <w:tcPr>
            <w:tcW w:w="1843" w:type="dxa"/>
            <w:tcBorders>
              <w:left w:val="nil"/>
              <w:right w:val="single" w:sz="4" w:space="0" w:color="auto"/>
            </w:tcBorders>
          </w:tcPr>
          <w:p w14:paraId="383DAF02" w14:textId="352548DD" w:rsidR="00200C2E" w:rsidRPr="0012730A" w:rsidRDefault="00F11E1E" w:rsidP="00200C2E">
            <w:pPr>
              <w:spacing w:line="360" w:lineRule="auto"/>
              <w:rPr>
                <w:rFonts w:ascii="Times New Roman" w:eastAsia="Calibri" w:hAnsi="Times New Roman" w:cs="Times New Roman"/>
                <w:b/>
                <w:bCs/>
                <w:sz w:val="20"/>
                <w:szCs w:val="20"/>
                <w:u w:val="single"/>
              </w:rPr>
            </w:pPr>
            <w:r w:rsidRPr="0012730A">
              <w:rPr>
                <w:rFonts w:ascii="Times New Roman" w:eastAsia="Calibri" w:hAnsi="Times New Roman" w:cs="Times New Roman"/>
                <w:b/>
                <w:bCs/>
                <w:sz w:val="20"/>
                <w:szCs w:val="20"/>
                <w:u w:val="single"/>
              </w:rPr>
              <w:lastRenderedPageBreak/>
              <w:t>3-4</w:t>
            </w:r>
          </w:p>
        </w:tc>
        <w:tc>
          <w:tcPr>
            <w:tcW w:w="1843" w:type="dxa"/>
            <w:tcBorders>
              <w:left w:val="single" w:sz="4" w:space="0" w:color="auto"/>
            </w:tcBorders>
          </w:tcPr>
          <w:p w14:paraId="383DAF03" w14:textId="77777777" w:rsidR="00200C2E" w:rsidRPr="00F57C8A" w:rsidRDefault="006367C5"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09" w14:textId="77777777" w:rsidTr="000D28AE">
        <w:tc>
          <w:tcPr>
            <w:tcW w:w="959" w:type="dxa"/>
            <w:tcBorders>
              <w:right w:val="nil"/>
            </w:tcBorders>
          </w:tcPr>
          <w:p w14:paraId="383DAF05"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right w:val="nil"/>
            </w:tcBorders>
          </w:tcPr>
          <w:p w14:paraId="383DAF06"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sz w:val="20"/>
                <w:szCs w:val="20"/>
              </w:rPr>
              <w:t>WHAT</w:t>
            </w:r>
          </w:p>
        </w:tc>
        <w:tc>
          <w:tcPr>
            <w:tcW w:w="1843" w:type="dxa"/>
            <w:tcBorders>
              <w:left w:val="nil"/>
              <w:right w:val="single" w:sz="4" w:space="0" w:color="auto"/>
            </w:tcBorders>
          </w:tcPr>
          <w:p w14:paraId="383DAF07"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left w:val="single" w:sz="4" w:space="0" w:color="auto"/>
            </w:tcBorders>
          </w:tcPr>
          <w:p w14:paraId="383DAF08"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10" w14:textId="77777777" w:rsidTr="000D28AE">
        <w:tc>
          <w:tcPr>
            <w:tcW w:w="959" w:type="dxa"/>
            <w:tcBorders>
              <w:right w:val="nil"/>
            </w:tcBorders>
          </w:tcPr>
          <w:p w14:paraId="383DAF0A"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3.</w:t>
            </w:r>
          </w:p>
        </w:tc>
        <w:tc>
          <w:tcPr>
            <w:tcW w:w="10064" w:type="dxa"/>
            <w:tcBorders>
              <w:left w:val="nil"/>
              <w:right w:val="nil"/>
            </w:tcBorders>
          </w:tcPr>
          <w:p w14:paraId="3288BB7F" w14:textId="77777777" w:rsidR="00200C2E" w:rsidRPr="00F57C8A" w:rsidRDefault="00200C2E" w:rsidP="00200C2E">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p w14:paraId="4773DAA0" w14:textId="77777777" w:rsidR="008113F7" w:rsidRPr="00F57C8A" w:rsidRDefault="008113F7" w:rsidP="00200C2E">
            <w:pPr>
              <w:spacing w:line="360" w:lineRule="auto"/>
              <w:rPr>
                <w:rFonts w:ascii="Times New Roman" w:eastAsia="Calibri" w:hAnsi="Times New Roman" w:cs="Times New Roman"/>
                <w:bCs/>
                <w:iCs/>
                <w:sz w:val="20"/>
                <w:szCs w:val="20"/>
              </w:rPr>
            </w:pPr>
          </w:p>
          <w:p w14:paraId="49F37761" w14:textId="00F57B94" w:rsidR="00162CEB" w:rsidRPr="00F57C8A" w:rsidRDefault="00C56813" w:rsidP="008113F7">
            <w:pPr>
              <w:spacing w:line="360" w:lineRule="auto"/>
              <w:jc w:val="both"/>
              <w:rPr>
                <w:rFonts w:ascii="Times New Roman" w:hAnsi="Times New Roman" w:cs="Times New Roman"/>
                <w:sz w:val="20"/>
                <w:szCs w:val="20"/>
              </w:rPr>
            </w:pPr>
            <w:r w:rsidRPr="00C56813">
              <w:rPr>
                <w:rFonts w:ascii="Times New Roman" w:eastAsia="Calibri" w:hAnsi="Times New Roman" w:cs="Times New Roman"/>
                <w:sz w:val="20"/>
                <w:szCs w:val="20"/>
              </w:rPr>
              <w:t xml:space="preserve">A total of 302 butcher shops were signed up to the study. One meat handler was selected from each shop to participate in the study. Eligible participants were adults 18 years of age or older and had primary responsibilities for regular meat handling (e.g., receiving, sorting, cleaning, hanging/storing, cutting [preparing for sale], and selling meat). The 302 butcher shops were randomly assigned to one of two intervention groups (Intervention 1 and Intervention 2) (101 shops each) or a control </w:t>
            </w:r>
            <w:r w:rsidRPr="00C56813">
              <w:rPr>
                <w:rFonts w:ascii="Times New Roman" w:eastAsia="Calibri" w:hAnsi="Times New Roman" w:cs="Times New Roman"/>
                <w:sz w:val="20"/>
                <w:szCs w:val="20"/>
              </w:rPr>
              <w:lastRenderedPageBreak/>
              <w:t>group (100 shops). Intervention 1 shops (hereinafter called TNM) received training, nudges and hygiene materials while shops in Intervention 2 (hereinafter called TNMI), in addition to the interventions received by TNM shops, were inspected and rated, and the ratings publicly posted (‘scores on doors’). Controls received nothing during intervention but received training, nudges and hygiene materials after endline data collection.</w:t>
            </w:r>
            <w:r w:rsidR="00E74450">
              <w:rPr>
                <w:rFonts w:ascii="Times New Roman" w:eastAsia="Calibri" w:hAnsi="Times New Roman" w:cs="Times New Roman"/>
                <w:sz w:val="20"/>
                <w:szCs w:val="20"/>
              </w:rPr>
              <w:t xml:space="preserve"> </w:t>
            </w:r>
            <w:r w:rsidR="00FD03A1">
              <w:rPr>
                <w:rFonts w:ascii="Times New Roman" w:hAnsi="Times New Roman" w:cs="Times New Roman"/>
                <w:sz w:val="20"/>
                <w:szCs w:val="20"/>
              </w:rPr>
              <w:t>Details of these intervention packages will be provided below under procedures at item 4.</w:t>
            </w:r>
          </w:p>
          <w:p w14:paraId="383DAF0B" w14:textId="2C0E1168" w:rsidR="008113F7" w:rsidRPr="00F57C8A" w:rsidRDefault="008113F7" w:rsidP="006321A6">
            <w:pPr>
              <w:spacing w:line="360" w:lineRule="auto"/>
              <w:jc w:val="both"/>
              <w:rPr>
                <w:rFonts w:ascii="Times New Roman" w:eastAsia="Calibri" w:hAnsi="Times New Roman" w:cs="Times New Roman"/>
                <w:sz w:val="20"/>
                <w:szCs w:val="20"/>
              </w:rPr>
            </w:pPr>
          </w:p>
        </w:tc>
        <w:tc>
          <w:tcPr>
            <w:tcW w:w="1843" w:type="dxa"/>
            <w:tcBorders>
              <w:left w:val="nil"/>
              <w:right w:val="single" w:sz="4" w:space="0" w:color="auto"/>
            </w:tcBorders>
          </w:tcPr>
          <w:p w14:paraId="383DAF0C" w14:textId="71E98655" w:rsidR="00200C2E" w:rsidRPr="0012730A" w:rsidRDefault="00BF18E1" w:rsidP="00200C2E">
            <w:pPr>
              <w:spacing w:line="360" w:lineRule="auto"/>
              <w:rPr>
                <w:rFonts w:ascii="Times New Roman" w:eastAsia="Calibri" w:hAnsi="Times New Roman" w:cs="Times New Roman"/>
                <w:b/>
                <w:bCs/>
                <w:sz w:val="20"/>
                <w:szCs w:val="20"/>
                <w:u w:val="single"/>
              </w:rPr>
            </w:pPr>
            <w:r w:rsidRPr="0012730A">
              <w:rPr>
                <w:rFonts w:ascii="Times New Roman" w:eastAsia="Calibri" w:hAnsi="Times New Roman" w:cs="Times New Roman"/>
                <w:b/>
                <w:bCs/>
                <w:sz w:val="20"/>
                <w:szCs w:val="20"/>
                <w:u w:val="single"/>
              </w:rPr>
              <w:lastRenderedPageBreak/>
              <w:t>5</w:t>
            </w:r>
          </w:p>
          <w:p w14:paraId="383DAF0D" w14:textId="77777777" w:rsidR="006367C5" w:rsidRPr="00F57C8A" w:rsidRDefault="006367C5" w:rsidP="00200C2E">
            <w:pPr>
              <w:spacing w:line="360" w:lineRule="auto"/>
              <w:rPr>
                <w:rFonts w:ascii="Times New Roman" w:eastAsia="Calibri" w:hAnsi="Times New Roman" w:cs="Times New Roman"/>
                <w:sz w:val="20"/>
                <w:szCs w:val="20"/>
              </w:rPr>
            </w:pPr>
          </w:p>
          <w:p w14:paraId="383DAF0E" w14:textId="77777777" w:rsidR="006367C5" w:rsidRPr="00F57C8A" w:rsidRDefault="006367C5" w:rsidP="00200C2E">
            <w:pPr>
              <w:spacing w:line="360" w:lineRule="auto"/>
              <w:rPr>
                <w:rFonts w:ascii="Times New Roman" w:eastAsia="Calibri" w:hAnsi="Times New Roman" w:cs="Times New Roman"/>
                <w:sz w:val="20"/>
                <w:szCs w:val="20"/>
              </w:rPr>
            </w:pPr>
          </w:p>
        </w:tc>
        <w:tc>
          <w:tcPr>
            <w:tcW w:w="1843" w:type="dxa"/>
            <w:tcBorders>
              <w:left w:val="single" w:sz="4" w:space="0" w:color="auto"/>
            </w:tcBorders>
          </w:tcPr>
          <w:p w14:paraId="383DAF0F" w14:textId="77777777" w:rsidR="00200C2E" w:rsidRPr="00F57C8A" w:rsidRDefault="000D28AE"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15" w14:textId="77777777" w:rsidTr="000D28AE">
        <w:tc>
          <w:tcPr>
            <w:tcW w:w="959" w:type="dxa"/>
            <w:tcBorders>
              <w:right w:val="nil"/>
            </w:tcBorders>
          </w:tcPr>
          <w:p w14:paraId="383DAF11"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4.</w:t>
            </w:r>
          </w:p>
        </w:tc>
        <w:tc>
          <w:tcPr>
            <w:tcW w:w="10064" w:type="dxa"/>
            <w:tcBorders>
              <w:left w:val="nil"/>
              <w:right w:val="nil"/>
            </w:tcBorders>
          </w:tcPr>
          <w:p w14:paraId="1B870078" w14:textId="77777777" w:rsidR="00200C2E" w:rsidRPr="00F57C8A" w:rsidRDefault="00200C2E" w:rsidP="00200C2E">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Procedures: Describe each of the procedures, activities, and/or processes used in the intervention, including any enabling or support activities.</w:t>
            </w:r>
          </w:p>
          <w:p w14:paraId="4D1C80F7" w14:textId="77777777" w:rsidR="008113F7" w:rsidRPr="00F57C8A" w:rsidRDefault="008113F7" w:rsidP="00200C2E">
            <w:pPr>
              <w:spacing w:line="360" w:lineRule="auto"/>
              <w:rPr>
                <w:rFonts w:ascii="Times New Roman" w:eastAsia="Calibri" w:hAnsi="Times New Roman" w:cs="Times New Roman"/>
                <w:bCs/>
                <w:iCs/>
                <w:sz w:val="20"/>
                <w:szCs w:val="20"/>
              </w:rPr>
            </w:pPr>
          </w:p>
          <w:p w14:paraId="7BDF99D3" w14:textId="78C5F6B3" w:rsidR="008113F7" w:rsidRPr="00F57C8A" w:rsidRDefault="00692C32" w:rsidP="00200C2E">
            <w:pPr>
              <w:spacing w:line="360" w:lineRule="auto"/>
              <w:rPr>
                <w:rFonts w:ascii="Times New Roman" w:eastAsia="Calibri" w:hAnsi="Times New Roman" w:cs="Times New Roman"/>
                <w:b/>
                <w:iCs/>
                <w:sz w:val="20"/>
                <w:szCs w:val="20"/>
              </w:rPr>
            </w:pPr>
            <w:r w:rsidRPr="00F57C8A">
              <w:rPr>
                <w:rFonts w:ascii="Times New Roman" w:eastAsia="Calibri" w:hAnsi="Times New Roman" w:cs="Times New Roman"/>
                <w:b/>
                <w:iCs/>
                <w:sz w:val="20"/>
                <w:szCs w:val="20"/>
              </w:rPr>
              <w:t>Training:</w:t>
            </w:r>
          </w:p>
          <w:p w14:paraId="33BD4E84" w14:textId="33AD7A6B" w:rsidR="00FF11A3" w:rsidRPr="00FF11A3" w:rsidRDefault="00FF11A3" w:rsidP="00FF11A3">
            <w:pPr>
              <w:jc w:val="both"/>
              <w:rPr>
                <w:rFonts w:ascii="Times New Roman" w:eastAsia="Calibri" w:hAnsi="Times New Roman" w:cs="Times New Roman"/>
                <w:sz w:val="20"/>
                <w:szCs w:val="20"/>
              </w:rPr>
            </w:pPr>
            <w:r w:rsidRPr="00FF11A3">
              <w:rPr>
                <w:rFonts w:ascii="Times New Roman" w:eastAsia="Calibri" w:hAnsi="Times New Roman" w:cs="Times New Roman"/>
                <w:sz w:val="20"/>
                <w:szCs w:val="20"/>
              </w:rPr>
              <w:t xml:space="preserve">The training material has four modules, each targeting specific learning objectives and arranged progressively from fundamental to relatively more difficult concepts. Training contents were tailored to address GHPs in butcher shops. Module one was an introduction to food safety training. Module two focused on food safety concepts, foodborne hazards and their control measures, impacts of unsafe food, how to keep food safe and benefits of maintaining workplace hygiene. Module three covered basic GHPs 2 that food businesses are expected to follow including hands hygiene, wearing appropriate and clean protective clothing, worker </w:t>
            </w:r>
            <w:r w:rsidRPr="00FF11A3">
              <w:rPr>
                <w:rFonts w:ascii="Times New Roman" w:eastAsia="Calibri" w:hAnsi="Times New Roman" w:cs="Times New Roman"/>
                <w:sz w:val="20"/>
                <w:szCs w:val="20"/>
              </w:rPr>
              <w:t>health, cleaning</w:t>
            </w:r>
            <w:r w:rsidRPr="00FF11A3">
              <w:rPr>
                <w:rFonts w:ascii="Times New Roman" w:eastAsia="Calibri" w:hAnsi="Times New Roman" w:cs="Times New Roman"/>
                <w:sz w:val="20"/>
                <w:szCs w:val="20"/>
              </w:rPr>
              <w:t xml:space="preserve"> and disinfection of worksite surfaces and </w:t>
            </w:r>
            <w:proofErr w:type="gramStart"/>
            <w:r w:rsidRPr="00FF11A3">
              <w:rPr>
                <w:rFonts w:ascii="Times New Roman" w:eastAsia="Calibri" w:hAnsi="Times New Roman" w:cs="Times New Roman"/>
                <w:sz w:val="20"/>
                <w:szCs w:val="20"/>
              </w:rPr>
              <w:t>tools,  use</w:t>
            </w:r>
            <w:proofErr w:type="gramEnd"/>
            <w:r w:rsidRPr="00FF11A3">
              <w:rPr>
                <w:rFonts w:ascii="Times New Roman" w:eastAsia="Calibri" w:hAnsi="Times New Roman" w:cs="Times New Roman"/>
                <w:sz w:val="20"/>
                <w:szCs w:val="20"/>
              </w:rPr>
              <w:t xml:space="preserve"> of safe water, safe meat storage, pest control, waste management and ensuring proper internal structures and facilities of butcher </w:t>
            </w:r>
            <w:proofErr w:type="gramStart"/>
            <w:r w:rsidRPr="00FF11A3">
              <w:rPr>
                <w:rFonts w:ascii="Times New Roman" w:eastAsia="Calibri" w:hAnsi="Times New Roman" w:cs="Times New Roman"/>
                <w:sz w:val="20"/>
                <w:szCs w:val="20"/>
              </w:rPr>
              <w:t>shops .</w:t>
            </w:r>
            <w:proofErr w:type="gramEnd"/>
            <w:r w:rsidRPr="00FF11A3">
              <w:rPr>
                <w:rFonts w:ascii="Times New Roman" w:eastAsia="Calibri" w:hAnsi="Times New Roman" w:cs="Times New Roman"/>
                <w:sz w:val="20"/>
                <w:szCs w:val="20"/>
              </w:rPr>
              <w:t xml:space="preserve"> Module four was on creating and maintaining a positive food safety culture in food businesses. The modules were prepared in English and translated into Amharic (the local language) and delivered in Amharic. </w:t>
            </w:r>
          </w:p>
          <w:p w14:paraId="0079DE78" w14:textId="77777777" w:rsidR="00FF11A3" w:rsidRPr="00FF11A3" w:rsidRDefault="00FF11A3" w:rsidP="00FF11A3">
            <w:pPr>
              <w:jc w:val="both"/>
              <w:rPr>
                <w:rFonts w:ascii="Times New Roman" w:eastAsia="Calibri" w:hAnsi="Times New Roman" w:cs="Times New Roman"/>
                <w:sz w:val="20"/>
                <w:szCs w:val="20"/>
              </w:rPr>
            </w:pPr>
          </w:p>
          <w:p w14:paraId="5E586421" w14:textId="77777777" w:rsidR="00FF11A3" w:rsidRPr="00FF11A3" w:rsidRDefault="00FF11A3" w:rsidP="00FF11A3">
            <w:pPr>
              <w:jc w:val="both"/>
              <w:rPr>
                <w:rFonts w:ascii="Times New Roman" w:eastAsia="Calibri" w:hAnsi="Times New Roman" w:cs="Times New Roman"/>
                <w:sz w:val="20"/>
                <w:szCs w:val="20"/>
              </w:rPr>
            </w:pPr>
            <w:r w:rsidRPr="00FF11A3">
              <w:rPr>
                <w:rFonts w:ascii="Times New Roman" w:eastAsia="Calibri" w:hAnsi="Times New Roman" w:cs="Times New Roman"/>
                <w:sz w:val="20"/>
                <w:szCs w:val="20"/>
              </w:rPr>
              <w:t xml:space="preserve">The training was delivered in multiple sessions (three sessions): First, butcher shop workers attended a four-hour training (in two sessions, with 20 minutes rest between the sessions) at a hotel near their workplaces (offsite training) conducted by ILRI research team. Data collectors invited the shops to the training during baseline data collection by delivering a letter of invitation stating the date of training and that the meat handler should attend. We organized eight training sessions to educate 202 meat handlers (required four days to complete the training aiming to train 50 workers per day, 25 workers by each trainer) who participated from intervention shops.  This offsite training was provided by two research team members from ILRI who involved in the design of the overall project and the training materials. The training at the hotels was delivered as multimedia instruction (presenting words and pictures using PowerPoint presentation), practical demonstration (trainers showed the learners how to perform a skill or task through a step-by-step live demonstration followed by hands-on practice by learners) and active discussion. Participants received pre-and post-test during offsite training. Participants also received certificates that show successful completion of the training. Of the invited meat handlers to the offsite training from intervention shops (excluding control shops), 91% (183/202) of them attended the training: 94% (94/101) for TNM and 88% (89/101) for TNMI shops.  </w:t>
            </w:r>
          </w:p>
          <w:p w14:paraId="2D457F29" w14:textId="00062B39" w:rsidR="00A82A31" w:rsidRDefault="00FF11A3" w:rsidP="00FF11A3">
            <w:pPr>
              <w:jc w:val="both"/>
              <w:rPr>
                <w:rFonts w:ascii="Times New Roman" w:eastAsia="Calibri" w:hAnsi="Times New Roman" w:cs="Times New Roman"/>
                <w:sz w:val="20"/>
                <w:szCs w:val="20"/>
              </w:rPr>
            </w:pPr>
            <w:r w:rsidRPr="00FF11A3">
              <w:rPr>
                <w:rFonts w:ascii="Times New Roman" w:eastAsia="Calibri" w:hAnsi="Times New Roman" w:cs="Times New Roman"/>
                <w:sz w:val="20"/>
                <w:szCs w:val="20"/>
              </w:rPr>
              <w:t xml:space="preserve">Next, one week later, they received on-the-job training at their shops (2-hour training at each shop) to reach meat handlers who did not attend the training at the hotels and reinforce knowledge for those who did, 95% (192/202) of the shops trained: 96% (97/101) for TNM and 94% (95/101) for TNMI shops. This was because shops often have two or more workers, but it would be difficult to send all workers to offsite training on the same day, so some missed the hotel training. The contents of on-the-job training were the same as offsite training but shortened to fit the limited time available to butcher shop workers, given the busy nature of their work. The training modules were summarized in a booklet 53 to be used by the trainers at this </w:t>
            </w:r>
            <w:r w:rsidRPr="00FF11A3">
              <w:rPr>
                <w:rFonts w:ascii="Times New Roman" w:eastAsia="Calibri" w:hAnsi="Times New Roman" w:cs="Times New Roman"/>
                <w:sz w:val="20"/>
                <w:szCs w:val="20"/>
              </w:rPr>
              <w:lastRenderedPageBreak/>
              <w:t>on-the-job training and this booklet was also provided to the butcher shops to refer to it while at their work. In addition, two months after the on-the-job training, refresher training (2-hour training at each shop) was conducted by on-the-job training at the butcher shops. Food business inspectors from AA-FDA who were trained on the training materials (by the two research team members who provided the offsite training) provided both on-the-job training and the refresher training. Eleven food inspectors (one from each sub-city of Addis Ababa) provided the training in their own sub-city (where they routinely work).</w:t>
            </w:r>
          </w:p>
          <w:p w14:paraId="2169853B" w14:textId="75B6286A" w:rsidR="00251716" w:rsidRDefault="00DB4233" w:rsidP="00A82A31">
            <w:pPr>
              <w:jc w:val="both"/>
              <w:rPr>
                <w:rFonts w:ascii="Times New Roman" w:eastAsia="Calibri" w:hAnsi="Times New Roman" w:cs="Times New Roman"/>
                <w:b/>
                <w:bCs/>
                <w:sz w:val="20"/>
                <w:szCs w:val="20"/>
              </w:rPr>
            </w:pPr>
            <w:r w:rsidRPr="00A82A31">
              <w:rPr>
                <w:b/>
                <w:bCs/>
              </w:rPr>
              <w:t>Environmental Nudges</w:t>
            </w:r>
            <w:r w:rsidR="00251716" w:rsidRPr="00A82A31">
              <w:rPr>
                <w:rFonts w:ascii="Times New Roman" w:eastAsia="Calibri" w:hAnsi="Times New Roman" w:cs="Times New Roman"/>
                <w:b/>
                <w:bCs/>
                <w:sz w:val="20"/>
                <w:szCs w:val="20"/>
              </w:rPr>
              <w:t>:</w:t>
            </w:r>
          </w:p>
          <w:p w14:paraId="7DC0890B" w14:textId="77777777" w:rsidR="00A82A31" w:rsidRPr="00A82A31" w:rsidRDefault="00A82A31" w:rsidP="00A82A31">
            <w:pPr>
              <w:jc w:val="both"/>
              <w:rPr>
                <w:rFonts w:ascii="Times New Roman" w:eastAsia="Calibri" w:hAnsi="Times New Roman" w:cs="Times New Roman"/>
                <w:b/>
                <w:bCs/>
                <w:sz w:val="20"/>
                <w:szCs w:val="20"/>
              </w:rPr>
            </w:pPr>
          </w:p>
          <w:p w14:paraId="5A649046" w14:textId="77777777" w:rsidR="008914EF" w:rsidRPr="008914EF" w:rsidRDefault="008914EF" w:rsidP="00A82A31">
            <w:pPr>
              <w:jc w:val="both"/>
              <w:rPr>
                <w:rFonts w:ascii="Times New Roman" w:eastAsia="Calibri" w:hAnsi="Times New Roman" w:cs="Times New Roman"/>
                <w:sz w:val="20"/>
                <w:szCs w:val="20"/>
              </w:rPr>
            </w:pPr>
            <w:r w:rsidRPr="008914EF">
              <w:rPr>
                <w:rFonts w:ascii="Times New Roman" w:eastAsia="Calibri" w:hAnsi="Times New Roman" w:cs="Times New Roman"/>
                <w:sz w:val="20"/>
                <w:szCs w:val="20"/>
              </w:rPr>
              <w:t>Food inspectors also posted the nudges at both TNM and TNMI shops during the on-the-job training. The nudge kit included posters, practical instructions for implementing food safety practices, and a booklet summarizing the training modules, all provided in the local language (Amharic). The posters were displayed in shops to act as guides and reminders and to promote hygienic behaviors.</w:t>
            </w:r>
          </w:p>
          <w:p w14:paraId="66CF2B01" w14:textId="07DC9406" w:rsidR="003B325A" w:rsidRPr="003B325A" w:rsidRDefault="008914EF" w:rsidP="00A82A31">
            <w:pPr>
              <w:pStyle w:val="ListParagraph"/>
              <w:numPr>
                <w:ilvl w:val="0"/>
                <w:numId w:val="1"/>
              </w:numPr>
              <w:jc w:val="both"/>
              <w:rPr>
                <w:rFonts w:ascii="Times New Roman" w:eastAsia="Calibri" w:hAnsi="Times New Roman" w:cs="Times New Roman"/>
                <w:b/>
                <w:bCs/>
                <w:sz w:val="20"/>
                <w:szCs w:val="20"/>
              </w:rPr>
            </w:pPr>
            <w:r w:rsidRPr="008914EF">
              <w:rPr>
                <w:rFonts w:ascii="Times New Roman" w:eastAsia="Calibri" w:hAnsi="Times New Roman" w:cs="Times New Roman"/>
                <w:sz w:val="20"/>
                <w:szCs w:val="20"/>
              </w:rPr>
              <w:t>First poster “clean shop, clean butcher, happy customer” advised butcher shops to adhere to the ‘5 cleans’ (clean hands, clean clothes and cloths, clean water, clean surfaces, clean tools) and ‘3 S’ (separate, sanitize, safe storage) proper food safety behaviours to protect themselves and their customers from harmful bacteria that can cause foodborne illness. This was posted where meat handlers can always see while at their work.</w:t>
            </w:r>
          </w:p>
          <w:p w14:paraId="33660F80" w14:textId="1019887B" w:rsidR="009F320B" w:rsidRPr="009F320B" w:rsidRDefault="008914EF" w:rsidP="00A82A31">
            <w:pPr>
              <w:pStyle w:val="ListParagraph"/>
              <w:numPr>
                <w:ilvl w:val="0"/>
                <w:numId w:val="1"/>
              </w:numPr>
              <w:jc w:val="both"/>
              <w:rPr>
                <w:rFonts w:ascii="Times New Roman" w:eastAsia="Calibri" w:hAnsi="Times New Roman" w:cs="Times New Roman"/>
                <w:sz w:val="20"/>
                <w:szCs w:val="20"/>
              </w:rPr>
            </w:pPr>
            <w:r w:rsidRPr="008914EF">
              <w:rPr>
                <w:rFonts w:ascii="Times New Roman" w:eastAsia="Calibri" w:hAnsi="Times New Roman" w:cs="Times New Roman"/>
                <w:sz w:val="20"/>
                <w:szCs w:val="20"/>
              </w:rPr>
              <w:t>Second poster “clean hands, happy customer” illustrated steps of proper handwashing. This was posted at handwashing basin of the shops to remind meat handlers the proper handwashing steps.</w:t>
            </w:r>
            <w:r w:rsidR="009F320B">
              <w:t xml:space="preserve"> </w:t>
            </w:r>
          </w:p>
          <w:p w14:paraId="04DB548A" w14:textId="20306F57" w:rsidR="009F320B" w:rsidRPr="009F320B" w:rsidRDefault="009F320B" w:rsidP="00A82A31">
            <w:pPr>
              <w:pStyle w:val="ListParagraph"/>
              <w:numPr>
                <w:ilvl w:val="0"/>
                <w:numId w:val="1"/>
              </w:numPr>
              <w:jc w:val="both"/>
              <w:rPr>
                <w:rFonts w:ascii="Times New Roman" w:eastAsia="Calibri" w:hAnsi="Times New Roman" w:cs="Times New Roman"/>
                <w:sz w:val="20"/>
                <w:szCs w:val="20"/>
              </w:rPr>
            </w:pPr>
            <w:r w:rsidRPr="009F320B">
              <w:rPr>
                <w:rFonts w:ascii="Times New Roman" w:eastAsia="Calibri" w:hAnsi="Times New Roman" w:cs="Times New Roman"/>
                <w:sz w:val="20"/>
                <w:szCs w:val="20"/>
              </w:rPr>
              <w:t>The third poster attempted to harness consumer demand for clean safe food. It gave tips to customers how to evaluate butcher shops hygiene status including: cleanliness of meat handler hands, work surfaces and tools, worksite clothes such as gowns and hairnets and inspection rating of shops. This was posted at places where customers can easily see while purchasing meat from shops.</w:t>
            </w:r>
          </w:p>
          <w:p w14:paraId="63225674" w14:textId="53FE355A" w:rsidR="008061F0" w:rsidRDefault="009F320B" w:rsidP="00A82A31">
            <w:pPr>
              <w:pStyle w:val="ListParagraph"/>
              <w:numPr>
                <w:ilvl w:val="0"/>
                <w:numId w:val="1"/>
              </w:numPr>
              <w:jc w:val="both"/>
              <w:rPr>
                <w:rFonts w:ascii="Times New Roman" w:eastAsia="Calibri" w:hAnsi="Times New Roman" w:cs="Times New Roman"/>
                <w:sz w:val="20"/>
                <w:szCs w:val="20"/>
              </w:rPr>
            </w:pPr>
            <w:r w:rsidRPr="008061F0">
              <w:rPr>
                <w:rFonts w:ascii="Times New Roman" w:eastAsia="Calibri" w:hAnsi="Times New Roman" w:cs="Times New Roman"/>
                <w:sz w:val="20"/>
                <w:szCs w:val="20"/>
              </w:rPr>
              <w:t xml:space="preserve">The fourth poster was a commitment device, a type of nudge </w:t>
            </w:r>
            <w:proofErr w:type="gramStart"/>
            <w:r w:rsidRPr="008061F0">
              <w:rPr>
                <w:rFonts w:ascii="Times New Roman" w:eastAsia="Calibri" w:hAnsi="Times New Roman" w:cs="Times New Roman"/>
                <w:sz w:val="20"/>
                <w:szCs w:val="20"/>
              </w:rPr>
              <w:t>and also</w:t>
            </w:r>
            <w:proofErr w:type="gramEnd"/>
            <w:r w:rsidRPr="008061F0">
              <w:rPr>
                <w:rFonts w:ascii="Times New Roman" w:eastAsia="Calibri" w:hAnsi="Times New Roman" w:cs="Times New Roman"/>
                <w:sz w:val="20"/>
                <w:szCs w:val="20"/>
              </w:rPr>
              <w:t xml:space="preserve"> a moral incentive, which showed food safety behaviours that meat handlers pledged to adhere to by signing on the poster.</w:t>
            </w:r>
          </w:p>
          <w:p w14:paraId="7528DE91" w14:textId="6F1972F1" w:rsidR="008061F0" w:rsidRDefault="008061F0" w:rsidP="00A82A31">
            <w:pPr>
              <w:pStyle w:val="ListParagraph"/>
              <w:numPr>
                <w:ilvl w:val="0"/>
                <w:numId w:val="1"/>
              </w:numPr>
              <w:jc w:val="both"/>
              <w:rPr>
                <w:rFonts w:ascii="Times New Roman" w:eastAsia="Calibri" w:hAnsi="Times New Roman" w:cs="Times New Roman"/>
                <w:sz w:val="20"/>
                <w:szCs w:val="20"/>
              </w:rPr>
            </w:pPr>
            <w:r>
              <w:t xml:space="preserve"> </w:t>
            </w:r>
            <w:r w:rsidRPr="008061F0">
              <w:rPr>
                <w:rFonts w:ascii="Times New Roman" w:eastAsia="Calibri" w:hAnsi="Times New Roman" w:cs="Times New Roman"/>
                <w:sz w:val="20"/>
                <w:szCs w:val="20"/>
              </w:rPr>
              <w:t>The fifth poster was an inspection scorecard which displayed shops inspection ratings. Posted hygiene ratings, based on inspection are used in many high-income countries to inform consumers and give incentives to business operators to improve hygiene. These scorecards communicate shop hygiene level to the customers quickly and intuitively.</w:t>
            </w:r>
          </w:p>
          <w:p w14:paraId="601D0704" w14:textId="3585979E" w:rsidR="00152EBF" w:rsidRPr="008061F0" w:rsidRDefault="00152EBF" w:rsidP="00A82A31">
            <w:pPr>
              <w:pStyle w:val="ListParagraph"/>
              <w:jc w:val="both"/>
              <w:rPr>
                <w:rFonts w:ascii="Times New Roman" w:eastAsia="Calibri" w:hAnsi="Times New Roman" w:cs="Times New Roman"/>
                <w:sz w:val="20"/>
                <w:szCs w:val="20"/>
              </w:rPr>
            </w:pPr>
            <w:r>
              <w:rPr>
                <w:rFonts w:ascii="Times New Roman" w:eastAsia="Calibri" w:hAnsi="Times New Roman" w:cs="Times New Roman"/>
                <w:sz w:val="20"/>
                <w:szCs w:val="20"/>
              </w:rPr>
              <w:t>These posters have been submitted along with the manuscript as figures.</w:t>
            </w:r>
          </w:p>
          <w:p w14:paraId="147195AF" w14:textId="77777777" w:rsidR="009F320B" w:rsidRPr="003B325A" w:rsidRDefault="009F320B" w:rsidP="008C6387">
            <w:pPr>
              <w:pStyle w:val="ListParagraph"/>
              <w:spacing w:line="360" w:lineRule="auto"/>
              <w:jc w:val="both"/>
              <w:rPr>
                <w:rFonts w:ascii="Times New Roman" w:eastAsia="Calibri" w:hAnsi="Times New Roman" w:cs="Times New Roman"/>
                <w:b/>
                <w:bCs/>
                <w:sz w:val="20"/>
                <w:szCs w:val="20"/>
              </w:rPr>
            </w:pPr>
          </w:p>
          <w:p w14:paraId="6B4821A6" w14:textId="1C3B894D" w:rsidR="00D67C23" w:rsidRPr="003B325A" w:rsidRDefault="00D67C23" w:rsidP="003B325A">
            <w:pPr>
              <w:spacing w:line="360" w:lineRule="auto"/>
              <w:jc w:val="both"/>
              <w:rPr>
                <w:rFonts w:ascii="Times New Roman" w:eastAsia="Calibri" w:hAnsi="Times New Roman" w:cs="Times New Roman"/>
                <w:b/>
                <w:bCs/>
                <w:sz w:val="20"/>
                <w:szCs w:val="20"/>
              </w:rPr>
            </w:pPr>
            <w:r w:rsidRPr="003B325A">
              <w:rPr>
                <w:rFonts w:ascii="Times New Roman" w:eastAsia="Calibri" w:hAnsi="Times New Roman" w:cs="Times New Roman"/>
                <w:b/>
                <w:bCs/>
                <w:sz w:val="20"/>
                <w:szCs w:val="20"/>
              </w:rPr>
              <w:t>Hygiene material provision:</w:t>
            </w:r>
          </w:p>
          <w:p w14:paraId="0663D655" w14:textId="77777777" w:rsidR="0066199F" w:rsidRDefault="0066199F" w:rsidP="00251716">
            <w:pPr>
              <w:spacing w:line="360" w:lineRule="auto"/>
              <w:jc w:val="both"/>
              <w:rPr>
                <w:rFonts w:ascii="Times New Roman" w:eastAsia="Calibri" w:hAnsi="Times New Roman" w:cs="Times New Roman"/>
                <w:sz w:val="20"/>
                <w:szCs w:val="20"/>
              </w:rPr>
            </w:pPr>
            <w:r w:rsidRPr="0066199F">
              <w:rPr>
                <w:rFonts w:ascii="Times New Roman" w:eastAsia="Calibri" w:hAnsi="Times New Roman" w:cs="Times New Roman"/>
                <w:sz w:val="20"/>
                <w:szCs w:val="20"/>
              </w:rPr>
              <w:t>During on-the-job training, food inspectors also provided both TNM and TNMI shops the same list of hygiene materials (hygiene kits). These materials aimed to facilitate the targeted food safety behaviours of meat handlers, and the lists were aligned with contents of training modules (especially the GHPs). For example, we provided hand sanitisers, chlorine tablets, laundry soaps, etc (Supplementary Table S4).  Some materials, such as chlorine tablets, dust bins, and cleaning buckets, were supplied in sufficient quantities to last throughout the intervention. However, the primary focus of the intervention was to motivate butcher shops to adopt, sustain, and self-supply hygiene materials beyond the intervention period.</w:t>
            </w:r>
          </w:p>
          <w:p w14:paraId="284BCC1F" w14:textId="07DEB8CA" w:rsidR="00251716" w:rsidRPr="00F57C8A" w:rsidRDefault="00CB07BE" w:rsidP="00251716">
            <w:pPr>
              <w:spacing w:line="360" w:lineRule="auto"/>
              <w:jc w:val="both"/>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 xml:space="preserve">Inspection with ‘scores on </w:t>
            </w:r>
            <w:proofErr w:type="gramStart"/>
            <w:r w:rsidRPr="00F57C8A">
              <w:rPr>
                <w:rFonts w:ascii="Times New Roman" w:eastAsia="Calibri" w:hAnsi="Times New Roman" w:cs="Times New Roman"/>
                <w:b/>
                <w:bCs/>
                <w:sz w:val="20"/>
                <w:szCs w:val="20"/>
              </w:rPr>
              <w:t>doors’</w:t>
            </w:r>
            <w:proofErr w:type="gramEnd"/>
            <w:r w:rsidRPr="00F57C8A">
              <w:rPr>
                <w:rFonts w:ascii="Times New Roman" w:eastAsia="Calibri" w:hAnsi="Times New Roman" w:cs="Times New Roman"/>
                <w:b/>
                <w:bCs/>
                <w:sz w:val="20"/>
                <w:szCs w:val="20"/>
              </w:rPr>
              <w:t>:</w:t>
            </w:r>
          </w:p>
          <w:p w14:paraId="19B244FF"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lastRenderedPageBreak/>
              <w:t>We used butcher shops inspection with disclosure of their inspection ratings (inspection with ‘scores on doors’) as one of the elements of our intervention package. The inspection was done using inspection checklist which was prepared based on AA-FDA butcher shops inspection checklist and existing literature on the general principles of food hygiene requirements in food businesses 2,54,55. Items in inspection checklist also aligned with contents of training modules. The inspection checklist covered hands hygiene, wearing appropriate and clean protective clothing, worker health, cleaning and disinfection of worksite surfaces and tools, use of safe water</w:t>
            </w:r>
            <w:proofErr w:type="gramStart"/>
            <w:r w:rsidRPr="002957AE">
              <w:rPr>
                <w:rFonts w:ascii="Times New Roman" w:eastAsia="Calibri" w:hAnsi="Times New Roman" w:cs="Times New Roman"/>
                <w:sz w:val="20"/>
                <w:szCs w:val="20"/>
              </w:rPr>
              <w:t>, ,</w:t>
            </w:r>
            <w:proofErr w:type="gramEnd"/>
            <w:r w:rsidRPr="002957AE">
              <w:rPr>
                <w:rFonts w:ascii="Times New Roman" w:eastAsia="Calibri" w:hAnsi="Times New Roman" w:cs="Times New Roman"/>
                <w:sz w:val="20"/>
                <w:szCs w:val="20"/>
              </w:rPr>
              <w:t xml:space="preserve"> safe meat storage, pest control, waste management and ensuring proper internal structures and facilities of butcher shops. This inspection checklist has 28 items (Supplementary inspection checklist S5), with each item having detailed weighted conditions to rate hygiene compliance of the shops. Food inspectors, from Addis Ababa Food and Drug Authority, who trained on the inspection checklist inspected the butcher shops.</w:t>
            </w:r>
          </w:p>
          <w:p w14:paraId="670DACCC"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t xml:space="preserve"> During on-the-job training, the TNMI butcher shops received self-inspection checklists to help them prepare, though the timing of the inspection was not disclosed. Two rounds of inspections were carried out: one week and two months after on-the-job training with each inspection lasting approximately one hour per shop. The checklist was digitized using the SurveyCTO App, which automatically calculated scores based on inspectors’ selections of item conditions. Ratings were assigned as follows:</w:t>
            </w:r>
          </w:p>
          <w:p w14:paraId="12AAF6DD"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t xml:space="preserve">No star (score &lt;50): warning of closure. </w:t>
            </w:r>
          </w:p>
          <w:p w14:paraId="43CD2D37"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t>One red star (50≤ score &lt;65): urgent hygiene improvement is required.</w:t>
            </w:r>
          </w:p>
          <w:p w14:paraId="314C61E9"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t>Two yellow stars (65≤ score &lt;75): hygiene standards are good.</w:t>
            </w:r>
          </w:p>
          <w:p w14:paraId="5A54F3B2" w14:textId="77777777" w:rsidR="002957AE" w:rsidRPr="002957AE" w:rsidRDefault="002957AE" w:rsidP="002957AE">
            <w:pPr>
              <w:spacing w:line="360" w:lineRule="auto"/>
              <w:jc w:val="both"/>
              <w:rPr>
                <w:rFonts w:ascii="Times New Roman" w:eastAsia="Calibri" w:hAnsi="Times New Roman" w:cs="Times New Roman"/>
                <w:sz w:val="20"/>
                <w:szCs w:val="20"/>
              </w:rPr>
            </w:pPr>
            <w:r w:rsidRPr="002957AE">
              <w:rPr>
                <w:rFonts w:ascii="Times New Roman" w:eastAsia="Calibri" w:hAnsi="Times New Roman" w:cs="Times New Roman"/>
                <w:sz w:val="20"/>
                <w:szCs w:val="20"/>
              </w:rPr>
              <w:t xml:space="preserve">Three green stars (≥75): hygiene standards are very good. </w:t>
            </w:r>
          </w:p>
          <w:p w14:paraId="6C13381F" w14:textId="6A28ECC4" w:rsidR="00F31C62" w:rsidRPr="00F57C8A" w:rsidRDefault="000772CE" w:rsidP="00EF1A8A">
            <w:pPr>
              <w:spacing w:line="36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Innovative technologies</w:t>
            </w:r>
            <w:r w:rsidR="00F31C62" w:rsidRPr="00F57C8A">
              <w:rPr>
                <w:rFonts w:ascii="Times New Roman" w:eastAsia="Calibri" w:hAnsi="Times New Roman" w:cs="Times New Roman"/>
                <w:b/>
                <w:bCs/>
                <w:sz w:val="20"/>
                <w:szCs w:val="20"/>
              </w:rPr>
              <w:t>:</w:t>
            </w:r>
          </w:p>
          <w:p w14:paraId="383DAF12" w14:textId="544594AB" w:rsidR="00D43364" w:rsidRPr="00F57C8A" w:rsidRDefault="00C95154" w:rsidP="00251716">
            <w:pPr>
              <w:spacing w:line="360" w:lineRule="auto"/>
              <w:jc w:val="both"/>
              <w:rPr>
                <w:rFonts w:ascii="Times New Roman" w:eastAsia="Calibri" w:hAnsi="Times New Roman" w:cs="Times New Roman"/>
                <w:b/>
                <w:bCs/>
                <w:sz w:val="20"/>
                <w:szCs w:val="20"/>
              </w:rPr>
            </w:pPr>
            <w:r w:rsidRPr="00C95154">
              <w:rPr>
                <w:rFonts w:ascii="Times New Roman" w:eastAsia="Aptos" w:hAnsi="Times New Roman" w:cs="Times New Roman"/>
                <w:kern w:val="2"/>
                <w:sz w:val="20"/>
                <w:szCs w:val="20"/>
                <w:lang w:val="en-GB"/>
                <w14:ligatures w14:val="standardContextual"/>
              </w:rPr>
              <w:t>We also used innovative technologies to enhance our intervention effectiveness. A key intervention was slightly acidic electrolysed water (hypochlorous acid) as meat decontaminant and disinfectant of work surfaces. Other innovations included nudges: for example, color-coded cleaning buckets with red for initial cleaning, pink for intermediate, and green for final cleaning to promote step-by-step cleaning based on the dirtiness of the work surfaces, which followed the widely recognised “traffic lights” sequence where red is danger and green is safe. We also trained meat handlers how to conduct deep cleaning. This is a periodic thorough cleaning process that goes beyond routine or surface-level cleaning as it involved removing dirt, grease, and residues from hard-to-reach areas in routine cleaning such as from ceilings, grooves, etc. Deep cleaning was not a concept or practice previously used in Ethiopia.</w:t>
            </w:r>
          </w:p>
        </w:tc>
        <w:tc>
          <w:tcPr>
            <w:tcW w:w="1843" w:type="dxa"/>
            <w:tcBorders>
              <w:left w:val="nil"/>
              <w:right w:val="single" w:sz="4" w:space="0" w:color="auto"/>
            </w:tcBorders>
          </w:tcPr>
          <w:p w14:paraId="383DAF13" w14:textId="635E3664" w:rsidR="00200C2E" w:rsidRPr="0012730A" w:rsidRDefault="009B6C76" w:rsidP="00200C2E">
            <w:pPr>
              <w:spacing w:line="360" w:lineRule="auto"/>
              <w:rPr>
                <w:rFonts w:ascii="Times New Roman" w:eastAsia="Calibri" w:hAnsi="Times New Roman" w:cs="Times New Roman"/>
                <w:b/>
                <w:bCs/>
                <w:sz w:val="20"/>
                <w:szCs w:val="20"/>
                <w:u w:val="single"/>
              </w:rPr>
            </w:pPr>
            <w:r w:rsidRPr="0012730A">
              <w:rPr>
                <w:rFonts w:ascii="Times New Roman" w:eastAsia="Calibri" w:hAnsi="Times New Roman" w:cs="Times New Roman"/>
                <w:b/>
                <w:bCs/>
                <w:sz w:val="20"/>
                <w:szCs w:val="20"/>
                <w:u w:val="single"/>
              </w:rPr>
              <w:lastRenderedPageBreak/>
              <w:t>1</w:t>
            </w:r>
            <w:r w:rsidR="00FF11A3" w:rsidRPr="0012730A">
              <w:rPr>
                <w:rFonts w:ascii="Times New Roman" w:eastAsia="Calibri" w:hAnsi="Times New Roman" w:cs="Times New Roman"/>
                <w:b/>
                <w:bCs/>
                <w:sz w:val="20"/>
                <w:szCs w:val="20"/>
                <w:u w:val="single"/>
              </w:rPr>
              <w:t>6-</w:t>
            </w:r>
            <w:r w:rsidR="00C95154" w:rsidRPr="0012730A">
              <w:rPr>
                <w:rFonts w:ascii="Times New Roman" w:eastAsia="Calibri" w:hAnsi="Times New Roman" w:cs="Times New Roman"/>
                <w:b/>
                <w:bCs/>
                <w:sz w:val="20"/>
                <w:szCs w:val="20"/>
                <w:u w:val="single"/>
              </w:rPr>
              <w:t>22</w:t>
            </w:r>
          </w:p>
        </w:tc>
        <w:tc>
          <w:tcPr>
            <w:tcW w:w="1843" w:type="dxa"/>
            <w:tcBorders>
              <w:left w:val="single" w:sz="4" w:space="0" w:color="auto"/>
            </w:tcBorders>
          </w:tcPr>
          <w:p w14:paraId="383DAF14" w14:textId="77777777" w:rsidR="00200C2E" w:rsidRPr="00F57C8A" w:rsidRDefault="000D28AE"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1A" w14:textId="77777777" w:rsidTr="000D28AE">
        <w:tc>
          <w:tcPr>
            <w:tcW w:w="959" w:type="dxa"/>
            <w:tcBorders>
              <w:right w:val="nil"/>
            </w:tcBorders>
          </w:tcPr>
          <w:p w14:paraId="383DAF16"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right w:val="nil"/>
            </w:tcBorders>
          </w:tcPr>
          <w:p w14:paraId="383DAF17" w14:textId="4BDAB8FC" w:rsidR="00200C2E" w:rsidRPr="00F57C8A" w:rsidRDefault="002814E8" w:rsidP="00200C2E">
            <w:pPr>
              <w:spacing w:line="360" w:lineRule="auto"/>
              <w:rPr>
                <w:rFonts w:ascii="Times New Roman" w:eastAsia="Calibri" w:hAnsi="Times New Roman" w:cs="Times New Roman"/>
                <w:b/>
                <w:sz w:val="20"/>
                <w:szCs w:val="20"/>
              </w:rPr>
            </w:pPr>
            <w:r>
              <w:rPr>
                <w:rFonts w:ascii="Times New Roman" w:eastAsia="Calibri" w:hAnsi="Times New Roman" w:cs="Times New Roman"/>
                <w:b/>
                <w:bCs/>
                <w:iCs/>
                <w:sz w:val="20"/>
                <w:szCs w:val="20"/>
              </w:rPr>
              <w:t xml:space="preserve">5. </w:t>
            </w:r>
            <w:r w:rsidR="00200C2E" w:rsidRPr="00F57C8A">
              <w:rPr>
                <w:rFonts w:ascii="Times New Roman" w:eastAsia="Calibri" w:hAnsi="Times New Roman" w:cs="Times New Roman"/>
                <w:b/>
                <w:bCs/>
                <w:iCs/>
                <w:sz w:val="20"/>
                <w:szCs w:val="20"/>
              </w:rPr>
              <w:t>WHO PROVIDED</w:t>
            </w:r>
          </w:p>
        </w:tc>
        <w:tc>
          <w:tcPr>
            <w:tcW w:w="1843" w:type="dxa"/>
            <w:tcBorders>
              <w:left w:val="nil"/>
              <w:right w:val="single" w:sz="4" w:space="0" w:color="auto"/>
            </w:tcBorders>
          </w:tcPr>
          <w:p w14:paraId="383DAF18"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left w:val="single" w:sz="4" w:space="0" w:color="auto"/>
            </w:tcBorders>
          </w:tcPr>
          <w:p w14:paraId="383DAF19"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1F" w14:textId="77777777" w:rsidTr="000D28AE">
        <w:tc>
          <w:tcPr>
            <w:tcW w:w="959" w:type="dxa"/>
            <w:tcBorders>
              <w:right w:val="nil"/>
            </w:tcBorders>
          </w:tcPr>
          <w:p w14:paraId="383DAF1B" w14:textId="53C061B5" w:rsidR="00200C2E" w:rsidRPr="00F57C8A" w:rsidRDefault="00560588" w:rsidP="00200C2E">
            <w:pPr>
              <w:spacing w:line="360" w:lineRule="auto"/>
              <w:rPr>
                <w:rFonts w:ascii="Times New Roman" w:eastAsia="Calibri" w:hAnsi="Times New Roman" w:cs="Times New Roman"/>
                <w:b/>
                <w:bCs/>
                <w:sz w:val="20"/>
                <w:szCs w:val="20"/>
              </w:rPr>
            </w:pPr>
            <w:r w:rsidRPr="00F57C8A">
              <w:rPr>
                <w:rFonts w:ascii="Times New Roman" w:hAnsi="Times New Roman" w:cs="Times New Roman"/>
                <w:sz w:val="20"/>
                <w:szCs w:val="20"/>
              </w:rPr>
              <w:lastRenderedPageBreak/>
              <w:br w:type="page"/>
            </w:r>
          </w:p>
        </w:tc>
        <w:tc>
          <w:tcPr>
            <w:tcW w:w="10064" w:type="dxa"/>
            <w:tcBorders>
              <w:left w:val="nil"/>
              <w:right w:val="nil"/>
            </w:tcBorders>
          </w:tcPr>
          <w:p w14:paraId="225BECCF" w14:textId="77777777" w:rsidR="00200C2E" w:rsidRPr="00F57C8A" w:rsidRDefault="00200C2E" w:rsidP="00200C2E">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For each category of intervention provider (e.g. psychologist, nursing assistant), describe their expertise, background and any specific training given.</w:t>
            </w:r>
          </w:p>
          <w:p w14:paraId="383DAF1C" w14:textId="58F02564" w:rsidR="00D87E5C" w:rsidRPr="00F57C8A" w:rsidRDefault="00EC03D8" w:rsidP="00877D67">
            <w:pPr>
              <w:spacing w:line="360" w:lineRule="auto"/>
              <w:jc w:val="both"/>
              <w:rPr>
                <w:rFonts w:ascii="Times New Roman" w:eastAsia="Calibri" w:hAnsi="Times New Roman" w:cs="Times New Roman"/>
                <w:sz w:val="20"/>
                <w:szCs w:val="20"/>
              </w:rPr>
            </w:pPr>
            <w:r w:rsidRPr="00F57C8A">
              <w:rPr>
                <w:rFonts w:ascii="Times New Roman" w:eastAsia="Calibri" w:hAnsi="Times New Roman" w:cs="Times New Roman"/>
                <w:bCs/>
                <w:iCs/>
                <w:sz w:val="20"/>
                <w:szCs w:val="20"/>
              </w:rPr>
              <w:t>Offsite training</w:t>
            </w:r>
            <w:r w:rsidR="001868AE" w:rsidRPr="00F57C8A">
              <w:rPr>
                <w:rFonts w:ascii="Times New Roman" w:eastAsia="Calibri" w:hAnsi="Times New Roman" w:cs="Times New Roman"/>
                <w:bCs/>
                <w:iCs/>
                <w:sz w:val="20"/>
                <w:szCs w:val="20"/>
              </w:rPr>
              <w:t xml:space="preserve"> (training at </w:t>
            </w:r>
            <w:r w:rsidR="00F465A8" w:rsidRPr="00F57C8A">
              <w:rPr>
                <w:rFonts w:ascii="Times New Roman" w:eastAsia="Calibri" w:hAnsi="Times New Roman" w:cs="Times New Roman"/>
                <w:bCs/>
                <w:iCs/>
                <w:sz w:val="20"/>
                <w:szCs w:val="20"/>
              </w:rPr>
              <w:t>hotels) was</w:t>
            </w:r>
            <w:r w:rsidRPr="00F57C8A">
              <w:rPr>
                <w:rFonts w:ascii="Times New Roman" w:eastAsia="Calibri" w:hAnsi="Times New Roman" w:cs="Times New Roman"/>
                <w:bCs/>
                <w:iCs/>
                <w:sz w:val="20"/>
                <w:szCs w:val="20"/>
              </w:rPr>
              <w:t xml:space="preserve"> provided by research </w:t>
            </w:r>
            <w:r w:rsidR="006B4136">
              <w:rPr>
                <w:rFonts w:ascii="Times New Roman" w:eastAsia="Calibri" w:hAnsi="Times New Roman" w:cs="Times New Roman"/>
                <w:bCs/>
                <w:iCs/>
                <w:sz w:val="20"/>
                <w:szCs w:val="20"/>
              </w:rPr>
              <w:t xml:space="preserve">team </w:t>
            </w:r>
            <w:r w:rsidR="006406E9" w:rsidRPr="00F57C8A">
              <w:rPr>
                <w:rFonts w:ascii="Times New Roman" w:eastAsia="Calibri" w:hAnsi="Times New Roman" w:cs="Times New Roman"/>
                <w:bCs/>
                <w:iCs/>
                <w:sz w:val="20"/>
                <w:szCs w:val="20"/>
              </w:rPr>
              <w:t xml:space="preserve">who designed the training modules. Onsite </w:t>
            </w:r>
            <w:r w:rsidR="001868AE" w:rsidRPr="00F57C8A">
              <w:rPr>
                <w:rFonts w:ascii="Times New Roman" w:eastAsia="Calibri" w:hAnsi="Times New Roman" w:cs="Times New Roman"/>
                <w:bCs/>
                <w:iCs/>
                <w:sz w:val="20"/>
                <w:szCs w:val="20"/>
              </w:rPr>
              <w:t>(</w:t>
            </w:r>
            <w:r w:rsidR="001868AE" w:rsidRPr="00F57C8A">
              <w:rPr>
                <w:rFonts w:ascii="Times New Roman" w:eastAsia="Calibri" w:hAnsi="Times New Roman" w:cs="Times New Roman"/>
                <w:sz w:val="20"/>
                <w:szCs w:val="20"/>
              </w:rPr>
              <w:t>on-the-job training</w:t>
            </w:r>
            <w:r w:rsidR="001868AE" w:rsidRPr="00F57C8A">
              <w:rPr>
                <w:rFonts w:ascii="Times New Roman" w:eastAsia="Calibri" w:hAnsi="Times New Roman" w:cs="Times New Roman"/>
                <w:bCs/>
                <w:iCs/>
                <w:sz w:val="20"/>
                <w:szCs w:val="20"/>
              </w:rPr>
              <w:t xml:space="preserve">) </w:t>
            </w:r>
            <w:r w:rsidR="006406E9" w:rsidRPr="00F57C8A">
              <w:rPr>
                <w:rFonts w:ascii="Times New Roman" w:eastAsia="Calibri" w:hAnsi="Times New Roman" w:cs="Times New Roman"/>
                <w:bCs/>
                <w:iCs/>
                <w:sz w:val="20"/>
                <w:szCs w:val="20"/>
              </w:rPr>
              <w:t xml:space="preserve">training was delivered by </w:t>
            </w:r>
            <w:r w:rsidR="005D5390" w:rsidRPr="00F57C8A">
              <w:rPr>
                <w:rFonts w:ascii="Times New Roman" w:eastAsia="Calibri" w:hAnsi="Times New Roman" w:cs="Times New Roman"/>
                <w:bCs/>
                <w:iCs/>
                <w:sz w:val="20"/>
                <w:szCs w:val="20"/>
              </w:rPr>
              <w:t xml:space="preserve">Addis Ababa Food and Drug authority </w:t>
            </w:r>
            <w:r w:rsidR="006406E9" w:rsidRPr="00F57C8A">
              <w:rPr>
                <w:rFonts w:ascii="Times New Roman" w:eastAsia="Calibri" w:hAnsi="Times New Roman" w:cs="Times New Roman"/>
                <w:bCs/>
                <w:iCs/>
                <w:sz w:val="20"/>
                <w:szCs w:val="20"/>
              </w:rPr>
              <w:t>food inspectors who trained on the training modules</w:t>
            </w:r>
            <w:r w:rsidR="005D5390" w:rsidRPr="00F57C8A">
              <w:rPr>
                <w:rFonts w:ascii="Times New Roman" w:eastAsia="Calibri" w:hAnsi="Times New Roman" w:cs="Times New Roman"/>
                <w:bCs/>
                <w:iCs/>
                <w:sz w:val="20"/>
                <w:szCs w:val="20"/>
              </w:rPr>
              <w:t xml:space="preserve">. </w:t>
            </w:r>
            <w:r w:rsidR="002A626A" w:rsidRPr="00F57C8A">
              <w:rPr>
                <w:rFonts w:ascii="Times New Roman" w:eastAsia="Calibri" w:hAnsi="Times New Roman" w:cs="Times New Roman"/>
                <w:bCs/>
                <w:iCs/>
                <w:sz w:val="20"/>
                <w:szCs w:val="20"/>
              </w:rPr>
              <w:t xml:space="preserve">These inspectors also distributed the hygiene materials </w:t>
            </w:r>
            <w:r w:rsidR="008B32DE" w:rsidRPr="00F57C8A">
              <w:rPr>
                <w:rFonts w:ascii="Times New Roman" w:eastAsia="Calibri" w:hAnsi="Times New Roman" w:cs="Times New Roman"/>
                <w:bCs/>
                <w:iCs/>
                <w:sz w:val="20"/>
                <w:szCs w:val="20"/>
              </w:rPr>
              <w:t xml:space="preserve">and posted the nudges (posters) at the shops </w:t>
            </w:r>
            <w:r w:rsidR="002A626A" w:rsidRPr="00F57C8A">
              <w:rPr>
                <w:rFonts w:ascii="Times New Roman" w:eastAsia="Calibri" w:hAnsi="Times New Roman" w:cs="Times New Roman"/>
                <w:bCs/>
                <w:iCs/>
                <w:sz w:val="20"/>
                <w:szCs w:val="20"/>
              </w:rPr>
              <w:t xml:space="preserve">during the onsite training. They also inspected </w:t>
            </w:r>
            <w:r w:rsidR="00877D67" w:rsidRPr="00F57C8A">
              <w:rPr>
                <w:rFonts w:ascii="Times New Roman" w:eastAsia="Calibri" w:hAnsi="Times New Roman" w:cs="Times New Roman"/>
                <w:bCs/>
                <w:iCs/>
                <w:sz w:val="20"/>
                <w:szCs w:val="20"/>
              </w:rPr>
              <w:t>shops in the TNMI groups.</w:t>
            </w:r>
          </w:p>
        </w:tc>
        <w:tc>
          <w:tcPr>
            <w:tcW w:w="1843" w:type="dxa"/>
            <w:tcBorders>
              <w:left w:val="nil"/>
              <w:right w:val="single" w:sz="4" w:space="0" w:color="auto"/>
            </w:tcBorders>
          </w:tcPr>
          <w:p w14:paraId="383DAF1D" w14:textId="4422089C" w:rsidR="00200C2E" w:rsidRPr="0054766D" w:rsidRDefault="00FA39E8" w:rsidP="00200C2E">
            <w:pPr>
              <w:spacing w:line="360" w:lineRule="auto"/>
              <w:rPr>
                <w:rFonts w:ascii="Times New Roman" w:eastAsia="Calibri" w:hAnsi="Times New Roman" w:cs="Times New Roman"/>
                <w:b/>
                <w:bCs/>
                <w:sz w:val="20"/>
                <w:szCs w:val="20"/>
                <w:u w:val="single"/>
              </w:rPr>
            </w:pPr>
            <w:r w:rsidRPr="0054766D">
              <w:rPr>
                <w:rFonts w:ascii="Times New Roman" w:eastAsia="Calibri" w:hAnsi="Times New Roman" w:cs="Times New Roman"/>
                <w:b/>
                <w:bCs/>
                <w:sz w:val="20"/>
                <w:szCs w:val="20"/>
                <w:u w:val="single"/>
              </w:rPr>
              <w:t>16-17, 21</w:t>
            </w:r>
          </w:p>
        </w:tc>
        <w:tc>
          <w:tcPr>
            <w:tcW w:w="1843" w:type="dxa"/>
            <w:tcBorders>
              <w:left w:val="single" w:sz="4" w:space="0" w:color="auto"/>
            </w:tcBorders>
          </w:tcPr>
          <w:p w14:paraId="383DAF1E" w14:textId="77777777" w:rsidR="00200C2E" w:rsidRPr="00F57C8A" w:rsidRDefault="000D28AE"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24" w14:textId="77777777" w:rsidTr="000D28AE">
        <w:tc>
          <w:tcPr>
            <w:tcW w:w="959" w:type="dxa"/>
            <w:tcBorders>
              <w:right w:val="nil"/>
            </w:tcBorders>
          </w:tcPr>
          <w:p w14:paraId="383DAF20"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right w:val="nil"/>
            </w:tcBorders>
          </w:tcPr>
          <w:p w14:paraId="383DAF21"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iCs/>
                <w:sz w:val="20"/>
                <w:szCs w:val="20"/>
              </w:rPr>
              <w:t>HOW</w:t>
            </w:r>
          </w:p>
        </w:tc>
        <w:tc>
          <w:tcPr>
            <w:tcW w:w="1843" w:type="dxa"/>
            <w:tcBorders>
              <w:left w:val="nil"/>
              <w:right w:val="single" w:sz="4" w:space="0" w:color="auto"/>
            </w:tcBorders>
          </w:tcPr>
          <w:p w14:paraId="383DAF22"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left w:val="single" w:sz="4" w:space="0" w:color="auto"/>
            </w:tcBorders>
          </w:tcPr>
          <w:p w14:paraId="383DAF23" w14:textId="77777777" w:rsidR="00200C2E" w:rsidRPr="00F57C8A" w:rsidRDefault="00200C2E" w:rsidP="00200C2E">
            <w:pPr>
              <w:spacing w:line="360" w:lineRule="auto"/>
              <w:rPr>
                <w:rFonts w:ascii="Times New Roman" w:eastAsia="Calibri" w:hAnsi="Times New Roman" w:cs="Times New Roman"/>
                <w:sz w:val="20"/>
                <w:szCs w:val="20"/>
              </w:rPr>
            </w:pPr>
          </w:p>
        </w:tc>
      </w:tr>
    </w:tbl>
    <w:p w14:paraId="1194CCB9" w14:textId="77777777" w:rsidR="00560588" w:rsidRPr="00F57C8A" w:rsidRDefault="00560588">
      <w:pPr>
        <w:rPr>
          <w:rFonts w:ascii="Times New Roman" w:hAnsi="Times New Roman" w:cs="Times New Roman"/>
          <w:sz w:val="20"/>
          <w:szCs w:val="20"/>
        </w:rPr>
      </w:pPr>
      <w:r w:rsidRPr="00F57C8A">
        <w:rPr>
          <w:rFonts w:ascii="Times New Roman" w:hAnsi="Times New Roman" w:cs="Times New Roman"/>
          <w:sz w:val="20"/>
          <w:szCs w:val="20"/>
        </w:rPr>
        <w:br w:type="page"/>
      </w:r>
    </w:p>
    <w:tbl>
      <w:tblPr>
        <w:tblStyle w:val="TableGrid"/>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F57C8A" w14:paraId="383DAF29" w14:textId="77777777" w:rsidTr="000D28AE">
        <w:tc>
          <w:tcPr>
            <w:tcW w:w="959" w:type="dxa"/>
            <w:tcBorders>
              <w:right w:val="nil"/>
            </w:tcBorders>
          </w:tcPr>
          <w:p w14:paraId="383DAF25" w14:textId="221B6F98"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lastRenderedPageBreak/>
              <w:t>6.</w:t>
            </w:r>
          </w:p>
        </w:tc>
        <w:tc>
          <w:tcPr>
            <w:tcW w:w="10064" w:type="dxa"/>
            <w:tcBorders>
              <w:left w:val="nil"/>
              <w:right w:val="nil"/>
            </w:tcBorders>
          </w:tcPr>
          <w:p w14:paraId="374564C7" w14:textId="71AA8428" w:rsidR="001029DF" w:rsidRPr="00F57C8A" w:rsidRDefault="00200C2E" w:rsidP="001029DF">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Describe the modes of delivery (e.g. face-to-face or by some other mechanism, such as internet or telephone) of the intervention and whether it was provided individually or in a group.</w:t>
            </w:r>
            <w:r w:rsidR="00665E25" w:rsidRPr="00F57C8A">
              <w:rPr>
                <w:rFonts w:ascii="Times New Roman" w:eastAsia="Calibri" w:hAnsi="Times New Roman" w:cs="Times New Roman"/>
                <w:bCs/>
                <w:iCs/>
                <w:sz w:val="20"/>
                <w:szCs w:val="20"/>
              </w:rPr>
              <w:t>t</w:t>
            </w:r>
          </w:p>
          <w:p w14:paraId="60FC2956" w14:textId="4BD9CA15" w:rsidR="00665E25" w:rsidRPr="00F57C8A" w:rsidRDefault="00665E25" w:rsidP="00F342BB">
            <w:pPr>
              <w:spacing w:line="360" w:lineRule="auto"/>
              <w:jc w:val="both"/>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 xml:space="preserve">Offsite training was provided in a hotel room in a group of </w:t>
            </w:r>
            <w:r w:rsidR="00F465A8" w:rsidRPr="00F57C8A">
              <w:rPr>
                <w:rFonts w:ascii="Times New Roman" w:eastAsia="Calibri" w:hAnsi="Times New Roman" w:cs="Times New Roman"/>
                <w:bCs/>
                <w:iCs/>
                <w:sz w:val="20"/>
                <w:szCs w:val="20"/>
              </w:rPr>
              <w:t>about 25 participants</w:t>
            </w:r>
            <w:r w:rsidR="00892C7B" w:rsidRPr="00F57C8A">
              <w:rPr>
                <w:rFonts w:ascii="Times New Roman" w:eastAsia="Calibri" w:hAnsi="Times New Roman" w:cs="Times New Roman"/>
                <w:bCs/>
                <w:iCs/>
                <w:sz w:val="20"/>
                <w:szCs w:val="20"/>
              </w:rPr>
              <w:t xml:space="preserve"> using PowerPoint presentation, discussion, live demonstration, </w:t>
            </w:r>
            <w:r w:rsidR="003148C9" w:rsidRPr="00F57C8A">
              <w:rPr>
                <w:rFonts w:ascii="Times New Roman" w:eastAsia="Calibri" w:hAnsi="Times New Roman" w:cs="Times New Roman"/>
                <w:bCs/>
                <w:iCs/>
                <w:sz w:val="20"/>
                <w:szCs w:val="20"/>
              </w:rPr>
              <w:t xml:space="preserve">and hands-on demonstration. On-the-job training was </w:t>
            </w:r>
            <w:r w:rsidR="001A7CCF">
              <w:rPr>
                <w:rFonts w:ascii="Times New Roman" w:eastAsia="Calibri" w:hAnsi="Times New Roman" w:cs="Times New Roman"/>
                <w:bCs/>
                <w:iCs/>
                <w:sz w:val="20"/>
                <w:szCs w:val="20"/>
              </w:rPr>
              <w:t>provided</w:t>
            </w:r>
            <w:r w:rsidR="003148C9" w:rsidRPr="00F57C8A">
              <w:rPr>
                <w:rFonts w:ascii="Times New Roman" w:eastAsia="Calibri" w:hAnsi="Times New Roman" w:cs="Times New Roman"/>
                <w:bCs/>
                <w:iCs/>
                <w:sz w:val="20"/>
                <w:szCs w:val="20"/>
              </w:rPr>
              <w:t xml:space="preserve"> at the shops </w:t>
            </w:r>
            <w:r w:rsidR="00874CD0">
              <w:rPr>
                <w:rFonts w:ascii="Times New Roman" w:eastAsia="Calibri" w:hAnsi="Times New Roman" w:cs="Times New Roman"/>
                <w:bCs/>
                <w:iCs/>
                <w:sz w:val="20"/>
                <w:szCs w:val="20"/>
              </w:rPr>
              <w:t xml:space="preserve">involving </w:t>
            </w:r>
            <w:r w:rsidR="00E217A6" w:rsidRPr="00F57C8A">
              <w:rPr>
                <w:rFonts w:ascii="Times New Roman" w:eastAsia="Calibri" w:hAnsi="Times New Roman" w:cs="Times New Roman"/>
                <w:bCs/>
                <w:iCs/>
                <w:sz w:val="20"/>
                <w:szCs w:val="20"/>
              </w:rPr>
              <w:t xml:space="preserve">all staff working at the given shop. Trainers used a booklet (summary of the training </w:t>
            </w:r>
            <w:r w:rsidR="00F342BB" w:rsidRPr="00F57C8A">
              <w:rPr>
                <w:rFonts w:ascii="Times New Roman" w:eastAsia="Calibri" w:hAnsi="Times New Roman" w:cs="Times New Roman"/>
                <w:bCs/>
                <w:iCs/>
                <w:sz w:val="20"/>
                <w:szCs w:val="20"/>
              </w:rPr>
              <w:t>modules) to</w:t>
            </w:r>
            <w:r w:rsidR="00E217A6" w:rsidRPr="00F57C8A">
              <w:rPr>
                <w:rFonts w:ascii="Times New Roman" w:eastAsia="Calibri" w:hAnsi="Times New Roman" w:cs="Times New Roman"/>
                <w:bCs/>
                <w:iCs/>
                <w:sz w:val="20"/>
                <w:szCs w:val="20"/>
              </w:rPr>
              <w:t xml:space="preserve"> train meat handlers at shops. </w:t>
            </w:r>
            <w:r w:rsidR="00E90CE0" w:rsidRPr="00F57C8A">
              <w:rPr>
                <w:rFonts w:ascii="Times New Roman" w:eastAsia="Calibri" w:hAnsi="Times New Roman" w:cs="Times New Roman"/>
                <w:bCs/>
                <w:iCs/>
                <w:sz w:val="20"/>
                <w:szCs w:val="20"/>
              </w:rPr>
              <w:t xml:space="preserve">They also explained the use of each of the hygiene materials during this training. Posters were also </w:t>
            </w:r>
            <w:r w:rsidR="00F342BB" w:rsidRPr="00F57C8A">
              <w:rPr>
                <w:rFonts w:ascii="Times New Roman" w:eastAsia="Calibri" w:hAnsi="Times New Roman" w:cs="Times New Roman"/>
                <w:bCs/>
                <w:iCs/>
                <w:sz w:val="20"/>
                <w:szCs w:val="20"/>
              </w:rPr>
              <w:t>explained and posted at the shops.</w:t>
            </w:r>
          </w:p>
          <w:p w14:paraId="383DAF26" w14:textId="77777777" w:rsidR="00877D67" w:rsidRPr="00F57C8A" w:rsidRDefault="00877D67" w:rsidP="001029DF">
            <w:pPr>
              <w:spacing w:line="360" w:lineRule="auto"/>
              <w:rPr>
                <w:rFonts w:ascii="Times New Roman" w:eastAsia="Calibri" w:hAnsi="Times New Roman" w:cs="Times New Roman"/>
                <w:sz w:val="20"/>
                <w:szCs w:val="20"/>
              </w:rPr>
            </w:pPr>
          </w:p>
        </w:tc>
        <w:tc>
          <w:tcPr>
            <w:tcW w:w="1843" w:type="dxa"/>
            <w:tcBorders>
              <w:left w:val="nil"/>
              <w:right w:val="single" w:sz="4" w:space="0" w:color="auto"/>
            </w:tcBorders>
          </w:tcPr>
          <w:p w14:paraId="383DAF27" w14:textId="51BEAE61" w:rsidR="00200C2E" w:rsidRPr="0054766D" w:rsidRDefault="00AB7B73" w:rsidP="00200C2E">
            <w:pPr>
              <w:spacing w:line="360" w:lineRule="auto"/>
              <w:rPr>
                <w:rFonts w:ascii="Times New Roman" w:eastAsia="Calibri" w:hAnsi="Times New Roman" w:cs="Times New Roman"/>
                <w:b/>
                <w:bCs/>
                <w:sz w:val="20"/>
                <w:szCs w:val="20"/>
                <w:u w:val="single"/>
              </w:rPr>
            </w:pPr>
            <w:r w:rsidRPr="0054766D">
              <w:rPr>
                <w:rFonts w:ascii="Times New Roman" w:eastAsia="Calibri" w:hAnsi="Times New Roman" w:cs="Times New Roman"/>
                <w:b/>
                <w:bCs/>
                <w:sz w:val="20"/>
                <w:szCs w:val="20"/>
                <w:u w:val="single"/>
              </w:rPr>
              <w:t>16-17</w:t>
            </w:r>
          </w:p>
        </w:tc>
        <w:tc>
          <w:tcPr>
            <w:tcW w:w="1843" w:type="dxa"/>
            <w:tcBorders>
              <w:left w:val="single" w:sz="4" w:space="0" w:color="auto"/>
            </w:tcBorders>
          </w:tcPr>
          <w:p w14:paraId="383DAF28" w14:textId="77777777" w:rsidR="00200C2E" w:rsidRPr="00F57C8A" w:rsidRDefault="000D28AE"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2E" w14:textId="77777777" w:rsidTr="001003E1">
        <w:tc>
          <w:tcPr>
            <w:tcW w:w="959" w:type="dxa"/>
            <w:tcBorders>
              <w:bottom w:val="nil"/>
              <w:right w:val="nil"/>
            </w:tcBorders>
          </w:tcPr>
          <w:p w14:paraId="383DAF2A"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bottom w:val="nil"/>
              <w:right w:val="nil"/>
            </w:tcBorders>
          </w:tcPr>
          <w:p w14:paraId="383DAF2B"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sz w:val="20"/>
                <w:szCs w:val="20"/>
              </w:rPr>
              <w:t>WHERE</w:t>
            </w:r>
          </w:p>
        </w:tc>
        <w:tc>
          <w:tcPr>
            <w:tcW w:w="1843" w:type="dxa"/>
            <w:tcBorders>
              <w:left w:val="nil"/>
              <w:bottom w:val="nil"/>
              <w:right w:val="single" w:sz="4" w:space="0" w:color="auto"/>
            </w:tcBorders>
          </w:tcPr>
          <w:p w14:paraId="383DAF2C"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left w:val="single" w:sz="4" w:space="0" w:color="auto"/>
              <w:bottom w:val="nil"/>
            </w:tcBorders>
          </w:tcPr>
          <w:p w14:paraId="383DAF2D"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33" w14:textId="77777777" w:rsidTr="001003E1">
        <w:tc>
          <w:tcPr>
            <w:tcW w:w="959" w:type="dxa"/>
            <w:tcBorders>
              <w:top w:val="nil"/>
              <w:bottom w:val="single" w:sz="4" w:space="0" w:color="auto"/>
              <w:right w:val="nil"/>
            </w:tcBorders>
          </w:tcPr>
          <w:p w14:paraId="383DAF2F"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7.</w:t>
            </w:r>
          </w:p>
        </w:tc>
        <w:tc>
          <w:tcPr>
            <w:tcW w:w="10064" w:type="dxa"/>
            <w:tcBorders>
              <w:top w:val="nil"/>
              <w:left w:val="nil"/>
              <w:bottom w:val="single" w:sz="4" w:space="0" w:color="auto"/>
              <w:right w:val="nil"/>
            </w:tcBorders>
          </w:tcPr>
          <w:p w14:paraId="73A242C5" w14:textId="77777777" w:rsidR="00200C2E" w:rsidRPr="00F57C8A" w:rsidRDefault="00200C2E" w:rsidP="00200C2E">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Describe the type(s) of location(s) where the intervention occurred, including any necessary infrastructure or relevant features.</w:t>
            </w:r>
          </w:p>
          <w:p w14:paraId="383DAF30" w14:textId="34E4EDC0" w:rsidR="005D54E8" w:rsidRPr="00F57C8A" w:rsidRDefault="005D54E8"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bCs/>
                <w:iCs/>
                <w:sz w:val="20"/>
                <w:szCs w:val="20"/>
              </w:rPr>
              <w:t>As indicated above, offsite training was delivered at hotels near to the shops;</w:t>
            </w:r>
            <w:r w:rsidR="0009512F" w:rsidRPr="00F57C8A">
              <w:rPr>
                <w:rFonts w:ascii="Times New Roman" w:eastAsia="Calibri" w:hAnsi="Times New Roman" w:cs="Times New Roman"/>
                <w:bCs/>
                <w:iCs/>
                <w:sz w:val="20"/>
                <w:szCs w:val="20"/>
              </w:rPr>
              <w:t xml:space="preserve"> on-the-job training was </w:t>
            </w:r>
            <w:r w:rsidR="009069F9">
              <w:rPr>
                <w:rFonts w:ascii="Times New Roman" w:eastAsia="Calibri" w:hAnsi="Times New Roman" w:cs="Times New Roman"/>
                <w:bCs/>
                <w:iCs/>
                <w:sz w:val="20"/>
                <w:szCs w:val="20"/>
              </w:rPr>
              <w:t>conducted</w:t>
            </w:r>
            <w:r w:rsidR="0009512F" w:rsidRPr="00F57C8A">
              <w:rPr>
                <w:rFonts w:ascii="Times New Roman" w:eastAsia="Calibri" w:hAnsi="Times New Roman" w:cs="Times New Roman"/>
                <w:bCs/>
                <w:iCs/>
                <w:sz w:val="20"/>
                <w:szCs w:val="20"/>
              </w:rPr>
              <w:t xml:space="preserve"> at the shops; </w:t>
            </w:r>
            <w:r w:rsidR="00EA11AD" w:rsidRPr="00F57C8A">
              <w:rPr>
                <w:rFonts w:ascii="Times New Roman" w:eastAsia="Calibri" w:hAnsi="Times New Roman" w:cs="Times New Roman"/>
                <w:bCs/>
                <w:iCs/>
                <w:sz w:val="20"/>
                <w:szCs w:val="20"/>
              </w:rPr>
              <w:t xml:space="preserve">nudges (posters) were posted at the shops; </w:t>
            </w:r>
            <w:r w:rsidR="0009512F" w:rsidRPr="00F57C8A">
              <w:rPr>
                <w:rFonts w:ascii="Times New Roman" w:eastAsia="Calibri" w:hAnsi="Times New Roman" w:cs="Times New Roman"/>
                <w:bCs/>
                <w:iCs/>
                <w:sz w:val="20"/>
                <w:szCs w:val="20"/>
              </w:rPr>
              <w:t>materials were provided onsite during the</w:t>
            </w:r>
            <w:r w:rsidR="00EA11AD" w:rsidRPr="00F57C8A">
              <w:rPr>
                <w:rFonts w:ascii="Times New Roman" w:eastAsia="Calibri" w:hAnsi="Times New Roman" w:cs="Times New Roman"/>
                <w:bCs/>
                <w:iCs/>
                <w:sz w:val="20"/>
                <w:szCs w:val="20"/>
              </w:rPr>
              <w:t xml:space="preserve"> on-the-job training.</w:t>
            </w:r>
          </w:p>
        </w:tc>
        <w:tc>
          <w:tcPr>
            <w:tcW w:w="1843" w:type="dxa"/>
            <w:tcBorders>
              <w:top w:val="nil"/>
              <w:left w:val="nil"/>
              <w:bottom w:val="single" w:sz="4" w:space="0" w:color="auto"/>
              <w:right w:val="single" w:sz="4" w:space="0" w:color="auto"/>
            </w:tcBorders>
          </w:tcPr>
          <w:p w14:paraId="383DAF31" w14:textId="18865D1C" w:rsidR="00200C2E" w:rsidRPr="009069F9" w:rsidRDefault="009069F9" w:rsidP="00200C2E">
            <w:pPr>
              <w:spacing w:line="360" w:lineRule="auto"/>
              <w:rPr>
                <w:rFonts w:ascii="Times New Roman" w:eastAsia="Calibri" w:hAnsi="Times New Roman" w:cs="Times New Roman"/>
                <w:b/>
                <w:bCs/>
                <w:sz w:val="20"/>
                <w:szCs w:val="20"/>
                <w:u w:val="single"/>
              </w:rPr>
            </w:pPr>
            <w:r w:rsidRPr="009069F9">
              <w:rPr>
                <w:rFonts w:ascii="Times New Roman" w:eastAsia="Calibri" w:hAnsi="Times New Roman" w:cs="Times New Roman"/>
                <w:b/>
                <w:bCs/>
                <w:sz w:val="20"/>
                <w:szCs w:val="20"/>
                <w:u w:val="single"/>
              </w:rPr>
              <w:t>16-17</w:t>
            </w:r>
          </w:p>
        </w:tc>
        <w:tc>
          <w:tcPr>
            <w:tcW w:w="1843" w:type="dxa"/>
            <w:tcBorders>
              <w:top w:val="nil"/>
              <w:left w:val="single" w:sz="4" w:space="0" w:color="auto"/>
              <w:bottom w:val="single" w:sz="4" w:space="0" w:color="auto"/>
            </w:tcBorders>
          </w:tcPr>
          <w:p w14:paraId="383DAF32"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38" w14:textId="77777777" w:rsidTr="001003E1">
        <w:tc>
          <w:tcPr>
            <w:tcW w:w="959" w:type="dxa"/>
            <w:tcBorders>
              <w:top w:val="single" w:sz="4" w:space="0" w:color="auto"/>
              <w:bottom w:val="nil"/>
              <w:right w:val="nil"/>
            </w:tcBorders>
          </w:tcPr>
          <w:p w14:paraId="383DAF34"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top w:val="single" w:sz="4" w:space="0" w:color="auto"/>
              <w:left w:val="nil"/>
              <w:bottom w:val="nil"/>
              <w:right w:val="nil"/>
            </w:tcBorders>
          </w:tcPr>
          <w:p w14:paraId="383DAF35" w14:textId="77777777" w:rsidR="00200C2E" w:rsidRPr="00F57C8A" w:rsidRDefault="00200C2E" w:rsidP="001003E1">
            <w:pPr>
              <w:spacing w:before="240" w:line="360" w:lineRule="auto"/>
              <w:rPr>
                <w:rFonts w:ascii="Times New Roman" w:eastAsia="Calibri" w:hAnsi="Times New Roman" w:cs="Times New Roman"/>
                <w:b/>
                <w:sz w:val="20"/>
                <w:szCs w:val="20"/>
              </w:rPr>
            </w:pPr>
            <w:r w:rsidRPr="00F57C8A">
              <w:rPr>
                <w:rFonts w:ascii="Times New Roman" w:eastAsia="Calibri" w:hAnsi="Times New Roman" w:cs="Times New Roman"/>
                <w:b/>
                <w:bCs/>
                <w:iCs/>
                <w:sz w:val="20"/>
                <w:szCs w:val="20"/>
                <w:lang w:val="en-US"/>
              </w:rPr>
              <w:t>WHEN and HOW MUCH</w:t>
            </w:r>
          </w:p>
        </w:tc>
        <w:tc>
          <w:tcPr>
            <w:tcW w:w="1843" w:type="dxa"/>
            <w:tcBorders>
              <w:top w:val="single" w:sz="4" w:space="0" w:color="auto"/>
              <w:left w:val="nil"/>
              <w:bottom w:val="nil"/>
              <w:right w:val="single" w:sz="4" w:space="0" w:color="auto"/>
            </w:tcBorders>
          </w:tcPr>
          <w:p w14:paraId="383DAF36"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nil"/>
            </w:tcBorders>
          </w:tcPr>
          <w:p w14:paraId="383DAF37"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3D" w14:textId="77777777" w:rsidTr="001003E1">
        <w:tc>
          <w:tcPr>
            <w:tcW w:w="959" w:type="dxa"/>
            <w:tcBorders>
              <w:top w:val="nil"/>
              <w:bottom w:val="nil"/>
              <w:right w:val="nil"/>
            </w:tcBorders>
          </w:tcPr>
          <w:p w14:paraId="383DAF39"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8.</w:t>
            </w:r>
          </w:p>
        </w:tc>
        <w:tc>
          <w:tcPr>
            <w:tcW w:w="10064" w:type="dxa"/>
            <w:tcBorders>
              <w:top w:val="nil"/>
              <w:left w:val="nil"/>
              <w:bottom w:val="nil"/>
              <w:right w:val="nil"/>
            </w:tcBorders>
          </w:tcPr>
          <w:p w14:paraId="61CE05E4" w14:textId="77777777" w:rsidR="00200C2E" w:rsidRPr="00F57C8A" w:rsidRDefault="00200C2E" w:rsidP="00200C2E">
            <w:pPr>
              <w:spacing w:line="360" w:lineRule="auto"/>
              <w:rPr>
                <w:rFonts w:ascii="Times New Roman" w:eastAsia="Calibri" w:hAnsi="Times New Roman" w:cs="Times New Roman"/>
                <w:bCs/>
                <w:iCs/>
                <w:sz w:val="20"/>
                <w:szCs w:val="20"/>
                <w:lang w:val="en-US"/>
              </w:rPr>
            </w:pPr>
            <w:r w:rsidRPr="00F57C8A">
              <w:rPr>
                <w:rFonts w:ascii="Times New Roman" w:eastAsia="Calibri" w:hAnsi="Times New Roman" w:cs="Times New Roman"/>
                <w:bCs/>
                <w:iCs/>
                <w:sz w:val="20"/>
                <w:szCs w:val="20"/>
                <w:lang w:val="en-US"/>
              </w:rPr>
              <w:t xml:space="preserve">Describe the number of times the intervention was delivered and over what </w:t>
            </w:r>
            <w:proofErr w:type="gramStart"/>
            <w:r w:rsidRPr="00F57C8A">
              <w:rPr>
                <w:rFonts w:ascii="Times New Roman" w:eastAsia="Calibri" w:hAnsi="Times New Roman" w:cs="Times New Roman"/>
                <w:bCs/>
                <w:iCs/>
                <w:sz w:val="20"/>
                <w:szCs w:val="20"/>
                <w:lang w:val="en-US"/>
              </w:rPr>
              <w:t>period of time</w:t>
            </w:r>
            <w:proofErr w:type="gramEnd"/>
            <w:r w:rsidRPr="00F57C8A">
              <w:rPr>
                <w:rFonts w:ascii="Times New Roman" w:eastAsia="Calibri" w:hAnsi="Times New Roman" w:cs="Times New Roman"/>
                <w:bCs/>
                <w:iCs/>
                <w:sz w:val="20"/>
                <w:szCs w:val="20"/>
                <w:lang w:val="en-US"/>
              </w:rPr>
              <w:t xml:space="preserve"> including the number of sessions, their schedule, and their duration, intensity or dose.</w:t>
            </w:r>
          </w:p>
          <w:p w14:paraId="383DAF3A" w14:textId="360515F5" w:rsidR="00DD1A7C" w:rsidRPr="00F57C8A" w:rsidRDefault="00484374"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bCs/>
                <w:iCs/>
                <w:sz w:val="20"/>
                <w:szCs w:val="20"/>
                <w:lang w:val="en-US"/>
              </w:rPr>
              <w:t>As mentioned above, t</w:t>
            </w:r>
            <w:r w:rsidR="00DD1A7C" w:rsidRPr="00F57C8A">
              <w:rPr>
                <w:rFonts w:ascii="Times New Roman" w:eastAsia="Calibri" w:hAnsi="Times New Roman" w:cs="Times New Roman"/>
                <w:bCs/>
                <w:iCs/>
                <w:sz w:val="20"/>
                <w:szCs w:val="20"/>
                <w:lang w:val="en-US"/>
              </w:rPr>
              <w:t xml:space="preserve">raining was delivered three times: </w:t>
            </w:r>
            <w:r w:rsidR="00B476EA" w:rsidRPr="00F57C8A">
              <w:rPr>
                <w:rFonts w:ascii="Times New Roman" w:eastAsia="Calibri" w:hAnsi="Times New Roman" w:cs="Times New Roman"/>
                <w:bCs/>
                <w:iCs/>
                <w:sz w:val="20"/>
                <w:szCs w:val="20"/>
                <w:lang w:val="en-US"/>
              </w:rPr>
              <w:t>offsite, on-the-job and refresher training.</w:t>
            </w:r>
            <w:r w:rsidR="0021434A" w:rsidRPr="00F57C8A">
              <w:rPr>
                <w:rFonts w:ascii="Times New Roman" w:eastAsia="Calibri" w:hAnsi="Times New Roman" w:cs="Times New Roman"/>
                <w:bCs/>
                <w:iCs/>
                <w:sz w:val="20"/>
                <w:szCs w:val="20"/>
                <w:lang w:val="en-US"/>
              </w:rPr>
              <w:t xml:space="preserve"> </w:t>
            </w:r>
            <w:r w:rsidR="003A6CF1">
              <w:rPr>
                <w:rFonts w:ascii="Times New Roman" w:eastAsia="Calibri" w:hAnsi="Times New Roman" w:cs="Times New Roman"/>
                <w:bCs/>
                <w:iCs/>
                <w:sz w:val="20"/>
                <w:szCs w:val="20"/>
                <w:lang w:val="en-US"/>
              </w:rPr>
              <w:t xml:space="preserve">Hygiene materials provided once. </w:t>
            </w:r>
            <w:r w:rsidR="0021434A" w:rsidRPr="00F57C8A">
              <w:rPr>
                <w:rFonts w:ascii="Times New Roman" w:eastAsia="Calibri" w:hAnsi="Times New Roman" w:cs="Times New Roman"/>
                <w:bCs/>
                <w:iCs/>
                <w:sz w:val="20"/>
                <w:szCs w:val="20"/>
                <w:lang w:val="en-US"/>
              </w:rPr>
              <w:t xml:space="preserve">Inspection and rating </w:t>
            </w:r>
            <w:r w:rsidR="0082604F" w:rsidRPr="00F57C8A">
              <w:rPr>
                <w:rFonts w:ascii="Times New Roman" w:eastAsia="Calibri" w:hAnsi="Times New Roman" w:cs="Times New Roman"/>
                <w:bCs/>
                <w:iCs/>
                <w:sz w:val="20"/>
                <w:szCs w:val="20"/>
                <w:lang w:val="en-US"/>
              </w:rPr>
              <w:t>were</w:t>
            </w:r>
            <w:r w:rsidR="0021434A" w:rsidRPr="00F57C8A">
              <w:rPr>
                <w:rFonts w:ascii="Times New Roman" w:eastAsia="Calibri" w:hAnsi="Times New Roman" w:cs="Times New Roman"/>
                <w:bCs/>
                <w:iCs/>
                <w:sz w:val="20"/>
                <w:szCs w:val="20"/>
                <w:lang w:val="en-US"/>
              </w:rPr>
              <w:t xml:space="preserve"> done twice: </w:t>
            </w:r>
            <w:r w:rsidR="008B6336" w:rsidRPr="00F57C8A">
              <w:rPr>
                <w:rFonts w:ascii="Times New Roman" w:eastAsia="Calibri" w:hAnsi="Times New Roman" w:cs="Times New Roman"/>
                <w:sz w:val="20"/>
                <w:szCs w:val="20"/>
              </w:rPr>
              <w:t>one week and two months after on-the-job training with each inspection lasting approximately one hour per shop.</w:t>
            </w:r>
          </w:p>
        </w:tc>
        <w:tc>
          <w:tcPr>
            <w:tcW w:w="1843" w:type="dxa"/>
            <w:tcBorders>
              <w:top w:val="nil"/>
              <w:left w:val="nil"/>
              <w:bottom w:val="nil"/>
              <w:right w:val="single" w:sz="4" w:space="0" w:color="auto"/>
            </w:tcBorders>
          </w:tcPr>
          <w:p w14:paraId="383DAF3B" w14:textId="5DFDAA35" w:rsidR="00200C2E" w:rsidRPr="00F57C8A" w:rsidRDefault="00767700" w:rsidP="00200C2E">
            <w:pPr>
              <w:spacing w:line="360" w:lineRule="auto"/>
              <w:rPr>
                <w:rFonts w:ascii="Times New Roman" w:eastAsia="Calibri" w:hAnsi="Times New Roman" w:cs="Times New Roman"/>
                <w:sz w:val="20"/>
                <w:szCs w:val="20"/>
              </w:rPr>
            </w:pPr>
            <w:r w:rsidRPr="0054766D">
              <w:rPr>
                <w:rFonts w:ascii="Times New Roman" w:eastAsia="Calibri" w:hAnsi="Times New Roman" w:cs="Times New Roman"/>
                <w:b/>
                <w:bCs/>
                <w:sz w:val="20"/>
                <w:szCs w:val="20"/>
                <w:u w:val="single"/>
              </w:rPr>
              <w:t>16-17, 21</w:t>
            </w:r>
          </w:p>
        </w:tc>
        <w:tc>
          <w:tcPr>
            <w:tcW w:w="1843" w:type="dxa"/>
            <w:tcBorders>
              <w:top w:val="nil"/>
              <w:left w:val="single" w:sz="4" w:space="0" w:color="auto"/>
              <w:bottom w:val="nil"/>
            </w:tcBorders>
          </w:tcPr>
          <w:p w14:paraId="383DAF3C"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42" w14:textId="77777777" w:rsidTr="001003E1">
        <w:tc>
          <w:tcPr>
            <w:tcW w:w="959" w:type="dxa"/>
            <w:tcBorders>
              <w:top w:val="nil"/>
              <w:right w:val="nil"/>
            </w:tcBorders>
          </w:tcPr>
          <w:p w14:paraId="383DAF3E"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top w:val="nil"/>
              <w:left w:val="nil"/>
              <w:right w:val="nil"/>
            </w:tcBorders>
          </w:tcPr>
          <w:p w14:paraId="383DAF3F"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bCs/>
                <w:sz w:val="20"/>
                <w:szCs w:val="20"/>
              </w:rPr>
              <w:t>TAILORING</w:t>
            </w:r>
          </w:p>
        </w:tc>
        <w:tc>
          <w:tcPr>
            <w:tcW w:w="1843" w:type="dxa"/>
            <w:tcBorders>
              <w:top w:val="nil"/>
              <w:left w:val="nil"/>
              <w:bottom w:val="nil"/>
              <w:right w:val="single" w:sz="4" w:space="0" w:color="auto"/>
            </w:tcBorders>
          </w:tcPr>
          <w:p w14:paraId="383DAF40" w14:textId="38EC5D9E"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top w:val="nil"/>
              <w:left w:val="single" w:sz="4" w:space="0" w:color="auto"/>
              <w:bottom w:val="nil"/>
            </w:tcBorders>
          </w:tcPr>
          <w:p w14:paraId="383DAF41"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47" w14:textId="77777777" w:rsidTr="001003E1">
        <w:tc>
          <w:tcPr>
            <w:tcW w:w="959" w:type="dxa"/>
            <w:tcBorders>
              <w:right w:val="nil"/>
            </w:tcBorders>
          </w:tcPr>
          <w:p w14:paraId="383DAF43"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9.</w:t>
            </w:r>
          </w:p>
        </w:tc>
        <w:tc>
          <w:tcPr>
            <w:tcW w:w="10064" w:type="dxa"/>
            <w:tcBorders>
              <w:left w:val="nil"/>
              <w:right w:val="nil"/>
            </w:tcBorders>
          </w:tcPr>
          <w:p w14:paraId="4C520565" w14:textId="77777777" w:rsidR="00200C2E" w:rsidRPr="00F57C8A" w:rsidRDefault="00200C2E" w:rsidP="00200C2E">
            <w:pPr>
              <w:spacing w:line="360" w:lineRule="auto"/>
              <w:rPr>
                <w:rFonts w:ascii="Times New Roman" w:eastAsia="Calibri" w:hAnsi="Times New Roman" w:cs="Times New Roman"/>
                <w:bCs/>
                <w:sz w:val="20"/>
                <w:szCs w:val="20"/>
              </w:rPr>
            </w:pPr>
            <w:r w:rsidRPr="00F57C8A">
              <w:rPr>
                <w:rFonts w:ascii="Times New Roman" w:eastAsia="Calibri" w:hAnsi="Times New Roman" w:cs="Times New Roman"/>
                <w:bCs/>
                <w:sz w:val="20"/>
                <w:szCs w:val="20"/>
              </w:rPr>
              <w:t>If the intervention was planned to be personalised, titrated or adapted, then describe what, why, when, and how.</w:t>
            </w:r>
          </w:p>
          <w:p w14:paraId="383DAF44" w14:textId="502C9331" w:rsidR="008B6336" w:rsidRPr="00F57C8A" w:rsidRDefault="008B6336"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bCs/>
                <w:sz w:val="20"/>
                <w:szCs w:val="20"/>
              </w:rPr>
              <w:t>NA</w:t>
            </w:r>
          </w:p>
        </w:tc>
        <w:tc>
          <w:tcPr>
            <w:tcW w:w="1843" w:type="dxa"/>
            <w:tcBorders>
              <w:top w:val="nil"/>
              <w:left w:val="nil"/>
              <w:bottom w:val="nil"/>
              <w:right w:val="single" w:sz="4" w:space="0" w:color="auto"/>
            </w:tcBorders>
          </w:tcPr>
          <w:p w14:paraId="383DAF45" w14:textId="3829BBF1" w:rsidR="00200C2E" w:rsidRPr="001774EE" w:rsidRDefault="001774EE" w:rsidP="00200C2E">
            <w:pPr>
              <w:spacing w:line="360" w:lineRule="auto"/>
              <w:rPr>
                <w:rFonts w:ascii="Times New Roman" w:eastAsia="Calibri" w:hAnsi="Times New Roman" w:cs="Times New Roman"/>
                <w:b/>
                <w:bCs/>
                <w:sz w:val="20"/>
                <w:szCs w:val="20"/>
                <w:u w:val="single"/>
              </w:rPr>
            </w:pPr>
            <w:r w:rsidRPr="001774EE">
              <w:rPr>
                <w:rFonts w:ascii="Times New Roman" w:eastAsia="Calibri" w:hAnsi="Times New Roman" w:cs="Times New Roman"/>
                <w:b/>
                <w:bCs/>
                <w:sz w:val="20"/>
                <w:szCs w:val="20"/>
                <w:u w:val="single"/>
              </w:rPr>
              <w:t>N/A</w:t>
            </w:r>
          </w:p>
        </w:tc>
        <w:tc>
          <w:tcPr>
            <w:tcW w:w="1843" w:type="dxa"/>
            <w:tcBorders>
              <w:top w:val="nil"/>
              <w:left w:val="single" w:sz="4" w:space="0" w:color="auto"/>
              <w:bottom w:val="nil"/>
            </w:tcBorders>
          </w:tcPr>
          <w:p w14:paraId="383DAF46"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4C" w14:textId="77777777" w:rsidTr="001003E1">
        <w:tc>
          <w:tcPr>
            <w:tcW w:w="959" w:type="dxa"/>
            <w:tcBorders>
              <w:right w:val="nil"/>
            </w:tcBorders>
          </w:tcPr>
          <w:p w14:paraId="383DAF48"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right w:val="nil"/>
            </w:tcBorders>
          </w:tcPr>
          <w:p w14:paraId="383DAF49"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bCs/>
                <w:sz w:val="20"/>
                <w:szCs w:val="20"/>
              </w:rPr>
              <w:t>MODIFICATIONS</w:t>
            </w:r>
          </w:p>
        </w:tc>
        <w:tc>
          <w:tcPr>
            <w:tcW w:w="1843" w:type="dxa"/>
            <w:tcBorders>
              <w:top w:val="nil"/>
              <w:left w:val="nil"/>
              <w:bottom w:val="nil"/>
              <w:right w:val="single" w:sz="4" w:space="0" w:color="auto"/>
            </w:tcBorders>
          </w:tcPr>
          <w:p w14:paraId="383DAF4A" w14:textId="77777777" w:rsidR="00200C2E" w:rsidRPr="00F57C8A" w:rsidRDefault="00200C2E" w:rsidP="00200C2E">
            <w:pPr>
              <w:spacing w:line="360" w:lineRule="auto"/>
              <w:rPr>
                <w:rFonts w:ascii="Times New Roman" w:eastAsia="Calibri" w:hAnsi="Times New Roman" w:cs="Times New Roman"/>
                <w:sz w:val="20"/>
                <w:szCs w:val="20"/>
              </w:rPr>
            </w:pPr>
          </w:p>
        </w:tc>
        <w:tc>
          <w:tcPr>
            <w:tcW w:w="1843" w:type="dxa"/>
            <w:tcBorders>
              <w:top w:val="nil"/>
              <w:left w:val="single" w:sz="4" w:space="0" w:color="auto"/>
              <w:bottom w:val="nil"/>
            </w:tcBorders>
          </w:tcPr>
          <w:p w14:paraId="383DAF4B" w14:textId="77777777" w:rsidR="00200C2E" w:rsidRPr="00F57C8A" w:rsidRDefault="00200C2E" w:rsidP="00200C2E">
            <w:pPr>
              <w:spacing w:line="360" w:lineRule="auto"/>
              <w:rPr>
                <w:rFonts w:ascii="Times New Roman" w:eastAsia="Calibri" w:hAnsi="Times New Roman" w:cs="Times New Roman"/>
                <w:sz w:val="20"/>
                <w:szCs w:val="20"/>
              </w:rPr>
            </w:pPr>
          </w:p>
        </w:tc>
      </w:tr>
      <w:tr w:rsidR="00200C2E" w:rsidRPr="00F57C8A" w14:paraId="383DAF51" w14:textId="77777777" w:rsidTr="001003E1">
        <w:tc>
          <w:tcPr>
            <w:tcW w:w="959" w:type="dxa"/>
            <w:tcBorders>
              <w:right w:val="nil"/>
            </w:tcBorders>
          </w:tcPr>
          <w:p w14:paraId="383DAF4D"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10.</w:t>
            </w:r>
            <w:r w:rsidRPr="00F57C8A">
              <w:rPr>
                <w:rFonts w:ascii="Times New Roman" w:eastAsia="Times New Roman" w:hAnsi="Times New Roman" w:cs="Times New Roman"/>
                <w:b/>
                <w:bCs/>
                <w:color w:val="000000"/>
                <w:kern w:val="24"/>
                <w:sz w:val="20"/>
                <w:szCs w:val="20"/>
                <w:vertAlign w:val="superscript"/>
                <w:lang w:val="en-GB" w:eastAsia="zh-CN"/>
              </w:rPr>
              <w:t>ǂ</w:t>
            </w:r>
          </w:p>
        </w:tc>
        <w:tc>
          <w:tcPr>
            <w:tcW w:w="10064" w:type="dxa"/>
            <w:tcBorders>
              <w:left w:val="nil"/>
              <w:right w:val="nil"/>
            </w:tcBorders>
          </w:tcPr>
          <w:p w14:paraId="78AF4F91" w14:textId="77777777" w:rsidR="00200C2E" w:rsidRPr="00F57C8A" w:rsidRDefault="00200C2E" w:rsidP="00200C2E">
            <w:pPr>
              <w:spacing w:line="360" w:lineRule="auto"/>
              <w:rPr>
                <w:rFonts w:ascii="Times New Roman" w:eastAsia="Calibri" w:hAnsi="Times New Roman" w:cs="Times New Roman"/>
                <w:bCs/>
                <w:sz w:val="20"/>
                <w:szCs w:val="20"/>
              </w:rPr>
            </w:pPr>
            <w:r w:rsidRPr="00F57C8A">
              <w:rPr>
                <w:rFonts w:ascii="Times New Roman" w:eastAsia="Calibri" w:hAnsi="Times New Roman" w:cs="Times New Roman"/>
                <w:bCs/>
                <w:sz w:val="20"/>
                <w:szCs w:val="20"/>
              </w:rPr>
              <w:t xml:space="preserve">If the intervention was modified </w:t>
            </w:r>
            <w:proofErr w:type="gramStart"/>
            <w:r w:rsidRPr="00F57C8A">
              <w:rPr>
                <w:rFonts w:ascii="Times New Roman" w:eastAsia="Calibri" w:hAnsi="Times New Roman" w:cs="Times New Roman"/>
                <w:bCs/>
                <w:sz w:val="20"/>
                <w:szCs w:val="20"/>
              </w:rPr>
              <w:t>during the course of</w:t>
            </w:r>
            <w:proofErr w:type="gramEnd"/>
            <w:r w:rsidRPr="00F57C8A">
              <w:rPr>
                <w:rFonts w:ascii="Times New Roman" w:eastAsia="Calibri" w:hAnsi="Times New Roman" w:cs="Times New Roman"/>
                <w:bCs/>
                <w:sz w:val="20"/>
                <w:szCs w:val="20"/>
              </w:rPr>
              <w:t xml:space="preserve"> the study, describe the changes (what, why, when, and how).</w:t>
            </w:r>
          </w:p>
          <w:p w14:paraId="383DAF4E" w14:textId="3B580567" w:rsidR="008B6336" w:rsidRPr="00F57C8A" w:rsidRDefault="008B6336"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bCs/>
                <w:sz w:val="20"/>
                <w:szCs w:val="20"/>
              </w:rPr>
              <w:t>NA</w:t>
            </w:r>
          </w:p>
        </w:tc>
        <w:tc>
          <w:tcPr>
            <w:tcW w:w="1843" w:type="dxa"/>
            <w:tcBorders>
              <w:top w:val="nil"/>
              <w:left w:val="nil"/>
              <w:bottom w:val="nil"/>
              <w:right w:val="single" w:sz="4" w:space="0" w:color="auto"/>
            </w:tcBorders>
          </w:tcPr>
          <w:p w14:paraId="383DAF4F" w14:textId="15C6322C" w:rsidR="00200C2E" w:rsidRPr="00F57C8A" w:rsidRDefault="001774EE" w:rsidP="00200C2E">
            <w:pPr>
              <w:spacing w:line="360" w:lineRule="auto"/>
              <w:rPr>
                <w:rFonts w:ascii="Times New Roman" w:eastAsia="Calibri" w:hAnsi="Times New Roman" w:cs="Times New Roman"/>
                <w:sz w:val="20"/>
                <w:szCs w:val="20"/>
              </w:rPr>
            </w:pPr>
            <w:r w:rsidRPr="001774EE">
              <w:rPr>
                <w:rFonts w:ascii="Times New Roman" w:eastAsia="Calibri" w:hAnsi="Times New Roman" w:cs="Times New Roman"/>
                <w:b/>
                <w:bCs/>
                <w:sz w:val="20"/>
                <w:szCs w:val="20"/>
                <w:u w:val="single"/>
              </w:rPr>
              <w:t>N/A</w:t>
            </w:r>
          </w:p>
        </w:tc>
        <w:tc>
          <w:tcPr>
            <w:tcW w:w="1843" w:type="dxa"/>
            <w:tcBorders>
              <w:top w:val="nil"/>
              <w:left w:val="single" w:sz="4" w:space="0" w:color="auto"/>
              <w:bottom w:val="nil"/>
            </w:tcBorders>
          </w:tcPr>
          <w:p w14:paraId="383DAF50"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56" w14:textId="77777777" w:rsidTr="001003E1">
        <w:tc>
          <w:tcPr>
            <w:tcW w:w="959" w:type="dxa"/>
            <w:tcBorders>
              <w:right w:val="nil"/>
            </w:tcBorders>
          </w:tcPr>
          <w:p w14:paraId="383DAF52" w14:textId="77777777" w:rsidR="00200C2E" w:rsidRPr="00F57C8A" w:rsidRDefault="00200C2E" w:rsidP="00200C2E">
            <w:pPr>
              <w:spacing w:line="360" w:lineRule="auto"/>
              <w:rPr>
                <w:rFonts w:ascii="Times New Roman" w:eastAsia="Calibri" w:hAnsi="Times New Roman" w:cs="Times New Roman"/>
                <w:b/>
                <w:sz w:val="20"/>
                <w:szCs w:val="20"/>
              </w:rPr>
            </w:pPr>
          </w:p>
        </w:tc>
        <w:tc>
          <w:tcPr>
            <w:tcW w:w="10064" w:type="dxa"/>
            <w:tcBorders>
              <w:left w:val="nil"/>
              <w:right w:val="nil"/>
            </w:tcBorders>
          </w:tcPr>
          <w:p w14:paraId="383DAF53" w14:textId="77777777" w:rsidR="00200C2E" w:rsidRPr="00F57C8A" w:rsidRDefault="00200C2E" w:rsidP="00200C2E">
            <w:pPr>
              <w:spacing w:line="360" w:lineRule="auto"/>
              <w:rPr>
                <w:rFonts w:ascii="Times New Roman" w:eastAsia="Calibri" w:hAnsi="Times New Roman" w:cs="Times New Roman"/>
                <w:b/>
                <w:sz w:val="20"/>
                <w:szCs w:val="20"/>
              </w:rPr>
            </w:pPr>
            <w:r w:rsidRPr="00F57C8A">
              <w:rPr>
                <w:rFonts w:ascii="Times New Roman" w:eastAsia="Calibri" w:hAnsi="Times New Roman" w:cs="Times New Roman"/>
                <w:b/>
                <w:sz w:val="20"/>
                <w:szCs w:val="20"/>
              </w:rPr>
              <w:t>HOW WELL</w:t>
            </w:r>
          </w:p>
        </w:tc>
        <w:tc>
          <w:tcPr>
            <w:tcW w:w="1843" w:type="dxa"/>
            <w:tcBorders>
              <w:top w:val="nil"/>
              <w:left w:val="nil"/>
              <w:bottom w:val="nil"/>
              <w:right w:val="single" w:sz="4" w:space="0" w:color="auto"/>
            </w:tcBorders>
          </w:tcPr>
          <w:p w14:paraId="383DAF54" w14:textId="77777777" w:rsidR="00200C2E" w:rsidRPr="00F57C8A" w:rsidRDefault="00200C2E" w:rsidP="00200C2E">
            <w:pPr>
              <w:spacing w:line="360" w:lineRule="auto"/>
              <w:rPr>
                <w:rFonts w:ascii="Times New Roman" w:eastAsia="Calibri" w:hAnsi="Times New Roman" w:cs="Times New Roman"/>
                <w:b/>
                <w:sz w:val="20"/>
                <w:szCs w:val="20"/>
              </w:rPr>
            </w:pPr>
          </w:p>
        </w:tc>
        <w:tc>
          <w:tcPr>
            <w:tcW w:w="1843" w:type="dxa"/>
            <w:tcBorders>
              <w:top w:val="nil"/>
              <w:left w:val="single" w:sz="4" w:space="0" w:color="auto"/>
              <w:bottom w:val="nil"/>
            </w:tcBorders>
          </w:tcPr>
          <w:p w14:paraId="383DAF55" w14:textId="77777777" w:rsidR="00200C2E" w:rsidRPr="00F57C8A" w:rsidRDefault="00200C2E" w:rsidP="00200C2E">
            <w:pPr>
              <w:spacing w:line="360" w:lineRule="auto"/>
              <w:rPr>
                <w:rFonts w:ascii="Times New Roman" w:eastAsia="Calibri" w:hAnsi="Times New Roman" w:cs="Times New Roman"/>
                <w:b/>
                <w:sz w:val="20"/>
                <w:szCs w:val="20"/>
              </w:rPr>
            </w:pPr>
          </w:p>
        </w:tc>
      </w:tr>
      <w:tr w:rsidR="00200C2E" w:rsidRPr="00F57C8A" w14:paraId="383DAF5B" w14:textId="77777777" w:rsidTr="001003E1">
        <w:tc>
          <w:tcPr>
            <w:tcW w:w="959" w:type="dxa"/>
            <w:tcBorders>
              <w:right w:val="nil"/>
            </w:tcBorders>
          </w:tcPr>
          <w:p w14:paraId="383DAF57" w14:textId="77777777" w:rsidR="00200C2E" w:rsidRPr="00F57C8A" w:rsidRDefault="00200C2E" w:rsidP="00200C2E">
            <w:pPr>
              <w:spacing w:line="360" w:lineRule="auto"/>
              <w:rPr>
                <w:rFonts w:ascii="Times New Roman" w:eastAsia="Calibri" w:hAnsi="Times New Roman" w:cs="Times New Roman"/>
                <w:b/>
                <w:bCs/>
                <w:sz w:val="20"/>
                <w:szCs w:val="20"/>
              </w:rPr>
            </w:pPr>
            <w:r w:rsidRPr="00F57C8A">
              <w:rPr>
                <w:rFonts w:ascii="Times New Roman" w:eastAsia="Calibri" w:hAnsi="Times New Roman" w:cs="Times New Roman"/>
                <w:b/>
                <w:bCs/>
                <w:sz w:val="20"/>
                <w:szCs w:val="20"/>
              </w:rPr>
              <w:t>11.</w:t>
            </w:r>
          </w:p>
        </w:tc>
        <w:tc>
          <w:tcPr>
            <w:tcW w:w="10064" w:type="dxa"/>
            <w:tcBorders>
              <w:left w:val="nil"/>
              <w:right w:val="nil"/>
            </w:tcBorders>
          </w:tcPr>
          <w:p w14:paraId="383DAF58" w14:textId="77777777" w:rsidR="00200C2E" w:rsidRPr="00F57C8A" w:rsidRDefault="00200C2E"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tcPr>
          <w:p w14:paraId="383DAF59" w14:textId="2C4B4E7C" w:rsidR="00200C2E" w:rsidRPr="002A1602" w:rsidRDefault="002A1602" w:rsidP="00200C2E">
            <w:pPr>
              <w:spacing w:line="360" w:lineRule="auto"/>
              <w:rPr>
                <w:rFonts w:ascii="Times New Roman" w:eastAsia="Calibri" w:hAnsi="Times New Roman" w:cs="Times New Roman"/>
                <w:b/>
                <w:bCs/>
                <w:sz w:val="20"/>
                <w:szCs w:val="20"/>
                <w:u w:val="single"/>
              </w:rPr>
            </w:pPr>
            <w:r w:rsidRPr="002A1602">
              <w:rPr>
                <w:rFonts w:ascii="Times New Roman" w:eastAsia="Calibri" w:hAnsi="Times New Roman" w:cs="Times New Roman"/>
                <w:b/>
                <w:bCs/>
                <w:sz w:val="20"/>
                <w:szCs w:val="20"/>
                <w:u w:val="single"/>
              </w:rPr>
              <w:t>N/A</w:t>
            </w:r>
          </w:p>
        </w:tc>
        <w:tc>
          <w:tcPr>
            <w:tcW w:w="1843" w:type="dxa"/>
            <w:tcBorders>
              <w:top w:val="nil"/>
              <w:left w:val="single" w:sz="4" w:space="0" w:color="auto"/>
              <w:bottom w:val="nil"/>
            </w:tcBorders>
          </w:tcPr>
          <w:p w14:paraId="383DAF5A"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r w:rsidR="00200C2E" w:rsidRPr="00F57C8A" w14:paraId="383DAF61" w14:textId="77777777" w:rsidTr="001003E1">
        <w:tc>
          <w:tcPr>
            <w:tcW w:w="959" w:type="dxa"/>
            <w:tcBorders>
              <w:bottom w:val="single" w:sz="4" w:space="0" w:color="auto"/>
              <w:right w:val="nil"/>
            </w:tcBorders>
          </w:tcPr>
          <w:p w14:paraId="383DAF5C" w14:textId="77777777" w:rsidR="00200C2E" w:rsidRPr="00F57C8A" w:rsidRDefault="00200C2E" w:rsidP="00200C2E">
            <w:pPr>
              <w:spacing w:line="360" w:lineRule="auto"/>
              <w:rPr>
                <w:rFonts w:ascii="Times New Roman" w:eastAsia="Calibri" w:hAnsi="Times New Roman" w:cs="Times New Roman"/>
                <w:b/>
                <w:bCs/>
                <w:sz w:val="20"/>
                <w:szCs w:val="20"/>
                <w:lang w:val="en-US" w:eastAsia="zh-CN"/>
              </w:rPr>
            </w:pPr>
            <w:r w:rsidRPr="00F57C8A">
              <w:rPr>
                <w:rFonts w:ascii="Times New Roman" w:eastAsia="Calibri" w:hAnsi="Times New Roman" w:cs="Times New Roman"/>
                <w:b/>
                <w:bCs/>
                <w:sz w:val="20"/>
                <w:szCs w:val="20"/>
              </w:rPr>
              <w:lastRenderedPageBreak/>
              <w:t>12.</w:t>
            </w:r>
            <w:r w:rsidRPr="00F57C8A">
              <w:rPr>
                <w:rFonts w:ascii="Times New Roman" w:eastAsia="Times New Roman" w:hAnsi="Times New Roman" w:cs="Times New Roman"/>
                <w:b/>
                <w:bCs/>
                <w:color w:val="000000"/>
                <w:kern w:val="24"/>
                <w:sz w:val="20"/>
                <w:szCs w:val="20"/>
                <w:vertAlign w:val="superscript"/>
                <w:lang w:val="en-GB" w:eastAsia="zh-CN"/>
              </w:rPr>
              <w:t>ǂ</w:t>
            </w:r>
          </w:p>
          <w:p w14:paraId="383DAF5D" w14:textId="77777777" w:rsidR="00200C2E" w:rsidRPr="00F57C8A" w:rsidRDefault="00200C2E" w:rsidP="00200C2E">
            <w:pPr>
              <w:spacing w:line="360" w:lineRule="auto"/>
              <w:rPr>
                <w:rFonts w:ascii="Times New Roman" w:eastAsia="Calibri" w:hAnsi="Times New Roman" w:cs="Times New Roman"/>
                <w:sz w:val="20"/>
                <w:szCs w:val="20"/>
              </w:rPr>
            </w:pPr>
          </w:p>
        </w:tc>
        <w:tc>
          <w:tcPr>
            <w:tcW w:w="10064" w:type="dxa"/>
            <w:tcBorders>
              <w:left w:val="nil"/>
              <w:bottom w:val="single" w:sz="4" w:space="0" w:color="auto"/>
              <w:right w:val="nil"/>
            </w:tcBorders>
          </w:tcPr>
          <w:p w14:paraId="5EC1F297" w14:textId="77777777" w:rsidR="00200C2E" w:rsidRPr="00F57C8A" w:rsidRDefault="00200C2E" w:rsidP="00200C2E">
            <w:pPr>
              <w:spacing w:line="360" w:lineRule="auto"/>
              <w:rPr>
                <w:rFonts w:ascii="Times New Roman" w:eastAsia="Calibri" w:hAnsi="Times New Roman" w:cs="Times New Roman"/>
                <w:bCs/>
                <w:iCs/>
                <w:sz w:val="20"/>
                <w:szCs w:val="20"/>
              </w:rPr>
            </w:pPr>
            <w:r w:rsidRPr="00F57C8A">
              <w:rPr>
                <w:rFonts w:ascii="Times New Roman" w:eastAsia="Calibri" w:hAnsi="Times New Roman" w:cs="Times New Roman"/>
                <w:bCs/>
                <w:iCs/>
                <w:sz w:val="20"/>
                <w:szCs w:val="20"/>
              </w:rPr>
              <w:t>Actual: If intervention adherence or fidelity was assessed, describe the extent to which the intervention was delivered as planned.</w:t>
            </w:r>
          </w:p>
          <w:p w14:paraId="383DAF5E" w14:textId="546D526E" w:rsidR="009A5FB9" w:rsidRPr="00F57C8A" w:rsidRDefault="00E76F93" w:rsidP="006279B2">
            <w:pPr>
              <w:spacing w:line="360" w:lineRule="auto"/>
              <w:jc w:val="both"/>
              <w:rPr>
                <w:rFonts w:ascii="Times New Roman" w:eastAsia="Calibri" w:hAnsi="Times New Roman" w:cs="Times New Roman"/>
                <w:sz w:val="20"/>
                <w:szCs w:val="20"/>
              </w:rPr>
            </w:pPr>
            <w:r w:rsidRPr="00E76F93">
              <w:rPr>
                <w:rFonts w:ascii="Times New Roman" w:eastAsia="Calibri" w:hAnsi="Times New Roman" w:cs="Times New Roman"/>
                <w:sz w:val="20"/>
                <w:szCs w:val="20"/>
              </w:rPr>
              <w:t>Of the invited meat handlers to the offsite training from intervention shops (excluding control shops), 91% (183/202) of them attended the training: 94% (94/101) for TNM and 88% (89/101) for TNMI shops</w:t>
            </w:r>
            <w:r w:rsidR="00A57D83" w:rsidRPr="00F57C8A">
              <w:rPr>
                <w:rFonts w:ascii="Times New Roman" w:eastAsia="Calibri" w:hAnsi="Times New Roman" w:cs="Times New Roman"/>
                <w:sz w:val="20"/>
                <w:szCs w:val="20"/>
              </w:rPr>
              <w:t>.</w:t>
            </w:r>
            <w:r w:rsidR="00120A08" w:rsidRPr="00F57C8A">
              <w:rPr>
                <w:rFonts w:ascii="Times New Roman" w:eastAsia="Calibri" w:hAnsi="Times New Roman" w:cs="Times New Roman"/>
                <w:sz w:val="20"/>
                <w:szCs w:val="20"/>
              </w:rPr>
              <w:t xml:space="preserve"> </w:t>
            </w:r>
            <w:r w:rsidR="0081592C">
              <w:rPr>
                <w:rFonts w:ascii="Times New Roman" w:eastAsia="Calibri" w:hAnsi="Times New Roman" w:cs="Times New Roman"/>
                <w:sz w:val="20"/>
                <w:szCs w:val="20"/>
              </w:rPr>
              <w:t xml:space="preserve">About </w:t>
            </w:r>
            <w:r w:rsidR="00766FF1" w:rsidRPr="00766FF1">
              <w:rPr>
                <w:rFonts w:ascii="Times New Roman" w:eastAsia="Calibri" w:hAnsi="Times New Roman" w:cs="Times New Roman"/>
                <w:sz w:val="20"/>
                <w:szCs w:val="20"/>
              </w:rPr>
              <w:t>95% (192/202) of the shops trained</w:t>
            </w:r>
            <w:r w:rsidR="0081592C">
              <w:rPr>
                <w:rFonts w:ascii="Times New Roman" w:eastAsia="Calibri" w:hAnsi="Times New Roman" w:cs="Times New Roman"/>
                <w:sz w:val="20"/>
                <w:szCs w:val="20"/>
              </w:rPr>
              <w:t xml:space="preserve"> during on-the-job training</w:t>
            </w:r>
            <w:r w:rsidR="00766FF1" w:rsidRPr="00766FF1">
              <w:rPr>
                <w:rFonts w:ascii="Times New Roman" w:eastAsia="Calibri" w:hAnsi="Times New Roman" w:cs="Times New Roman"/>
                <w:sz w:val="20"/>
                <w:szCs w:val="20"/>
              </w:rPr>
              <w:t xml:space="preserve">: 96% (97/101) for TNM and 94% (95/101) for TNMI shops. </w:t>
            </w:r>
          </w:p>
        </w:tc>
        <w:tc>
          <w:tcPr>
            <w:tcW w:w="1843" w:type="dxa"/>
            <w:tcBorders>
              <w:top w:val="nil"/>
              <w:left w:val="nil"/>
              <w:bottom w:val="single" w:sz="4" w:space="0" w:color="auto"/>
              <w:right w:val="single" w:sz="4" w:space="0" w:color="auto"/>
            </w:tcBorders>
          </w:tcPr>
          <w:p w14:paraId="383DAF5F" w14:textId="6858A769" w:rsidR="00200C2E" w:rsidRPr="00525BCB" w:rsidRDefault="00525BCB" w:rsidP="00200C2E">
            <w:pPr>
              <w:spacing w:line="360" w:lineRule="auto"/>
              <w:rPr>
                <w:rFonts w:ascii="Times New Roman" w:eastAsia="Calibri" w:hAnsi="Times New Roman" w:cs="Times New Roman"/>
                <w:b/>
                <w:bCs/>
                <w:sz w:val="20"/>
                <w:szCs w:val="20"/>
                <w:u w:val="single"/>
              </w:rPr>
            </w:pPr>
            <w:r w:rsidRPr="00525BCB">
              <w:rPr>
                <w:rFonts w:ascii="Times New Roman" w:eastAsia="Calibri" w:hAnsi="Times New Roman" w:cs="Times New Roman"/>
                <w:b/>
                <w:bCs/>
                <w:sz w:val="20"/>
                <w:szCs w:val="20"/>
                <w:u w:val="single"/>
              </w:rPr>
              <w:t xml:space="preserve">      16</w:t>
            </w:r>
          </w:p>
        </w:tc>
        <w:tc>
          <w:tcPr>
            <w:tcW w:w="1843" w:type="dxa"/>
            <w:tcBorders>
              <w:top w:val="nil"/>
              <w:left w:val="single" w:sz="4" w:space="0" w:color="auto"/>
              <w:bottom w:val="single" w:sz="4" w:space="0" w:color="auto"/>
            </w:tcBorders>
          </w:tcPr>
          <w:p w14:paraId="383DAF60" w14:textId="77777777" w:rsidR="00200C2E" w:rsidRPr="00F57C8A" w:rsidRDefault="001003E1" w:rsidP="00200C2E">
            <w:pPr>
              <w:spacing w:line="360" w:lineRule="auto"/>
              <w:rPr>
                <w:rFonts w:ascii="Times New Roman" w:eastAsia="Calibri" w:hAnsi="Times New Roman" w:cs="Times New Roman"/>
                <w:sz w:val="20"/>
                <w:szCs w:val="20"/>
              </w:rPr>
            </w:pPr>
            <w:r w:rsidRPr="00F57C8A">
              <w:rPr>
                <w:rFonts w:ascii="Times New Roman" w:eastAsia="Calibri" w:hAnsi="Times New Roman" w:cs="Times New Roman"/>
                <w:sz w:val="20"/>
                <w:szCs w:val="20"/>
              </w:rPr>
              <w:t>_____________</w:t>
            </w:r>
          </w:p>
        </w:tc>
      </w:tr>
    </w:tbl>
    <w:p w14:paraId="383DAF62" w14:textId="77777777" w:rsidR="00DF0ADB" w:rsidRPr="00F57C8A" w:rsidRDefault="005D598F" w:rsidP="00DF0ADB">
      <w:pPr>
        <w:spacing w:before="240" w:after="0"/>
        <w:ind w:left="142" w:hanging="284"/>
        <w:rPr>
          <w:rFonts w:ascii="Times New Roman" w:eastAsia="Times New Roman" w:hAnsi="Times New Roman" w:cs="Times New Roman"/>
          <w:sz w:val="20"/>
          <w:szCs w:val="20"/>
          <w:lang w:eastAsia="zh-CN"/>
        </w:rPr>
      </w:pPr>
      <w:r w:rsidRPr="00F57C8A">
        <w:rPr>
          <w:rFonts w:ascii="Times New Roman" w:eastAsia="Times New Roman" w:hAnsi="Times New Roman" w:cs="Times New Roman"/>
          <w:sz w:val="20"/>
          <w:szCs w:val="20"/>
          <w:lang w:eastAsia="zh-CN"/>
        </w:rPr>
        <w:t xml:space="preserve">** </w:t>
      </w:r>
      <w:r w:rsidR="00DF0ADB" w:rsidRPr="00F57C8A">
        <w:rPr>
          <w:rFonts w:ascii="Times New Roman" w:eastAsia="Times New Roman" w:hAnsi="Times New Roman" w:cs="Times New Roman"/>
          <w:b/>
          <w:bCs/>
          <w:sz w:val="20"/>
          <w:szCs w:val="20"/>
          <w:lang w:eastAsia="zh-CN"/>
        </w:rPr>
        <w:t>Authors</w:t>
      </w:r>
      <w:r w:rsidR="00DF0ADB" w:rsidRPr="00F57C8A">
        <w:rPr>
          <w:rFonts w:ascii="Times New Roman" w:eastAsia="Times New Roman" w:hAnsi="Times New Roman" w:cs="Times New Roman"/>
          <w:sz w:val="20"/>
          <w:szCs w:val="20"/>
          <w:lang w:eastAsia="zh-CN"/>
        </w:rPr>
        <w:t xml:space="preserve"> - u</w:t>
      </w:r>
      <w:r w:rsidRPr="00F57C8A">
        <w:rPr>
          <w:rFonts w:ascii="Times New Roman" w:eastAsia="Times New Roman" w:hAnsi="Times New Roman" w:cs="Times New Roman"/>
          <w:sz w:val="20"/>
          <w:szCs w:val="20"/>
          <w:lang w:eastAsia="zh-CN"/>
        </w:rPr>
        <w:t xml:space="preserve">se </w:t>
      </w:r>
      <w:r w:rsidR="00DF0ADB" w:rsidRPr="00F57C8A">
        <w:rPr>
          <w:rFonts w:ascii="Times New Roman" w:eastAsia="Times New Roman" w:hAnsi="Times New Roman" w:cs="Times New Roman"/>
          <w:sz w:val="20"/>
          <w:szCs w:val="20"/>
          <w:lang w:eastAsia="zh-CN"/>
        </w:rPr>
        <w:t xml:space="preserve">N/A </w:t>
      </w:r>
      <w:r w:rsidRPr="00F57C8A">
        <w:rPr>
          <w:rFonts w:ascii="Times New Roman" w:eastAsia="Times New Roman" w:hAnsi="Times New Roman" w:cs="Times New Roman"/>
          <w:sz w:val="20"/>
          <w:szCs w:val="20"/>
          <w:lang w:eastAsia="zh-CN"/>
        </w:rPr>
        <w:t xml:space="preserve">if </w:t>
      </w:r>
      <w:r w:rsidR="00DF0ADB" w:rsidRPr="00F57C8A">
        <w:rPr>
          <w:rFonts w:ascii="Times New Roman" w:eastAsia="Times New Roman" w:hAnsi="Times New Roman" w:cs="Times New Roman"/>
          <w:sz w:val="20"/>
          <w:szCs w:val="20"/>
          <w:lang w:eastAsia="zh-CN"/>
        </w:rPr>
        <w:t xml:space="preserve">an </w:t>
      </w:r>
      <w:r w:rsidRPr="00F57C8A">
        <w:rPr>
          <w:rFonts w:ascii="Times New Roman" w:eastAsia="Times New Roman" w:hAnsi="Times New Roman" w:cs="Times New Roman"/>
          <w:sz w:val="20"/>
          <w:szCs w:val="20"/>
          <w:lang w:eastAsia="zh-CN"/>
        </w:rPr>
        <w:t xml:space="preserve">item </w:t>
      </w:r>
      <w:r w:rsidR="00DF0ADB" w:rsidRPr="00F57C8A">
        <w:rPr>
          <w:rFonts w:ascii="Times New Roman" w:eastAsia="Times New Roman" w:hAnsi="Times New Roman" w:cs="Times New Roman"/>
          <w:sz w:val="20"/>
          <w:szCs w:val="20"/>
          <w:lang w:eastAsia="zh-CN"/>
        </w:rPr>
        <w:t xml:space="preserve">is </w:t>
      </w:r>
      <w:r w:rsidRPr="00F57C8A">
        <w:rPr>
          <w:rFonts w:ascii="Times New Roman" w:eastAsia="Times New Roman" w:hAnsi="Times New Roman" w:cs="Times New Roman"/>
          <w:sz w:val="20"/>
          <w:szCs w:val="20"/>
          <w:lang w:eastAsia="zh-CN"/>
        </w:rPr>
        <w:t xml:space="preserve">not applicable for </w:t>
      </w:r>
      <w:r w:rsidR="00DF0ADB" w:rsidRPr="00F57C8A">
        <w:rPr>
          <w:rFonts w:ascii="Times New Roman" w:eastAsia="Times New Roman" w:hAnsi="Times New Roman" w:cs="Times New Roman"/>
          <w:sz w:val="20"/>
          <w:szCs w:val="20"/>
          <w:lang w:eastAsia="zh-CN"/>
        </w:rPr>
        <w:t xml:space="preserve">the </w:t>
      </w:r>
      <w:r w:rsidRPr="00F57C8A">
        <w:rPr>
          <w:rFonts w:ascii="Times New Roman" w:eastAsia="Times New Roman" w:hAnsi="Times New Roman" w:cs="Times New Roman"/>
          <w:sz w:val="20"/>
          <w:szCs w:val="20"/>
          <w:lang w:eastAsia="zh-CN"/>
        </w:rPr>
        <w:t xml:space="preserve">intervention being described. </w:t>
      </w:r>
      <w:r w:rsidRPr="00F57C8A">
        <w:rPr>
          <w:rFonts w:ascii="Times New Roman" w:eastAsia="Times New Roman" w:hAnsi="Times New Roman" w:cs="Times New Roman"/>
          <w:b/>
          <w:bCs/>
          <w:sz w:val="20"/>
          <w:szCs w:val="20"/>
          <w:lang w:eastAsia="zh-CN"/>
        </w:rPr>
        <w:t>Reviewers</w:t>
      </w:r>
      <w:r w:rsidRPr="00F57C8A">
        <w:rPr>
          <w:rFonts w:ascii="Times New Roman" w:eastAsia="Times New Roman" w:hAnsi="Times New Roman" w:cs="Times New Roman"/>
          <w:sz w:val="20"/>
          <w:szCs w:val="20"/>
          <w:lang w:eastAsia="zh-CN"/>
        </w:rPr>
        <w:t xml:space="preserve"> – use ‘?’ if information about the element is not reported/not </w:t>
      </w:r>
      <w:r w:rsidR="00DF0ADB" w:rsidRPr="00F57C8A">
        <w:rPr>
          <w:rFonts w:ascii="Times New Roman" w:eastAsia="Times New Roman" w:hAnsi="Times New Roman" w:cs="Times New Roman"/>
          <w:sz w:val="20"/>
          <w:szCs w:val="20"/>
          <w:lang w:eastAsia="zh-CN"/>
        </w:rPr>
        <w:t xml:space="preserve">  </w:t>
      </w:r>
      <w:r w:rsidRPr="00F57C8A">
        <w:rPr>
          <w:rFonts w:ascii="Times New Roman" w:eastAsia="Times New Roman" w:hAnsi="Times New Roman" w:cs="Times New Roman"/>
          <w:sz w:val="20"/>
          <w:szCs w:val="20"/>
          <w:lang w:eastAsia="zh-CN"/>
        </w:rPr>
        <w:t xml:space="preserve">sufficiently reported.        </w:t>
      </w:r>
    </w:p>
    <w:p w14:paraId="383DAF63" w14:textId="77777777" w:rsidR="00200C2E" w:rsidRPr="00F57C8A" w:rsidRDefault="00200C2E" w:rsidP="00DF0ADB">
      <w:pPr>
        <w:spacing w:before="240" w:after="0"/>
        <w:ind w:hanging="142"/>
        <w:rPr>
          <w:rFonts w:ascii="Times New Roman" w:eastAsia="SimSun" w:hAnsi="Times New Roman" w:cs="Times New Roman"/>
          <w:sz w:val="20"/>
          <w:szCs w:val="20"/>
          <w:lang w:val="en-US" w:eastAsia="zh-CN"/>
        </w:rPr>
      </w:pPr>
      <w:r w:rsidRPr="00F57C8A">
        <w:rPr>
          <w:rFonts w:ascii="Times New Roman" w:eastAsia="Times New Roman" w:hAnsi="Times New Roman" w:cs="Times New Roman"/>
          <w:sz w:val="20"/>
          <w:szCs w:val="20"/>
          <w:lang w:eastAsia="zh-CN"/>
        </w:rPr>
        <w:t>†</w:t>
      </w:r>
      <w:r w:rsidR="00DF0ADB" w:rsidRPr="00F57C8A">
        <w:rPr>
          <w:rFonts w:ascii="Times New Roman" w:eastAsia="Times New Roman" w:hAnsi="Times New Roman" w:cs="Times New Roman"/>
          <w:sz w:val="20"/>
          <w:szCs w:val="20"/>
          <w:lang w:eastAsia="zh-CN"/>
        </w:rPr>
        <w:t xml:space="preserve"> If the information is not provided in the primary paper, give details of where this information is available. </w:t>
      </w:r>
      <w:r w:rsidRPr="00F57C8A">
        <w:rPr>
          <w:rFonts w:ascii="Times New Roman" w:eastAsia="SimSun" w:hAnsi="Times New Roman" w:cs="Times New Roman"/>
          <w:sz w:val="20"/>
          <w:szCs w:val="20"/>
          <w:lang w:val="en-US" w:eastAsia="zh-CN"/>
        </w:rPr>
        <w:t xml:space="preserve">This may include locations such as a published protocol </w:t>
      </w:r>
      <w:r w:rsidR="00DF0ADB" w:rsidRPr="00F57C8A">
        <w:rPr>
          <w:rFonts w:ascii="Times New Roman" w:eastAsia="SimSun" w:hAnsi="Times New Roman" w:cs="Times New Roman"/>
          <w:sz w:val="20"/>
          <w:szCs w:val="20"/>
          <w:lang w:val="en-US" w:eastAsia="zh-CN"/>
        </w:rPr>
        <w:t xml:space="preserve">     </w:t>
      </w:r>
      <w:r w:rsidRPr="00F57C8A">
        <w:rPr>
          <w:rFonts w:ascii="Times New Roman" w:eastAsia="SimSun" w:hAnsi="Times New Roman" w:cs="Times New Roman"/>
          <w:sz w:val="20"/>
          <w:szCs w:val="20"/>
          <w:lang w:val="en-US" w:eastAsia="zh-CN"/>
        </w:rPr>
        <w:t>or other published papers (provide citation details) or a website (provide the URL).</w:t>
      </w:r>
    </w:p>
    <w:p w14:paraId="383DAF64" w14:textId="77777777" w:rsidR="00200C2E" w:rsidRPr="00F57C8A" w:rsidRDefault="00200C2E" w:rsidP="00DF0ADB">
      <w:pPr>
        <w:ind w:left="-142"/>
        <w:rPr>
          <w:rFonts w:ascii="Times New Roman" w:eastAsia="Times New Roman" w:hAnsi="Times New Roman" w:cs="Times New Roman"/>
          <w:color w:val="000000"/>
          <w:kern w:val="24"/>
          <w:sz w:val="20"/>
          <w:szCs w:val="20"/>
          <w:lang w:val="en-GB" w:eastAsia="zh-CN"/>
        </w:rPr>
      </w:pPr>
      <w:r w:rsidRPr="00F57C8A">
        <w:rPr>
          <w:rFonts w:ascii="Times New Roman" w:eastAsia="Times New Roman" w:hAnsi="Times New Roman" w:cs="Times New Roman"/>
          <w:color w:val="000000"/>
          <w:kern w:val="24"/>
          <w:sz w:val="20"/>
          <w:szCs w:val="20"/>
          <w:lang w:val="en-GB" w:eastAsia="zh-CN"/>
        </w:rPr>
        <w:t>ǂ</w:t>
      </w:r>
      <w:r w:rsidR="00DF0ADB" w:rsidRPr="00F57C8A">
        <w:rPr>
          <w:rFonts w:ascii="Times New Roman" w:eastAsia="Times New Roman" w:hAnsi="Times New Roman" w:cs="Times New Roman"/>
          <w:color w:val="000000"/>
          <w:kern w:val="24"/>
          <w:sz w:val="20"/>
          <w:szCs w:val="20"/>
          <w:lang w:val="en-GB" w:eastAsia="zh-CN"/>
        </w:rPr>
        <w:t xml:space="preserve"> </w:t>
      </w:r>
      <w:r w:rsidRPr="00F57C8A">
        <w:rPr>
          <w:rFonts w:ascii="Times New Roman" w:eastAsia="Times New Roman" w:hAnsi="Times New Roman" w:cs="Times New Roman"/>
          <w:color w:val="000000"/>
          <w:kern w:val="24"/>
          <w:sz w:val="20"/>
          <w:szCs w:val="20"/>
          <w:lang w:val="en-GB" w:eastAsia="zh-CN"/>
        </w:rPr>
        <w:t>If completing the TID</w:t>
      </w:r>
      <w:r w:rsidR="00F6748D" w:rsidRPr="00F57C8A">
        <w:rPr>
          <w:rFonts w:ascii="Times New Roman" w:eastAsia="Times New Roman" w:hAnsi="Times New Roman" w:cs="Times New Roman"/>
          <w:color w:val="000000"/>
          <w:kern w:val="24"/>
          <w:sz w:val="20"/>
          <w:szCs w:val="20"/>
          <w:lang w:val="en-GB" w:eastAsia="zh-CN"/>
        </w:rPr>
        <w:t>ie</w:t>
      </w:r>
      <w:r w:rsidRPr="00F57C8A">
        <w:rPr>
          <w:rFonts w:ascii="Times New Roman" w:eastAsia="Times New Roman" w:hAnsi="Times New Roman" w:cs="Times New Roman"/>
          <w:color w:val="000000"/>
          <w:kern w:val="24"/>
          <w:sz w:val="20"/>
          <w:szCs w:val="20"/>
          <w:lang w:val="en-GB" w:eastAsia="zh-CN"/>
        </w:rPr>
        <w:t xml:space="preserve">R checklist for a protocol, these items are not relevant to the protocol and cannot be described until the study </w:t>
      </w:r>
      <w:r w:rsidR="00DF0ADB" w:rsidRPr="00F57C8A">
        <w:rPr>
          <w:rFonts w:ascii="Times New Roman" w:eastAsia="Times New Roman" w:hAnsi="Times New Roman" w:cs="Times New Roman"/>
          <w:color w:val="000000"/>
          <w:kern w:val="24"/>
          <w:sz w:val="20"/>
          <w:szCs w:val="20"/>
          <w:lang w:val="en-GB" w:eastAsia="zh-CN"/>
        </w:rPr>
        <w:t>is</w:t>
      </w:r>
      <w:r w:rsidRPr="00F57C8A">
        <w:rPr>
          <w:rFonts w:ascii="Times New Roman" w:eastAsia="Times New Roman" w:hAnsi="Times New Roman" w:cs="Times New Roman"/>
          <w:color w:val="000000"/>
          <w:kern w:val="24"/>
          <w:sz w:val="20"/>
          <w:szCs w:val="20"/>
          <w:lang w:val="en-GB" w:eastAsia="zh-CN"/>
        </w:rPr>
        <w:t xml:space="preserve"> complete.</w:t>
      </w:r>
    </w:p>
    <w:p w14:paraId="383DAF65" w14:textId="77777777" w:rsidR="0029581A" w:rsidRPr="00F57C8A" w:rsidRDefault="000C514A" w:rsidP="00704F23">
      <w:pPr>
        <w:spacing w:before="240"/>
        <w:ind w:hanging="142"/>
        <w:rPr>
          <w:rFonts w:ascii="Times New Roman" w:hAnsi="Times New Roman" w:cs="Times New Roman"/>
          <w:sz w:val="20"/>
          <w:szCs w:val="20"/>
        </w:rPr>
      </w:pPr>
      <w:r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 xml:space="preserve">We strongly recommend using this checklist in conjunction with the TIDieR guide </w:t>
      </w:r>
      <w:r w:rsidRPr="00F57C8A">
        <w:rPr>
          <w:rFonts w:ascii="Times New Roman" w:hAnsi="Times New Roman" w:cs="Times New Roman"/>
          <w:sz w:val="20"/>
          <w:szCs w:val="20"/>
        </w:rPr>
        <w:t xml:space="preserve">(see </w:t>
      </w:r>
      <w:r w:rsidR="00025DB6" w:rsidRPr="00F57C8A">
        <w:rPr>
          <w:rFonts w:ascii="Times New Roman" w:hAnsi="Times New Roman" w:cs="Times New Roman"/>
          <w:i/>
          <w:sz w:val="20"/>
          <w:szCs w:val="20"/>
        </w:rPr>
        <w:t>BMJ</w:t>
      </w:r>
      <w:r w:rsidR="00025DB6" w:rsidRPr="00F57C8A">
        <w:rPr>
          <w:rFonts w:ascii="Times New Roman" w:hAnsi="Times New Roman" w:cs="Times New Roman"/>
          <w:sz w:val="20"/>
          <w:szCs w:val="20"/>
        </w:rPr>
        <w:t xml:space="preserve"> 2014;</w:t>
      </w:r>
      <w:proofErr w:type="gramStart"/>
      <w:r w:rsidR="00025DB6" w:rsidRPr="00F57C8A">
        <w:rPr>
          <w:rFonts w:ascii="Times New Roman" w:hAnsi="Times New Roman" w:cs="Times New Roman"/>
          <w:sz w:val="20"/>
          <w:szCs w:val="20"/>
        </w:rPr>
        <w:t>348:g</w:t>
      </w:r>
      <w:proofErr w:type="gramEnd"/>
      <w:r w:rsidR="00025DB6" w:rsidRPr="00F57C8A">
        <w:rPr>
          <w:rFonts w:ascii="Times New Roman" w:hAnsi="Times New Roman" w:cs="Times New Roman"/>
          <w:sz w:val="20"/>
          <w:szCs w:val="20"/>
        </w:rPr>
        <w:t>1687</w:t>
      </w:r>
      <w:r w:rsidR="00704F23"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which contains an explanation and elaboration for each item</w:t>
      </w:r>
      <w:r w:rsidRPr="00F57C8A">
        <w:rPr>
          <w:rFonts w:ascii="Times New Roman" w:hAnsi="Times New Roman" w:cs="Times New Roman"/>
          <w:sz w:val="20"/>
          <w:szCs w:val="20"/>
        </w:rPr>
        <w:t>.</w:t>
      </w:r>
    </w:p>
    <w:p w14:paraId="383DAF66" w14:textId="310CC93E" w:rsidR="00D95915" w:rsidRPr="00F57C8A" w:rsidRDefault="000C514A" w:rsidP="00352C86">
      <w:pPr>
        <w:ind w:hanging="142"/>
        <w:rPr>
          <w:rFonts w:ascii="Times New Roman" w:hAnsi="Times New Roman" w:cs="Times New Roman"/>
          <w:sz w:val="20"/>
          <w:szCs w:val="20"/>
        </w:rPr>
      </w:pPr>
      <w:r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The focus of TIDieR is on reporting details of the intervention elements</w:t>
      </w:r>
      <w:r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and where relevant</w:t>
      </w:r>
      <w:r w:rsidRPr="00F57C8A">
        <w:rPr>
          <w:rFonts w:ascii="Times New Roman" w:hAnsi="Times New Roman" w:cs="Times New Roman"/>
          <w:sz w:val="20"/>
          <w:szCs w:val="20"/>
        </w:rPr>
        <w:t>,</w:t>
      </w:r>
      <w:r w:rsidR="0029581A" w:rsidRPr="00F57C8A">
        <w:rPr>
          <w:rFonts w:ascii="Times New Roman" w:hAnsi="Times New Roman" w:cs="Times New Roman"/>
          <w:sz w:val="20"/>
          <w:szCs w:val="20"/>
        </w:rPr>
        <w:t xml:space="preserve"> comparison</w:t>
      </w:r>
      <w:r w:rsidRPr="00F57C8A">
        <w:rPr>
          <w:rFonts w:ascii="Times New Roman" w:hAnsi="Times New Roman" w:cs="Times New Roman"/>
          <w:sz w:val="20"/>
          <w:szCs w:val="20"/>
        </w:rPr>
        <w:t xml:space="preserve"> elements)</w:t>
      </w:r>
      <w:r w:rsidR="0029581A" w:rsidRPr="00F57C8A">
        <w:rPr>
          <w:rFonts w:ascii="Times New Roman" w:hAnsi="Times New Roman" w:cs="Times New Roman"/>
          <w:sz w:val="20"/>
          <w:szCs w:val="20"/>
        </w:rPr>
        <w:t xml:space="preserve"> of a study. Other elements and methodological features of studies are covered by other reporting statements and checklists and have not been duplicated as part of the TIDieR checklist</w:t>
      </w:r>
      <w:r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 xml:space="preserve">When a </w:t>
      </w:r>
      <w:r w:rsidR="0029581A" w:rsidRPr="00F57C8A">
        <w:rPr>
          <w:rFonts w:ascii="Times New Roman" w:hAnsi="Times New Roman" w:cs="Times New Roman"/>
          <w:b/>
          <w:bCs/>
          <w:sz w:val="20"/>
          <w:szCs w:val="20"/>
        </w:rPr>
        <w:t>randomised trial</w:t>
      </w:r>
      <w:r w:rsidR="0029581A" w:rsidRPr="00F57C8A">
        <w:rPr>
          <w:rFonts w:ascii="Times New Roman" w:hAnsi="Times New Roman" w:cs="Times New Roman"/>
          <w:sz w:val="20"/>
          <w:szCs w:val="20"/>
        </w:rPr>
        <w:t xml:space="preserve"> is being reported,</w:t>
      </w:r>
      <w:r w:rsidRPr="00F57C8A">
        <w:rPr>
          <w:rFonts w:ascii="Times New Roman" w:hAnsi="Times New Roman" w:cs="Times New Roman"/>
          <w:sz w:val="20"/>
          <w:szCs w:val="20"/>
        </w:rPr>
        <w:t xml:space="preserve"> </w:t>
      </w:r>
      <w:r w:rsidR="0029581A" w:rsidRPr="00F57C8A">
        <w:rPr>
          <w:rFonts w:ascii="Times New Roman" w:hAnsi="Times New Roman" w:cs="Times New Roman"/>
          <w:sz w:val="20"/>
          <w:szCs w:val="20"/>
        </w:rPr>
        <w:t xml:space="preserve">the TIDieR checklist </w:t>
      </w:r>
      <w:r w:rsidR="00F6748D" w:rsidRPr="00F57C8A">
        <w:rPr>
          <w:rFonts w:ascii="Times New Roman" w:hAnsi="Times New Roman" w:cs="Times New Roman"/>
          <w:sz w:val="20"/>
          <w:szCs w:val="20"/>
        </w:rPr>
        <w:t xml:space="preserve">should be used in conjunction with the CONSORT statement (see </w:t>
      </w:r>
      <w:hyperlink r:id="rId9" w:history="1">
        <w:r w:rsidR="00F6748D" w:rsidRPr="00F57C8A">
          <w:rPr>
            <w:rStyle w:val="Hyperlink"/>
            <w:rFonts w:ascii="Times New Roman" w:hAnsi="Times New Roman" w:cs="Times New Roman"/>
            <w:sz w:val="20"/>
            <w:szCs w:val="20"/>
          </w:rPr>
          <w:t>www.consort-statement.org</w:t>
        </w:r>
      </w:hyperlink>
      <w:r w:rsidR="00F6748D" w:rsidRPr="00F57C8A">
        <w:rPr>
          <w:rFonts w:ascii="Times New Roman" w:hAnsi="Times New Roman" w:cs="Times New Roman"/>
          <w:sz w:val="20"/>
          <w:szCs w:val="20"/>
        </w:rPr>
        <w:t xml:space="preserve">) as </w:t>
      </w:r>
      <w:r w:rsidR="0029581A" w:rsidRPr="00F57C8A">
        <w:rPr>
          <w:rFonts w:ascii="Times New Roman" w:hAnsi="Times New Roman" w:cs="Times New Roman"/>
          <w:sz w:val="20"/>
          <w:szCs w:val="20"/>
        </w:rPr>
        <w:t xml:space="preserve">an extension of </w:t>
      </w:r>
      <w:r w:rsidRPr="00F57C8A">
        <w:rPr>
          <w:rFonts w:ascii="Times New Roman" w:hAnsi="Times New Roman" w:cs="Times New Roman"/>
          <w:b/>
          <w:bCs/>
          <w:sz w:val="20"/>
          <w:szCs w:val="20"/>
        </w:rPr>
        <w:t xml:space="preserve">Item 5 of </w:t>
      </w:r>
      <w:r w:rsidR="0029581A" w:rsidRPr="00F57C8A">
        <w:rPr>
          <w:rFonts w:ascii="Times New Roman" w:hAnsi="Times New Roman" w:cs="Times New Roman"/>
          <w:b/>
          <w:bCs/>
          <w:sz w:val="20"/>
          <w:szCs w:val="20"/>
        </w:rPr>
        <w:t>the CONSORT 2010 Statement</w:t>
      </w:r>
      <w:r w:rsidR="00F6748D" w:rsidRPr="00F57C8A">
        <w:rPr>
          <w:rFonts w:ascii="Times New Roman" w:hAnsi="Times New Roman" w:cs="Times New Roman"/>
          <w:b/>
          <w:bCs/>
          <w:sz w:val="20"/>
          <w:szCs w:val="20"/>
        </w:rPr>
        <w:t xml:space="preserve">. </w:t>
      </w:r>
      <w:r w:rsidRPr="00F57C8A">
        <w:rPr>
          <w:rFonts w:ascii="Times New Roman" w:hAnsi="Times New Roman" w:cs="Times New Roman"/>
          <w:sz w:val="20"/>
          <w:szCs w:val="20"/>
        </w:rPr>
        <w:t xml:space="preserve">When </w:t>
      </w:r>
      <w:r w:rsidR="00352C86" w:rsidRPr="00F57C8A">
        <w:rPr>
          <w:rFonts w:ascii="Times New Roman" w:hAnsi="Times New Roman" w:cs="Times New Roman"/>
          <w:sz w:val="20"/>
          <w:szCs w:val="20"/>
        </w:rPr>
        <w:t>a</w:t>
      </w:r>
      <w:r w:rsidRPr="00F57C8A">
        <w:rPr>
          <w:rFonts w:ascii="Times New Roman" w:hAnsi="Times New Roman" w:cs="Times New Roman"/>
          <w:b/>
          <w:bCs/>
          <w:sz w:val="20"/>
          <w:szCs w:val="20"/>
        </w:rPr>
        <w:t xml:space="preserve"> </w:t>
      </w:r>
      <w:r w:rsidR="002012ED" w:rsidRPr="00F57C8A">
        <w:rPr>
          <w:rFonts w:ascii="Times New Roman" w:hAnsi="Times New Roman" w:cs="Times New Roman"/>
          <w:b/>
          <w:bCs/>
          <w:sz w:val="20"/>
          <w:szCs w:val="20"/>
        </w:rPr>
        <w:t>clinical</w:t>
      </w:r>
      <w:r w:rsidRPr="00F57C8A">
        <w:rPr>
          <w:rFonts w:ascii="Times New Roman" w:hAnsi="Times New Roman" w:cs="Times New Roman"/>
          <w:b/>
          <w:bCs/>
          <w:sz w:val="20"/>
          <w:szCs w:val="20"/>
        </w:rPr>
        <w:t xml:space="preserve"> trial</w:t>
      </w:r>
      <w:r w:rsidRPr="00F57C8A">
        <w:rPr>
          <w:rFonts w:ascii="Times New Roman" w:hAnsi="Times New Roman" w:cs="Times New Roman"/>
          <w:sz w:val="20"/>
          <w:szCs w:val="20"/>
        </w:rPr>
        <w:t xml:space="preserve"> </w:t>
      </w:r>
      <w:r w:rsidR="00352C86" w:rsidRPr="00F57C8A">
        <w:rPr>
          <w:rFonts w:ascii="Times New Roman" w:hAnsi="Times New Roman" w:cs="Times New Roman"/>
          <w:b/>
          <w:bCs/>
          <w:sz w:val="20"/>
          <w:szCs w:val="20"/>
        </w:rPr>
        <w:t>protocol</w:t>
      </w:r>
      <w:r w:rsidR="00352C86" w:rsidRPr="00F57C8A">
        <w:rPr>
          <w:rFonts w:ascii="Times New Roman" w:hAnsi="Times New Roman" w:cs="Times New Roman"/>
          <w:sz w:val="20"/>
          <w:szCs w:val="20"/>
        </w:rPr>
        <w:t xml:space="preserve"> </w:t>
      </w:r>
      <w:r w:rsidRPr="00F57C8A">
        <w:rPr>
          <w:rFonts w:ascii="Times New Roman" w:hAnsi="Times New Roman" w:cs="Times New Roman"/>
          <w:sz w:val="20"/>
          <w:szCs w:val="20"/>
        </w:rPr>
        <w:t xml:space="preserve">is being reported, the TIDieR checklist </w:t>
      </w:r>
      <w:r w:rsidR="00F6748D" w:rsidRPr="00F57C8A">
        <w:rPr>
          <w:rFonts w:ascii="Times New Roman" w:hAnsi="Times New Roman" w:cs="Times New Roman"/>
          <w:sz w:val="20"/>
          <w:szCs w:val="20"/>
        </w:rPr>
        <w:t>should be used in conjunction with the SPIRIT statement as</w:t>
      </w:r>
      <w:r w:rsidRPr="00F57C8A">
        <w:rPr>
          <w:rFonts w:ascii="Times New Roman" w:hAnsi="Times New Roman" w:cs="Times New Roman"/>
          <w:sz w:val="20"/>
          <w:szCs w:val="20"/>
        </w:rPr>
        <w:t xml:space="preserve"> an extension of </w:t>
      </w:r>
      <w:r w:rsidRPr="00F57C8A">
        <w:rPr>
          <w:rFonts w:ascii="Times New Roman" w:hAnsi="Times New Roman" w:cs="Times New Roman"/>
          <w:b/>
          <w:bCs/>
          <w:sz w:val="20"/>
          <w:szCs w:val="20"/>
        </w:rPr>
        <w:t xml:space="preserve">Item 11 of the </w:t>
      </w:r>
      <w:r w:rsidR="0029581A" w:rsidRPr="00F57C8A">
        <w:rPr>
          <w:rFonts w:ascii="Times New Roman" w:hAnsi="Times New Roman" w:cs="Times New Roman"/>
          <w:b/>
          <w:bCs/>
          <w:sz w:val="20"/>
          <w:szCs w:val="20"/>
        </w:rPr>
        <w:t>SPIRIT 2013 Statement</w:t>
      </w:r>
      <w:r w:rsidR="0029581A" w:rsidRPr="00F57C8A">
        <w:rPr>
          <w:rFonts w:ascii="Times New Roman" w:hAnsi="Times New Roman" w:cs="Times New Roman"/>
          <w:sz w:val="20"/>
          <w:szCs w:val="20"/>
        </w:rPr>
        <w:t xml:space="preserve"> (</w:t>
      </w:r>
      <w:r w:rsidRPr="00F57C8A">
        <w:rPr>
          <w:rFonts w:ascii="Times New Roman" w:hAnsi="Times New Roman" w:cs="Times New Roman"/>
          <w:sz w:val="20"/>
          <w:szCs w:val="20"/>
        </w:rPr>
        <w:t xml:space="preserve">see </w:t>
      </w:r>
      <w:hyperlink r:id="rId10" w:history="1">
        <w:r w:rsidR="002012ED" w:rsidRPr="00F57C8A">
          <w:rPr>
            <w:rStyle w:val="Hyperlink"/>
            <w:rFonts w:ascii="Times New Roman" w:hAnsi="Times New Roman" w:cs="Times New Roman"/>
            <w:sz w:val="20"/>
            <w:szCs w:val="20"/>
          </w:rPr>
          <w:t>www.spirit-statement.org</w:t>
        </w:r>
      </w:hyperlink>
      <w:r w:rsidRPr="00F57C8A">
        <w:rPr>
          <w:rFonts w:ascii="Times New Roman" w:hAnsi="Times New Roman" w:cs="Times New Roman"/>
          <w:sz w:val="20"/>
          <w:szCs w:val="20"/>
        </w:rPr>
        <w:t>)</w:t>
      </w:r>
      <w:r w:rsidR="00F6748D" w:rsidRPr="00F57C8A">
        <w:rPr>
          <w:rFonts w:ascii="Times New Roman" w:hAnsi="Times New Roman" w:cs="Times New Roman"/>
          <w:sz w:val="20"/>
          <w:szCs w:val="20"/>
        </w:rPr>
        <w:t xml:space="preserve">. </w:t>
      </w:r>
      <w:r w:rsidRPr="00F57C8A">
        <w:rPr>
          <w:rFonts w:ascii="Times New Roman" w:hAnsi="Times New Roman" w:cs="Times New Roman"/>
          <w:sz w:val="20"/>
          <w:szCs w:val="20"/>
        </w:rPr>
        <w:t>For alternate study designs, TIDieR can be used in conjunction with the appropriate checklist</w:t>
      </w:r>
      <w:r w:rsidR="00F6748D" w:rsidRPr="00F57C8A">
        <w:rPr>
          <w:rFonts w:ascii="Times New Roman" w:hAnsi="Times New Roman" w:cs="Times New Roman"/>
          <w:sz w:val="20"/>
          <w:szCs w:val="20"/>
        </w:rPr>
        <w:t xml:space="preserve"> for that study design (see </w:t>
      </w:r>
      <w:hyperlink r:id="rId11" w:history="1">
        <w:r w:rsidR="00F6748D" w:rsidRPr="00F57C8A">
          <w:rPr>
            <w:rStyle w:val="Hyperlink"/>
            <w:rFonts w:ascii="Times New Roman" w:hAnsi="Times New Roman" w:cs="Times New Roman"/>
            <w:sz w:val="20"/>
            <w:szCs w:val="20"/>
          </w:rPr>
          <w:t>www.equator-network.org</w:t>
        </w:r>
      </w:hyperlink>
      <w:r w:rsidR="00F6748D" w:rsidRPr="00F57C8A">
        <w:rPr>
          <w:rFonts w:ascii="Times New Roman" w:hAnsi="Times New Roman" w:cs="Times New Roman"/>
          <w:sz w:val="20"/>
          <w:szCs w:val="20"/>
        </w:rPr>
        <w:t xml:space="preserve">). </w:t>
      </w:r>
    </w:p>
    <w:p w14:paraId="365D36D1" w14:textId="51E6B9E2" w:rsidR="00F6748D" w:rsidRPr="00F57C8A" w:rsidRDefault="00D95915" w:rsidP="00126A07">
      <w:pPr>
        <w:rPr>
          <w:rFonts w:ascii="Times New Roman" w:hAnsi="Times New Roman" w:cs="Times New Roman"/>
          <w:sz w:val="20"/>
          <w:szCs w:val="20"/>
        </w:rPr>
      </w:pPr>
      <w:r w:rsidRPr="00F57C8A">
        <w:rPr>
          <w:rFonts w:ascii="Times New Roman" w:hAnsi="Times New Roman" w:cs="Times New Roman"/>
          <w:sz w:val="20"/>
          <w:szCs w:val="20"/>
        </w:rPr>
        <w:br w:type="page"/>
      </w:r>
      <w:r w:rsidRPr="00F57C8A">
        <w:rPr>
          <w:rFonts w:ascii="Times New Roman" w:hAnsi="Times New Roman" w:cs="Times New Roman"/>
          <w:sz w:val="20"/>
          <w:szCs w:val="20"/>
        </w:rPr>
        <w:lastRenderedPageBreak/>
        <w:t xml:space="preserve">References: </w:t>
      </w:r>
    </w:p>
    <w:p w14:paraId="66F8A302" w14:textId="77777777" w:rsidR="00C206CD" w:rsidRPr="00C206CD" w:rsidRDefault="00537FB7" w:rsidP="00C206CD">
      <w:pPr>
        <w:pStyle w:val="Bibliography"/>
        <w:rPr>
          <w:rFonts w:ascii="Times New Roman" w:hAnsi="Times New Roman" w:cs="Times New Roman"/>
          <w:sz w:val="20"/>
        </w:rPr>
      </w:pPr>
      <w:r w:rsidRPr="00F57C8A">
        <w:rPr>
          <w:sz w:val="20"/>
          <w:szCs w:val="20"/>
        </w:rPr>
        <w:fldChar w:fldCharType="begin" w:fldLock="1"/>
      </w:r>
      <w:r w:rsidR="006321A6">
        <w:rPr>
          <w:sz w:val="20"/>
          <w:szCs w:val="20"/>
        </w:rPr>
        <w:instrText xml:space="preserve"> ADDIN ZOTERO_BIBL {"uncited":[],"omitted":[],"custom":[]} CSL_BIBLIOGRAPHY </w:instrText>
      </w:r>
      <w:r w:rsidRPr="00F57C8A">
        <w:rPr>
          <w:sz w:val="20"/>
          <w:szCs w:val="20"/>
        </w:rPr>
        <w:fldChar w:fldCharType="separate"/>
      </w:r>
      <w:r w:rsidR="00C206CD" w:rsidRPr="00C206CD">
        <w:rPr>
          <w:rFonts w:ascii="Times New Roman" w:hAnsi="Times New Roman" w:cs="Times New Roman"/>
          <w:sz w:val="20"/>
        </w:rPr>
        <w:t>Amenu, K, G Dined, A Mekonnen, et al. 2024. “Guide for Hygienic and Safe Handling  of Meat in Butcher Houses in  Addis Ababa:Strengthening Capacity, Incentives and  Institutions for Food Safety in Ethiopia.” https://cgspace.cgiar.org/server/api/core/bitstreams/96a9200c-a094-453e-8776-8a56473c943c/content.</w:t>
      </w:r>
    </w:p>
    <w:p w14:paraId="6B925F5D"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Amenu, K, G Dinede, A Keba, et al. 2024. </w:t>
      </w:r>
      <w:r w:rsidRPr="00C206CD">
        <w:rPr>
          <w:rFonts w:ascii="Times New Roman" w:hAnsi="Times New Roman" w:cs="Times New Roman"/>
          <w:i/>
          <w:iCs/>
          <w:sz w:val="20"/>
        </w:rPr>
        <w:t>Stakeholder Workshop on the Dissemination of Findings of Interventions to Improve Food Safety in Red Meat Vendor Shops in Addis Ababa, Ethiopia</w:t>
      </w:r>
      <w:r w:rsidRPr="00C206CD">
        <w:rPr>
          <w:rFonts w:ascii="Times New Roman" w:hAnsi="Times New Roman" w:cs="Times New Roman"/>
          <w:sz w:val="20"/>
        </w:rPr>
        <w:t>.</w:t>
      </w:r>
    </w:p>
    <w:p w14:paraId="6961523E"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Arendt, Susan W., Paola Paez, and Catherine Strohbehn. 2013. “Food Safety Practices and Managers’ Perceptions: A Qualitative Study in Hospitality.” </w:t>
      </w:r>
      <w:r w:rsidRPr="00C206CD">
        <w:rPr>
          <w:rFonts w:ascii="Times New Roman" w:hAnsi="Times New Roman" w:cs="Times New Roman"/>
          <w:i/>
          <w:iCs/>
          <w:sz w:val="20"/>
        </w:rPr>
        <w:t>International Journal of Contemporary Hospitality Management</w:t>
      </w:r>
      <w:r w:rsidRPr="00C206CD">
        <w:rPr>
          <w:rFonts w:ascii="Times New Roman" w:hAnsi="Times New Roman" w:cs="Times New Roman"/>
          <w:sz w:val="20"/>
        </w:rPr>
        <w:t xml:space="preserve"> 25 (1): 124–39. https://doi.org/10.1108/09596111311290255.</w:t>
      </w:r>
    </w:p>
    <w:p w14:paraId="559CFE3F"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Cane, James, Denise O’Connor, and Susan Michie. 2012. “Validation of the Theoretical Domains Framework for Use in Behaviour Change and Implementation Research.” </w:t>
      </w:r>
      <w:r w:rsidRPr="00C206CD">
        <w:rPr>
          <w:rFonts w:ascii="Times New Roman" w:hAnsi="Times New Roman" w:cs="Times New Roman"/>
          <w:i/>
          <w:iCs/>
          <w:sz w:val="20"/>
        </w:rPr>
        <w:t>Implementation Science</w:t>
      </w:r>
      <w:r w:rsidRPr="00C206CD">
        <w:rPr>
          <w:rFonts w:ascii="Times New Roman" w:hAnsi="Times New Roman" w:cs="Times New Roman"/>
          <w:sz w:val="20"/>
        </w:rPr>
        <w:t xml:space="preserve"> 7 (1): 37. https://doi.org/10.1186/1748-5908-7-37.</w:t>
      </w:r>
    </w:p>
    <w:p w14:paraId="02D29C0B"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FAO and WHO. 2023. </w:t>
      </w:r>
      <w:r w:rsidRPr="00C206CD">
        <w:rPr>
          <w:rFonts w:ascii="Times New Roman" w:hAnsi="Times New Roman" w:cs="Times New Roman"/>
          <w:i/>
          <w:iCs/>
          <w:sz w:val="20"/>
        </w:rPr>
        <w:t>General Principles of Food Hygiene</w:t>
      </w:r>
      <w:r w:rsidRPr="00C206CD">
        <w:rPr>
          <w:rFonts w:ascii="Times New Roman" w:hAnsi="Times New Roman" w:cs="Times New Roman"/>
          <w:sz w:val="20"/>
        </w:rPr>
        <w:t>. FAO; WHO; https://doi.org/10.4060/cc6125en.</w:t>
      </w:r>
    </w:p>
    <w:p w14:paraId="64B90DB6"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Foy, Robbie, Jillian J Francis, Marie Johnston, et al. 2007. “The Development of a Theory-Based Intervention to Promote Appropriate Disclosure of a Diagnosis of Dementia.” </w:t>
      </w:r>
      <w:r w:rsidRPr="00C206CD">
        <w:rPr>
          <w:rFonts w:ascii="Times New Roman" w:hAnsi="Times New Roman" w:cs="Times New Roman"/>
          <w:i/>
          <w:iCs/>
          <w:sz w:val="20"/>
        </w:rPr>
        <w:t>BMC Health Services Research</w:t>
      </w:r>
      <w:r w:rsidRPr="00C206CD">
        <w:rPr>
          <w:rFonts w:ascii="Times New Roman" w:hAnsi="Times New Roman" w:cs="Times New Roman"/>
          <w:sz w:val="20"/>
        </w:rPr>
        <w:t xml:space="preserve"> 7 (1): 207. https://doi.org/10.1186/1472-6963-7-207.</w:t>
      </w:r>
    </w:p>
    <w:p w14:paraId="2A4FF668"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French, Simon D, Sally E Green, Denise A O’Connor, et al. 2012. “Developing Theory-Informed Behaviour Change Interventions to Implement Evidence into Practice: A Systematic Approach Using the Theoretical Domains Framework.” </w:t>
      </w:r>
      <w:r w:rsidRPr="00C206CD">
        <w:rPr>
          <w:rFonts w:ascii="Times New Roman" w:hAnsi="Times New Roman" w:cs="Times New Roman"/>
          <w:i/>
          <w:iCs/>
          <w:sz w:val="20"/>
        </w:rPr>
        <w:t>Implementation Science</w:t>
      </w:r>
      <w:r w:rsidRPr="00C206CD">
        <w:rPr>
          <w:rFonts w:ascii="Times New Roman" w:hAnsi="Times New Roman" w:cs="Times New Roman"/>
          <w:sz w:val="20"/>
        </w:rPr>
        <w:t xml:space="preserve"> 7 (1): 38. https://doi.org/10.1186/1748-5908-7-38.</w:t>
      </w:r>
    </w:p>
    <w:p w14:paraId="58ACC4DA"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Green, Laura R, and Carol Selman. 2005. “Workers ’ and Managers ’ Safe Food Preparation Practices : A Qualitative Study INTRODUCTION.” </w:t>
      </w:r>
      <w:r w:rsidRPr="00C206CD">
        <w:rPr>
          <w:rFonts w:ascii="Times New Roman" w:hAnsi="Times New Roman" w:cs="Times New Roman"/>
          <w:i/>
          <w:iCs/>
          <w:sz w:val="20"/>
        </w:rPr>
        <w:t>Food Protection Trends</w:t>
      </w:r>
      <w:r w:rsidRPr="00C206CD">
        <w:rPr>
          <w:rFonts w:ascii="Times New Roman" w:hAnsi="Times New Roman" w:cs="Times New Roman"/>
          <w:sz w:val="20"/>
        </w:rPr>
        <w:t xml:space="preserve"> 25 (12): 981–90.</w:t>
      </w:r>
    </w:p>
    <w:p w14:paraId="7708CD90"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Havelaar, Arie H., Kirk, Martyn D., Tprgerson, Paul R., Gibb, Herman J., Hald Tine.,Lake, Robin J., Praet,Nicolas, Bellinger, Dvid C., De Silva Nilanthi R., Gargouri, Neyla. 2015. “World Health Organization Global Estimates and Regional Comparisons of the Burden of Foodborne Disease in 2010.” </w:t>
      </w:r>
      <w:r w:rsidRPr="00C206CD">
        <w:rPr>
          <w:rFonts w:ascii="Times New Roman" w:hAnsi="Times New Roman" w:cs="Times New Roman"/>
          <w:i/>
          <w:iCs/>
          <w:sz w:val="20"/>
        </w:rPr>
        <w:t>PLoS Medicine</w:t>
      </w:r>
      <w:r w:rsidRPr="00C206CD">
        <w:rPr>
          <w:rFonts w:ascii="Times New Roman" w:hAnsi="Times New Roman" w:cs="Times New Roman"/>
          <w:sz w:val="20"/>
        </w:rPr>
        <w:t xml:space="preserve"> 12 (12): e1001923.</w:t>
      </w:r>
    </w:p>
    <w:p w14:paraId="27C2FC82"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Howells, Amber D., Kevin R. Roberts, Carol W. Shanklin, Valerie K. Pilling, Laura A. Brannon, and Betsy B. Barrett. 2008. “Restaurant Employees’ Perceptions of Barriers to Three Food Safety Practices.” </w:t>
      </w:r>
      <w:r w:rsidRPr="00C206CD">
        <w:rPr>
          <w:rFonts w:ascii="Times New Roman" w:hAnsi="Times New Roman" w:cs="Times New Roman"/>
          <w:i/>
          <w:iCs/>
          <w:sz w:val="20"/>
        </w:rPr>
        <w:t>Journal of the American Dietetic Association</w:t>
      </w:r>
      <w:r w:rsidRPr="00C206CD">
        <w:rPr>
          <w:rFonts w:ascii="Times New Roman" w:hAnsi="Times New Roman" w:cs="Times New Roman"/>
          <w:sz w:val="20"/>
        </w:rPr>
        <w:t xml:space="preserve"> 108 (8): 1345–49. https://doi.org/10.1016/j.jada.2008.05.010.</w:t>
      </w:r>
    </w:p>
    <w:p w14:paraId="7E5DCFFA"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Michie, Susan, Michelle Richardson, Marie Johnston, et al. 2013. “The Behavior Change Technique Taxonomy (v1) of 93 Hierarchically Clustered Techniques: Building an International Consensus for the Reporting of Behavior Change Interventions.” </w:t>
      </w:r>
      <w:r w:rsidRPr="00C206CD">
        <w:rPr>
          <w:rFonts w:ascii="Times New Roman" w:hAnsi="Times New Roman" w:cs="Times New Roman"/>
          <w:i/>
          <w:iCs/>
          <w:sz w:val="20"/>
        </w:rPr>
        <w:t>Annals of Behavioral Medicine</w:t>
      </w:r>
      <w:r w:rsidRPr="00C206CD">
        <w:rPr>
          <w:rFonts w:ascii="Times New Roman" w:hAnsi="Times New Roman" w:cs="Times New Roman"/>
          <w:sz w:val="20"/>
        </w:rPr>
        <w:t xml:space="preserve"> 46 (1): 81–95. https://doi.org/10.1007/s12160-013-9486-6.</w:t>
      </w:r>
    </w:p>
    <w:p w14:paraId="7000B855"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Michie, Susan, Maartje M Van Stralen, and Robert West. 2011. “The Behaviour Change Wheel: A New Method for Characterising and Designing Behaviour Change Interventions.” </w:t>
      </w:r>
      <w:r w:rsidRPr="00C206CD">
        <w:rPr>
          <w:rFonts w:ascii="Times New Roman" w:hAnsi="Times New Roman" w:cs="Times New Roman"/>
          <w:i/>
          <w:iCs/>
          <w:sz w:val="20"/>
        </w:rPr>
        <w:t>Implementation Science</w:t>
      </w:r>
      <w:r w:rsidRPr="00C206CD">
        <w:rPr>
          <w:rFonts w:ascii="Times New Roman" w:hAnsi="Times New Roman" w:cs="Times New Roman"/>
          <w:sz w:val="20"/>
        </w:rPr>
        <w:t xml:space="preserve"> 6 (1): 42. https://doi.org/10.1186/1748-5908-6-42.</w:t>
      </w:r>
    </w:p>
    <w:p w14:paraId="66AC814C"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Mosimann, Sabrina, Keorimy Ouk, Nora M. Bello, et al. 2023. “Describing Capability, Opportunity, and Motivation for Food Safety Practices among Actors in the Cambodian Informal Vegetable Market.” </w:t>
      </w:r>
      <w:r w:rsidRPr="00C206CD">
        <w:rPr>
          <w:rFonts w:ascii="Times New Roman" w:hAnsi="Times New Roman" w:cs="Times New Roman"/>
          <w:i/>
          <w:iCs/>
          <w:sz w:val="20"/>
        </w:rPr>
        <w:t>Frontiers in Sustainable Food Systems</w:t>
      </w:r>
      <w:r w:rsidRPr="00C206CD">
        <w:rPr>
          <w:rFonts w:ascii="Times New Roman" w:hAnsi="Times New Roman" w:cs="Times New Roman"/>
          <w:sz w:val="20"/>
        </w:rPr>
        <w:t xml:space="preserve"> 7 (March): 1060876. https://doi.org/10.3389/fsufs.2023.1060876.</w:t>
      </w:r>
    </w:p>
    <w:p w14:paraId="02E93A86"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Nik Rosmawati Nik Husain, Wan Manan Wan Muda, and Noor Izani Noor Jamil. 2016. “Effect of Food Safety Training on Food Handlers’ Knowledge and Practices A Randomized Controlled Trial.” </w:t>
      </w:r>
      <w:r w:rsidRPr="00C206CD">
        <w:rPr>
          <w:rFonts w:ascii="Times New Roman" w:hAnsi="Times New Roman" w:cs="Times New Roman"/>
          <w:i/>
          <w:iCs/>
          <w:sz w:val="20"/>
        </w:rPr>
        <w:t>The Eletronic Library</w:t>
      </w:r>
      <w:r w:rsidRPr="00C206CD">
        <w:rPr>
          <w:rFonts w:ascii="Times New Roman" w:hAnsi="Times New Roman" w:cs="Times New Roman"/>
          <w:sz w:val="20"/>
        </w:rPr>
        <w:t xml:space="preserve"> 7 (411): 397–412.</w:t>
      </w:r>
    </w:p>
    <w:p w14:paraId="4876C819"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lastRenderedPageBreak/>
        <w:t xml:space="preserve">Schenk, Paulina M, Alison J Wright, Robert West, et al. 2024. “An Ontology of Mechanisms of Action in Behaviour Change Interventions [Version 2; Peer Review: 3 Approved].” </w:t>
      </w:r>
      <w:r w:rsidRPr="00C206CD">
        <w:rPr>
          <w:rFonts w:ascii="Times New Roman" w:hAnsi="Times New Roman" w:cs="Times New Roman"/>
          <w:i/>
          <w:iCs/>
          <w:sz w:val="20"/>
        </w:rPr>
        <w:t>Wellcome Open Research</w:t>
      </w:r>
      <w:r w:rsidRPr="00C206CD">
        <w:rPr>
          <w:rFonts w:ascii="Times New Roman" w:hAnsi="Times New Roman" w:cs="Times New Roman"/>
          <w:sz w:val="20"/>
        </w:rPr>
        <w:t>.</w:t>
      </w:r>
    </w:p>
    <w:p w14:paraId="0FE74160"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Wang, Li, David Demeritt, and Henry Rothstein. 2023. “Regulating through Disclosure: The Case of Food Hygiene Barometer Ratings in China.” </w:t>
      </w:r>
      <w:r w:rsidRPr="00C206CD">
        <w:rPr>
          <w:rFonts w:ascii="Times New Roman" w:hAnsi="Times New Roman" w:cs="Times New Roman"/>
          <w:i/>
          <w:iCs/>
          <w:sz w:val="20"/>
        </w:rPr>
        <w:t>Journal of Risk Research</w:t>
      </w:r>
      <w:r w:rsidRPr="00C206CD">
        <w:rPr>
          <w:rFonts w:ascii="Times New Roman" w:hAnsi="Times New Roman" w:cs="Times New Roman"/>
          <w:sz w:val="20"/>
        </w:rPr>
        <w:t xml:space="preserve"> 26 (4): 393–414. https://doi.org/10.1080/13669877.2023.2170451.</w:t>
      </w:r>
    </w:p>
    <w:p w14:paraId="35C3C5A2"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York, Valerie K, Laura A Brannon, Carol W Shanklin, Kevin R Roberts, Betsy B Barrett, and Amber D Howells. 2009. “Intervention Improves Restaurant Employees’ Food Safety Compliance Rates.” </w:t>
      </w:r>
      <w:r w:rsidRPr="00C206CD">
        <w:rPr>
          <w:rFonts w:ascii="Times New Roman" w:hAnsi="Times New Roman" w:cs="Times New Roman"/>
          <w:i/>
          <w:iCs/>
          <w:sz w:val="20"/>
        </w:rPr>
        <w:t>International Journal of Contemporary Hospitality Management</w:t>
      </w:r>
      <w:r w:rsidRPr="00C206CD">
        <w:rPr>
          <w:rFonts w:ascii="Times New Roman" w:hAnsi="Times New Roman" w:cs="Times New Roman"/>
          <w:sz w:val="20"/>
        </w:rPr>
        <w:t xml:space="preserve"> 21 (4): 459–78. https://doi.org/10.1108/09596110910955703.</w:t>
      </w:r>
    </w:p>
    <w:p w14:paraId="3281B5D0" w14:textId="77777777" w:rsidR="00C206CD" w:rsidRPr="00C206CD" w:rsidRDefault="00C206CD" w:rsidP="00C206CD">
      <w:pPr>
        <w:pStyle w:val="Bibliography"/>
        <w:rPr>
          <w:rFonts w:ascii="Times New Roman" w:hAnsi="Times New Roman" w:cs="Times New Roman"/>
          <w:sz w:val="20"/>
        </w:rPr>
      </w:pPr>
      <w:r w:rsidRPr="00C206CD">
        <w:rPr>
          <w:rFonts w:ascii="Times New Roman" w:hAnsi="Times New Roman" w:cs="Times New Roman"/>
          <w:sz w:val="20"/>
        </w:rPr>
        <w:t xml:space="preserve">Young, Ian, Judy Greig, Barbara J. Wilhelm, and Lisa A. Waddell. 2019. “Effectiveness of Food Handler Training and Education Interventions: A Systematic Review and Meta-Analysis.” </w:t>
      </w:r>
      <w:r w:rsidRPr="00C206CD">
        <w:rPr>
          <w:rFonts w:ascii="Times New Roman" w:hAnsi="Times New Roman" w:cs="Times New Roman"/>
          <w:i/>
          <w:iCs/>
          <w:sz w:val="20"/>
        </w:rPr>
        <w:t>Journal of Food Protection</w:t>
      </w:r>
      <w:r w:rsidRPr="00C206CD">
        <w:rPr>
          <w:rFonts w:ascii="Times New Roman" w:hAnsi="Times New Roman" w:cs="Times New Roman"/>
          <w:sz w:val="20"/>
        </w:rPr>
        <w:t xml:space="preserve"> 82 (10): 1714–28. https://doi.org/10.4315/0362-028X.JFP-19-108.</w:t>
      </w:r>
    </w:p>
    <w:p w14:paraId="4F25D1F8" w14:textId="1BD03736" w:rsidR="00D95915" w:rsidRPr="00F57C8A" w:rsidRDefault="00537FB7" w:rsidP="00352C86">
      <w:pPr>
        <w:ind w:hanging="142"/>
        <w:rPr>
          <w:rFonts w:ascii="Times New Roman" w:hAnsi="Times New Roman" w:cs="Times New Roman"/>
          <w:sz w:val="20"/>
          <w:szCs w:val="20"/>
        </w:rPr>
      </w:pPr>
      <w:r w:rsidRPr="00F57C8A">
        <w:rPr>
          <w:rFonts w:ascii="Times New Roman" w:hAnsi="Times New Roman" w:cs="Times New Roman"/>
          <w:sz w:val="20"/>
          <w:szCs w:val="20"/>
        </w:rPr>
        <w:fldChar w:fldCharType="end"/>
      </w:r>
    </w:p>
    <w:sectPr w:rsidR="00D95915" w:rsidRPr="00F57C8A" w:rsidSect="00025DB6">
      <w:footerReference w:type="default" r:id="rId12"/>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F31B" w14:textId="77777777" w:rsidR="00E049EB" w:rsidRDefault="00E049EB" w:rsidP="001029DF">
      <w:pPr>
        <w:spacing w:after="0" w:line="240" w:lineRule="auto"/>
      </w:pPr>
      <w:r>
        <w:separator/>
      </w:r>
    </w:p>
  </w:endnote>
  <w:endnote w:type="continuationSeparator" w:id="0">
    <w:p w14:paraId="15FA4102" w14:textId="77777777" w:rsidR="00E049EB" w:rsidRDefault="00E049EB"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AF6D" w14:textId="77777777" w:rsidR="001029DF" w:rsidRDefault="001029DF" w:rsidP="001029DF">
    <w:pPr>
      <w:pStyle w:val="Footer"/>
    </w:pPr>
    <w:r>
      <w:t>TIDieR checklist</w:t>
    </w:r>
    <w:r>
      <w:tab/>
    </w:r>
    <w:r>
      <w:tab/>
    </w:r>
    <w:r>
      <w:tab/>
    </w:r>
    <w:r>
      <w:tab/>
    </w:r>
    <w:r>
      <w:tab/>
    </w:r>
    <w:r>
      <w:tab/>
    </w:r>
    <w:r>
      <w:tab/>
    </w:r>
    <w:r>
      <w:tab/>
    </w:r>
  </w:p>
  <w:p w14:paraId="383DAF6E" w14:textId="77777777"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6846" w14:textId="77777777" w:rsidR="00E049EB" w:rsidRDefault="00E049EB" w:rsidP="001029DF">
      <w:pPr>
        <w:spacing w:after="0" w:line="240" w:lineRule="auto"/>
      </w:pPr>
      <w:r>
        <w:separator/>
      </w:r>
    </w:p>
  </w:footnote>
  <w:footnote w:type="continuationSeparator" w:id="0">
    <w:p w14:paraId="4FC60C7F" w14:textId="77777777" w:rsidR="00E049EB" w:rsidRDefault="00E049EB" w:rsidP="00102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2107D"/>
    <w:multiLevelType w:val="hybridMultilevel"/>
    <w:tmpl w:val="70225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1349D"/>
    <w:multiLevelType w:val="hybridMultilevel"/>
    <w:tmpl w:val="C1E6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1449">
    <w:abstractNumId w:val="1"/>
  </w:num>
  <w:num w:numId="2" w16cid:durableId="211717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2E"/>
    <w:rsid w:val="00001315"/>
    <w:rsid w:val="00025DB6"/>
    <w:rsid w:val="000448DC"/>
    <w:rsid w:val="0007203E"/>
    <w:rsid w:val="000772CE"/>
    <w:rsid w:val="0009512F"/>
    <w:rsid w:val="000C514A"/>
    <w:rsid w:val="000D28AE"/>
    <w:rsid w:val="000E1805"/>
    <w:rsid w:val="000E7C1B"/>
    <w:rsid w:val="000F1240"/>
    <w:rsid w:val="001003E1"/>
    <w:rsid w:val="001029DF"/>
    <w:rsid w:val="001203AC"/>
    <w:rsid w:val="00120A08"/>
    <w:rsid w:val="00126A07"/>
    <w:rsid w:val="0012730A"/>
    <w:rsid w:val="00152EBF"/>
    <w:rsid w:val="00161D3E"/>
    <w:rsid w:val="00162CEB"/>
    <w:rsid w:val="001774EE"/>
    <w:rsid w:val="001868AE"/>
    <w:rsid w:val="001A7CCF"/>
    <w:rsid w:val="001B082A"/>
    <w:rsid w:val="001C2793"/>
    <w:rsid w:val="001C713D"/>
    <w:rsid w:val="001D39AE"/>
    <w:rsid w:val="001F0840"/>
    <w:rsid w:val="00200C2E"/>
    <w:rsid w:val="002012ED"/>
    <w:rsid w:val="00201758"/>
    <w:rsid w:val="00206AAA"/>
    <w:rsid w:val="0021370D"/>
    <w:rsid w:val="0021434A"/>
    <w:rsid w:val="00224864"/>
    <w:rsid w:val="00251716"/>
    <w:rsid w:val="00251C47"/>
    <w:rsid w:val="00265F46"/>
    <w:rsid w:val="0027424B"/>
    <w:rsid w:val="00277C6F"/>
    <w:rsid w:val="002814E8"/>
    <w:rsid w:val="002957AE"/>
    <w:rsid w:val="0029581A"/>
    <w:rsid w:val="002A1602"/>
    <w:rsid w:val="002A626A"/>
    <w:rsid w:val="002B778B"/>
    <w:rsid w:val="002D0956"/>
    <w:rsid w:val="0030439D"/>
    <w:rsid w:val="00311EAF"/>
    <w:rsid w:val="003148C9"/>
    <w:rsid w:val="00317D9A"/>
    <w:rsid w:val="00325159"/>
    <w:rsid w:val="00343ACF"/>
    <w:rsid w:val="00352C86"/>
    <w:rsid w:val="003555B4"/>
    <w:rsid w:val="003634F2"/>
    <w:rsid w:val="0036653F"/>
    <w:rsid w:val="00384A44"/>
    <w:rsid w:val="00392B5C"/>
    <w:rsid w:val="003A6CF1"/>
    <w:rsid w:val="003B325A"/>
    <w:rsid w:val="003B4ED3"/>
    <w:rsid w:val="003C6FF5"/>
    <w:rsid w:val="003F6790"/>
    <w:rsid w:val="00427696"/>
    <w:rsid w:val="00441FE7"/>
    <w:rsid w:val="004514C0"/>
    <w:rsid w:val="00470399"/>
    <w:rsid w:val="00484374"/>
    <w:rsid w:val="00486E96"/>
    <w:rsid w:val="004E36FF"/>
    <w:rsid w:val="00525BCB"/>
    <w:rsid w:val="00537FB7"/>
    <w:rsid w:val="005455D1"/>
    <w:rsid w:val="00547470"/>
    <w:rsid w:val="0054766D"/>
    <w:rsid w:val="00560588"/>
    <w:rsid w:val="00597B2F"/>
    <w:rsid w:val="005C4BF6"/>
    <w:rsid w:val="005D5390"/>
    <w:rsid w:val="005D54E8"/>
    <w:rsid w:val="005D598F"/>
    <w:rsid w:val="00600246"/>
    <w:rsid w:val="006279B2"/>
    <w:rsid w:val="006321A6"/>
    <w:rsid w:val="006367C5"/>
    <w:rsid w:val="006406E9"/>
    <w:rsid w:val="0066199F"/>
    <w:rsid w:val="00665E25"/>
    <w:rsid w:val="00676326"/>
    <w:rsid w:val="00692C32"/>
    <w:rsid w:val="00695151"/>
    <w:rsid w:val="006B35F8"/>
    <w:rsid w:val="006B4136"/>
    <w:rsid w:val="006D1B8E"/>
    <w:rsid w:val="006E6ACA"/>
    <w:rsid w:val="00704F23"/>
    <w:rsid w:val="00722E1F"/>
    <w:rsid w:val="00740E90"/>
    <w:rsid w:val="00766FF1"/>
    <w:rsid w:val="00767700"/>
    <w:rsid w:val="007A7D28"/>
    <w:rsid w:val="007D5F42"/>
    <w:rsid w:val="007F14D0"/>
    <w:rsid w:val="007F55EC"/>
    <w:rsid w:val="008061F0"/>
    <w:rsid w:val="008067E2"/>
    <w:rsid w:val="008113F7"/>
    <w:rsid w:val="0081592C"/>
    <w:rsid w:val="00823C97"/>
    <w:rsid w:val="0082604F"/>
    <w:rsid w:val="008305CA"/>
    <w:rsid w:val="00867419"/>
    <w:rsid w:val="00874CD0"/>
    <w:rsid w:val="00877D67"/>
    <w:rsid w:val="008914EF"/>
    <w:rsid w:val="00892C7B"/>
    <w:rsid w:val="008A3B1E"/>
    <w:rsid w:val="008B0E5F"/>
    <w:rsid w:val="008B32DE"/>
    <w:rsid w:val="008B5990"/>
    <w:rsid w:val="008B6336"/>
    <w:rsid w:val="008C6387"/>
    <w:rsid w:val="008D0BBE"/>
    <w:rsid w:val="00902582"/>
    <w:rsid w:val="00904A65"/>
    <w:rsid w:val="009069F9"/>
    <w:rsid w:val="00910289"/>
    <w:rsid w:val="009441A8"/>
    <w:rsid w:val="00945D07"/>
    <w:rsid w:val="00947B42"/>
    <w:rsid w:val="00965147"/>
    <w:rsid w:val="009A5FB9"/>
    <w:rsid w:val="009A604E"/>
    <w:rsid w:val="009B6C76"/>
    <w:rsid w:val="009C2E6C"/>
    <w:rsid w:val="009E7F11"/>
    <w:rsid w:val="009F320B"/>
    <w:rsid w:val="009F5C5C"/>
    <w:rsid w:val="00A259E5"/>
    <w:rsid w:val="00A40708"/>
    <w:rsid w:val="00A4540E"/>
    <w:rsid w:val="00A546C2"/>
    <w:rsid w:val="00A55B83"/>
    <w:rsid w:val="00A57D83"/>
    <w:rsid w:val="00A82A31"/>
    <w:rsid w:val="00AA11D2"/>
    <w:rsid w:val="00AA3009"/>
    <w:rsid w:val="00AB7B73"/>
    <w:rsid w:val="00AF10A0"/>
    <w:rsid w:val="00B05FA1"/>
    <w:rsid w:val="00B0652E"/>
    <w:rsid w:val="00B100AF"/>
    <w:rsid w:val="00B42673"/>
    <w:rsid w:val="00B476EA"/>
    <w:rsid w:val="00B7534B"/>
    <w:rsid w:val="00BA0E13"/>
    <w:rsid w:val="00BC37BC"/>
    <w:rsid w:val="00BE3FA4"/>
    <w:rsid w:val="00BF18E1"/>
    <w:rsid w:val="00BF23C4"/>
    <w:rsid w:val="00BF4A32"/>
    <w:rsid w:val="00C206CD"/>
    <w:rsid w:val="00C243BD"/>
    <w:rsid w:val="00C56813"/>
    <w:rsid w:val="00C66404"/>
    <w:rsid w:val="00C70906"/>
    <w:rsid w:val="00C8448E"/>
    <w:rsid w:val="00C8746D"/>
    <w:rsid w:val="00C95154"/>
    <w:rsid w:val="00CA4793"/>
    <w:rsid w:val="00CB07BE"/>
    <w:rsid w:val="00CC40DF"/>
    <w:rsid w:val="00CC4AE5"/>
    <w:rsid w:val="00D06E6F"/>
    <w:rsid w:val="00D27FC5"/>
    <w:rsid w:val="00D35D25"/>
    <w:rsid w:val="00D43364"/>
    <w:rsid w:val="00D54F85"/>
    <w:rsid w:val="00D67C23"/>
    <w:rsid w:val="00D7505D"/>
    <w:rsid w:val="00D775F0"/>
    <w:rsid w:val="00D87E5C"/>
    <w:rsid w:val="00D95915"/>
    <w:rsid w:val="00DA4E13"/>
    <w:rsid w:val="00DA6043"/>
    <w:rsid w:val="00DB4233"/>
    <w:rsid w:val="00DD1A7C"/>
    <w:rsid w:val="00DD41A7"/>
    <w:rsid w:val="00DE4DAB"/>
    <w:rsid w:val="00DF0ADB"/>
    <w:rsid w:val="00E01B72"/>
    <w:rsid w:val="00E02753"/>
    <w:rsid w:val="00E049EB"/>
    <w:rsid w:val="00E20690"/>
    <w:rsid w:val="00E217A6"/>
    <w:rsid w:val="00E30778"/>
    <w:rsid w:val="00E440DC"/>
    <w:rsid w:val="00E5608B"/>
    <w:rsid w:val="00E562D0"/>
    <w:rsid w:val="00E657D4"/>
    <w:rsid w:val="00E74450"/>
    <w:rsid w:val="00E76F93"/>
    <w:rsid w:val="00E805A3"/>
    <w:rsid w:val="00E82FEA"/>
    <w:rsid w:val="00E90CE0"/>
    <w:rsid w:val="00EA11AD"/>
    <w:rsid w:val="00EC03D8"/>
    <w:rsid w:val="00EF1A8A"/>
    <w:rsid w:val="00F0546A"/>
    <w:rsid w:val="00F062E3"/>
    <w:rsid w:val="00F11E1E"/>
    <w:rsid w:val="00F31C62"/>
    <w:rsid w:val="00F342BB"/>
    <w:rsid w:val="00F465A8"/>
    <w:rsid w:val="00F57C8A"/>
    <w:rsid w:val="00F6748D"/>
    <w:rsid w:val="00FA39E8"/>
    <w:rsid w:val="00FD03A1"/>
    <w:rsid w:val="00FF11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AEE4"/>
  <w15:docId w15:val="{2D8CE3F8-A585-46A6-8BF7-E14F5295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505D"/>
    <w:pPr>
      <w:spacing w:line="240" w:lineRule="auto"/>
    </w:pPr>
    <w:rPr>
      <w:i/>
      <w:iCs/>
      <w:color w:val="1F497D" w:themeColor="text2"/>
      <w:sz w:val="18"/>
      <w:szCs w:val="18"/>
    </w:rPr>
  </w:style>
  <w:style w:type="paragraph" w:styleId="Bibliography">
    <w:name w:val="Bibliography"/>
    <w:basedOn w:val="Normal"/>
    <w:next w:val="Normal"/>
    <w:uiPriority w:val="37"/>
    <w:unhideWhenUsed/>
    <w:rsid w:val="00C66404"/>
    <w:pPr>
      <w:spacing w:after="240" w:line="240" w:lineRule="auto"/>
      <w:ind w:left="720" w:hanging="720"/>
    </w:pPr>
  </w:style>
  <w:style w:type="paragraph" w:styleId="Revision">
    <w:name w:val="Revision"/>
    <w:hidden/>
    <w:uiPriority w:val="99"/>
    <w:semiHidden/>
    <w:rsid w:val="00343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ator-network.org" TargetMode="External"/><Relationship Id="rId5" Type="http://schemas.openxmlformats.org/officeDocument/2006/relationships/webSettings" Target="webSettings.xml"/><Relationship Id="rId10" Type="http://schemas.openxmlformats.org/officeDocument/2006/relationships/hyperlink" Target="http://www.spirit-statement.org" TargetMode="External"/><Relationship Id="rId4" Type="http://schemas.openxmlformats.org/officeDocument/2006/relationships/settings" Target="settings.xml"/><Relationship Id="rId9" Type="http://schemas.openxmlformats.org/officeDocument/2006/relationships/hyperlink" Target="http://www.consort-state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CA07-437B-4DCB-A426-276213EE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17947</Words>
  <Characters>102301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120008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Hoffmann</dc:creator>
  <cp:lastModifiedBy>Dinede, Getachew (ILRI)</cp:lastModifiedBy>
  <cp:revision>182</cp:revision>
  <cp:lastPrinted>2014-02-26T23:36:00Z</cp:lastPrinted>
  <dcterms:created xsi:type="dcterms:W3CDTF">2025-09-02T06:26:00Z</dcterms:created>
  <dcterms:modified xsi:type="dcterms:W3CDTF">2026-02-21T14:08:00Z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6a248e00-6dce-3e41-ba8b-8035d64c69f6</vt:lpwstr>
  </property>
  <property fmtid="{D5CDD505-2E9C-101B-9397-08002B2CF9AE}" pid="24" name="Mendeley Citation Style_1">
    <vt:lpwstr>http://www.zotero.org/styles/apa</vt:lpwstr>
  </property>
  <property fmtid="{D5CDD505-2E9C-101B-9397-08002B2CF9AE}" pid="25" name="ZOTERO_PREF_1">
    <vt:lpwstr>&lt;data data-version="3" zotero-version="7.0.30"&gt;&lt;session id="2R0lPJTy"/&gt;&lt;style id="http://www.zotero.org/styles/chicago-author-date" locale="en-US" hasBibliography="1" bibliographyStyleHasBeenSet="1"/&gt;&lt;prefs&gt;&lt;pref name="fieldType" value="Field"/&gt;&lt;pref name</vt:lpwstr>
  </property>
  <property fmtid="{D5CDD505-2E9C-101B-9397-08002B2CF9AE}" pid="26" name="ZOTERO_PREF_2">
    <vt:lpwstr>="automaticJournalAbbreviations" value="true"/&gt;&lt;/prefs&gt;&lt;/data&gt;</vt:lpwstr>
  </property>
</Properties>
</file>