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5FD82" w14:textId="45FF692F" w:rsidR="008D3FB6" w:rsidRPr="0011703F" w:rsidRDefault="008D3FB6" w:rsidP="00D860E9">
      <w:pPr>
        <w:spacing w:line="360" w:lineRule="auto"/>
        <w:jc w:val="both"/>
        <w:rPr>
          <w:rFonts w:ascii="Times New Roman" w:hAnsi="Times New Roman" w:cs="Times New Roman"/>
          <w:b/>
          <w:bCs/>
          <w:sz w:val="32"/>
          <w:szCs w:val="32"/>
        </w:rPr>
      </w:pPr>
      <w:r w:rsidRPr="008D3FB6">
        <w:rPr>
          <w:rFonts w:ascii="Times New Roman" w:hAnsi="Times New Roman" w:cs="Times New Roman"/>
          <w:b/>
          <w:bCs/>
          <w:sz w:val="32"/>
          <w:szCs w:val="32"/>
        </w:rPr>
        <w:t xml:space="preserve">Supplementary Text </w:t>
      </w:r>
    </w:p>
    <w:p w14:paraId="4132BDE7" w14:textId="61C8AFB2" w:rsidR="008D3FB6" w:rsidRPr="00D860E9" w:rsidRDefault="00C346D0" w:rsidP="00D860E9">
      <w:pPr>
        <w:spacing w:line="360" w:lineRule="auto"/>
        <w:jc w:val="both"/>
        <w:rPr>
          <w:rFonts w:ascii="Times New Roman" w:hAnsi="Times New Roman" w:cs="Times New Roman"/>
          <w:b/>
          <w:bCs/>
        </w:rPr>
      </w:pPr>
      <w:r>
        <w:rPr>
          <w:rFonts w:ascii="Times New Roman" w:hAnsi="Times New Roman" w:cs="Times New Roman"/>
          <w:b/>
          <w:bCs/>
        </w:rPr>
        <w:t xml:space="preserve">Urine fractionation, </w:t>
      </w:r>
      <w:bookmarkStart w:id="0" w:name="_GoBack"/>
      <w:bookmarkEnd w:id="0"/>
      <w:r w:rsidR="008D3FB6" w:rsidRPr="00D860E9">
        <w:rPr>
          <w:rFonts w:ascii="Times New Roman" w:hAnsi="Times New Roman" w:cs="Times New Roman"/>
          <w:b/>
          <w:bCs/>
        </w:rPr>
        <w:t xml:space="preserve">peptide extraction and mass spectrometry analysis </w:t>
      </w:r>
    </w:p>
    <w:p w14:paraId="295F6907" w14:textId="1190113C" w:rsidR="008D3FB6" w:rsidRDefault="008D3FB6" w:rsidP="00D860E9">
      <w:pPr>
        <w:spacing w:line="360" w:lineRule="auto"/>
        <w:jc w:val="both"/>
        <w:rPr>
          <w:rFonts w:ascii="Times New Roman" w:hAnsi="Times New Roman" w:cs="Times New Roman"/>
        </w:rPr>
      </w:pPr>
      <w:r w:rsidRPr="00D860E9">
        <w:rPr>
          <w:rFonts w:ascii="Times New Roman" w:hAnsi="Times New Roman" w:cs="Times New Roman"/>
        </w:rPr>
        <w:t xml:space="preserve">Sample preparation involved diluting 700 </w:t>
      </w:r>
      <w:proofErr w:type="spellStart"/>
      <w:r w:rsidRPr="00D860E9">
        <w:rPr>
          <w:rFonts w:ascii="Times New Roman" w:hAnsi="Times New Roman" w:cs="Times New Roman"/>
        </w:rPr>
        <w:t>μl</w:t>
      </w:r>
      <w:proofErr w:type="spellEnd"/>
      <w:r w:rsidRPr="00D860E9">
        <w:rPr>
          <w:rFonts w:ascii="Times New Roman" w:hAnsi="Times New Roman" w:cs="Times New Roman"/>
        </w:rPr>
        <w:t xml:space="preserve"> aliquots of urine in an alkaline buffer containing 2M urea, 10mM NH4OH, and 0.02% SDS</w:t>
      </w:r>
      <w:r w:rsidRPr="00D860E9">
        <w:rPr>
          <w:rFonts w:ascii="Times New Roman" w:hAnsi="Times New Roman" w:cs="Times New Roman"/>
          <w:sz w:val="22"/>
          <w:szCs w:val="22"/>
          <w:shd w:val="clear" w:color="auto" w:fill="FFFFFF"/>
        </w:rPr>
        <w:t xml:space="preserve"> </w:t>
      </w:r>
      <w:r w:rsidRPr="00D860E9">
        <w:rPr>
          <w:rFonts w:ascii="Times New Roman" w:hAnsi="Times New Roman" w:cs="Times New Roman"/>
        </w:rPr>
        <w:t xml:space="preserve">(pH 10.5). The samples were then filtered using </w:t>
      </w:r>
      <w:proofErr w:type="spellStart"/>
      <w:r w:rsidRPr="00D860E9">
        <w:rPr>
          <w:rFonts w:ascii="Times New Roman" w:hAnsi="Times New Roman" w:cs="Times New Roman"/>
        </w:rPr>
        <w:t>Centrisart</w:t>
      </w:r>
      <w:proofErr w:type="spellEnd"/>
      <w:r w:rsidRPr="00D860E9">
        <w:rPr>
          <w:rFonts w:ascii="Times New Roman" w:hAnsi="Times New Roman" w:cs="Times New Roman"/>
        </w:rPr>
        <w:t xml:space="preserve"> ultracentrifugation filters</w:t>
      </w:r>
      <w:r w:rsidRPr="00D860E9">
        <w:rPr>
          <w:rFonts w:ascii="Times New Roman" w:hAnsi="Times New Roman" w:cs="Times New Roman"/>
          <w:sz w:val="22"/>
          <w:szCs w:val="22"/>
          <w:shd w:val="clear" w:color="auto" w:fill="FFFFFF"/>
        </w:rPr>
        <w:t xml:space="preserve"> </w:t>
      </w:r>
      <w:r w:rsidRPr="00D860E9">
        <w:rPr>
          <w:rFonts w:ascii="Times New Roman" w:hAnsi="Times New Roman" w:cs="Times New Roman"/>
        </w:rPr>
        <w:t xml:space="preserve">(Sartorius, </w:t>
      </w:r>
      <w:proofErr w:type="spellStart"/>
      <w:r w:rsidRPr="00D860E9">
        <w:rPr>
          <w:rFonts w:ascii="Times New Roman" w:hAnsi="Times New Roman" w:cs="Times New Roman"/>
        </w:rPr>
        <w:t>Göttingen</w:t>
      </w:r>
      <w:proofErr w:type="spellEnd"/>
      <w:r w:rsidRPr="00D860E9">
        <w:rPr>
          <w:rFonts w:ascii="Times New Roman" w:hAnsi="Times New Roman" w:cs="Times New Roman"/>
        </w:rPr>
        <w:t>, Germany) to retain proteins and polypeptides below 20kDa, which were further desalted through PD-10 columns (GE Healthcare, Munich, Germany). CE-MS analysis and data processing followed the ISO13485 standards, generating quality-controlled urinary datasets</w:t>
      </w:r>
      <w:r w:rsidRPr="00D860E9">
        <w:rPr>
          <w:rFonts w:ascii="Times New Roman" w:hAnsi="Times New Roman" w:cs="Times New Roman"/>
        </w:rPr>
        <w:fldChar w:fldCharType="begin"/>
      </w:r>
      <w:r w:rsidRPr="00D860E9">
        <w:rPr>
          <w:rFonts w:ascii="Times New Roman" w:hAnsi="Times New Roman" w:cs="Times New Roman"/>
        </w:rPr>
        <w:instrText xml:space="preserve"> ADDIN ZOTERO_ITEM CSL_CITATION {"citationID":"TDnAW2DB","properties":{"formattedCitation":"\\super 18,19\\nosupersub{}","plainCitation":"18,19","noteIndex":0},"citationItems":[{"id":854,"uris":["http://zotero.org/users/16306636/items/5PFH9NKL"],"itemData":{"id":854,"type":"article-journal","abstract":"CE-MS is a successful proteomic platform for the definition of biomarkers in different body fluids. Besides the biomarker defining experimental parameters, CE migration time and molecular weight, especially biomarker's sequence identity is an indispensable cornerstone for deeper insights into the pathophysiological pathways of diseases or for made-to-measure therapeutic drug design. Therefore, this report presents a detailed discussion of different peptide sequencing platforms consisting of high performance separation method either coupled on-line or off-line to different MS/MS devices, such as MALDI-TOF-TOF, ESI-IT, ESI-QTOF and Fourier transform ion cyclotron resonance, for sequencing indicative peptides. This comparison demonstrates the unique feature of CE-MS technology to serve as a reliable basis for the assignment of peptide sequence data obtained using different separation MS/MS methods to the biomarker defining parameters, CE migration time and molecular weight. Discovery of potential biomarkers by CE-MS enables sequence analysis via MS/MS with platform-independent sample separation. This is due to the fact that the number of basic and neutral polar amino acids of biomarkers sequences distinctly correlates with their CE-MS migration time/molecular weight coordinates. This uniqueness facilitates the independent entry of different sequencing platforms for peptide sequencing of CE-MS-defined biomarkers from highly complex mixtures.","container-title":"Electrophoresis","DOI":"10.1002/elps.200500827","ISSN":"0173-0835","issue":"11","journalAbbreviation":"Electrophoresis","language":"eng","note":"PMID: 16645980","page":"2111-2125","source":"PubMed","title":"Biomarker discovery by CE-MS enables sequence analysis via MS/MS with platform-independent separation","volume":"27","author":[{"family":"Zürbig","given":"Petra"},{"family":"Renfrow","given":"Matthew B."},{"family":"Schiffer","given":"Eric"},{"family":"Novak","given":"Jan"},{"family":"Walden","given":"Michael"},{"family":"Wittke","given":"Stefan"},{"family":"Just","given":"Ingo"},{"family":"Pelzing","given":"Matthias"},{"family":"Neusüss","given":"Christian"},{"family":"Theodorescu","given":"Dan"},{"family":"Root","given":"Karen E."},{"family":"Ross","given":"Mark M."},{"family":"Mischak","given":"Harald"}],"issued":{"date-parts":[["2006",6]]}}},{"id":757,"uris":["http://zotero.org/users/16306636/items/58MBEY2Q","http://zotero.org/users/16306636/items/BK325RDY"],"itemData":{"id":757,"type":"article-journal","abstract":"Capillary electrophoresis combined with mass spectrometry (CE-MS) has been used for several years for the investigation of proteins and peptides as biomarkers for diagnosis and prognosis of diseases. In addition, the technology has recently been introduced to support the stratification of patients in clinical trials and in large clinical studies. In this review, we aim at presenting the development of CE-MS over the last 20 years, by focusing on the clinical potential of proteome and peptidome analysis and highlighting some of the key technical issues and advancements that have been made in this context towards implementation. Based on the reviewed literature, it has become evident that CE-MS is now an accepted tool in clinical application in several disease areas. Apart from a critical overview on the current state-of-the-art in CE-MS, we also indicate the expected developments for potential future use.","container-title":"Electrophoresis","DOI":"10.1002/elps.201900091","ISSN":"1522-2683","issue":"18-19","journalAbbreviation":"Electrophoresis","language":"eng","note":"PMID: 31054149","page":"2294-2308","source":"PubMed","title":"Peptidomics and proteomics based on CE-MS as a robust tool in clinical application: The past, the present, and the future","title-short":"Peptidomics and proteomics based on CE-MS as a robust tool in clinical application","volume":"40","author":[{"family":"Latosinska","given":"Agnieszka"},{"family":"Siwy","given":"Justyna"},{"family":"Mischak","given":"Harald"},{"family":"Frantzi","given":"Maria"}],"issued":{"date-parts":[["2019",9]]}}}],"schema":"https://github.com/citation-style-language/schema/raw/master/csl-citation.json"} </w:instrText>
      </w:r>
      <w:r w:rsidRPr="00D860E9">
        <w:rPr>
          <w:rFonts w:ascii="Times New Roman" w:hAnsi="Times New Roman" w:cs="Times New Roman"/>
        </w:rPr>
        <w:fldChar w:fldCharType="separate"/>
      </w:r>
      <w:r w:rsidR="00D860E9">
        <w:rPr>
          <w:rFonts w:ascii="Times New Roman" w:hAnsi="Times New Roman" w:cs="Times New Roman"/>
          <w:kern w:val="0"/>
          <w:vertAlign w:val="superscript"/>
        </w:rPr>
        <w:t>1</w:t>
      </w:r>
      <w:r w:rsidRPr="00D860E9">
        <w:rPr>
          <w:rFonts w:ascii="Times New Roman" w:hAnsi="Times New Roman" w:cs="Times New Roman"/>
          <w:kern w:val="0"/>
          <w:vertAlign w:val="superscript"/>
        </w:rPr>
        <w:t>,</w:t>
      </w:r>
      <w:r w:rsidR="00D860E9">
        <w:rPr>
          <w:rFonts w:ascii="Times New Roman" w:hAnsi="Times New Roman" w:cs="Times New Roman"/>
          <w:kern w:val="0"/>
          <w:vertAlign w:val="superscript"/>
        </w:rPr>
        <w:t>2</w:t>
      </w:r>
      <w:r w:rsidRPr="00D860E9">
        <w:rPr>
          <w:rFonts w:ascii="Times New Roman" w:hAnsi="Times New Roman" w:cs="Times New Roman"/>
        </w:rPr>
        <w:fldChar w:fldCharType="end"/>
      </w:r>
      <w:r w:rsidRPr="00D860E9">
        <w:rPr>
          <w:rFonts w:ascii="Times New Roman" w:hAnsi="Times New Roman" w:cs="Times New Roman"/>
        </w:rPr>
        <w:t xml:space="preserve">. Mass spectral ion peaks representing identical molecules at different charge states were converted into single masses using </w:t>
      </w:r>
      <w:proofErr w:type="spellStart"/>
      <w:r w:rsidRPr="00D860E9">
        <w:rPr>
          <w:rFonts w:ascii="Times New Roman" w:hAnsi="Times New Roman" w:cs="Times New Roman"/>
        </w:rPr>
        <w:t>MosaiquesVisu</w:t>
      </w:r>
      <w:proofErr w:type="spellEnd"/>
      <w:r w:rsidRPr="00D860E9">
        <w:rPr>
          <w:rFonts w:ascii="Times New Roman" w:hAnsi="Times New Roman" w:cs="Times New Roman"/>
        </w:rPr>
        <w:t xml:space="preserve"> software</w:t>
      </w:r>
      <w:r w:rsidRPr="00D860E9">
        <w:rPr>
          <w:rFonts w:ascii="Times New Roman" w:hAnsi="Times New Roman" w:cs="Times New Roman"/>
        </w:rPr>
        <w:fldChar w:fldCharType="begin"/>
      </w:r>
      <w:r w:rsidRPr="00D860E9">
        <w:rPr>
          <w:rFonts w:ascii="Times New Roman" w:hAnsi="Times New Roman" w:cs="Times New Roman"/>
        </w:rPr>
        <w:instrText xml:space="preserve"> ADDIN ZOTERO_ITEM CSL_CITATION {"citationID":"chrwnv8m","properties":{"formattedCitation":"\\super 18,20\\nosupersub{}","plainCitation":"18,20","noteIndex":0},"citationItems":[{"id":856,"uris":["http://zotero.org/users/16306636/items/FZE2QHGU"],"itemData":{"id":856,"type":"article-journal","abstract":"INTRODUCTION: Renal cell carcinoma (RCC) is often accompanied by non-specific symptoms. The increase of incidentally discovered small renal masses also presents a diagnostic dilemma. This study investigates whether RCC-specific peptides with diagnostic potential can be detected in urine and whether a combination of such peptides could form a urinary screening tool.\nMATERIALS AND METHODS: For the discovery of RCC-specific biomarkers, we have employed CE-MS to analyze urine samples from patients with RCC (N=40) compared to non-diseased controls (N=68).\nRESULTS AND DISCUSSION: 86 peptides were found to be specifically associated to RCC, of which sequence could be obtained for 40. A classifier based on these peptides was evaluated in an independent set of 76 samples, resulting in 80% sensitivity and 87% specificity. The specificity of the marker panel was further validated in a historical dataset of 1077 samples including age-matched controls (N=218), patients with related cancer types and renal diseases (N=859). In silico protease prediction based on the cleavage sites of differentially excreted peptides, suggested modified activity of certain proteases including cathepsins, ADAMTS and kallikreins some of which were previously found to be associated to RCC.\nCONCLUSIONS: RCC can be detected with high accuracy based on specific urinary peptides.\nBIOLOGICAL SIGNIFICANCE: Clear cell renal cell carcinoma (RCC) has the highest incidence among the renal malignancies, often presenting non-specific or no symptoms at all. Moreover, with no diagnostic marker being available so far, almost 30% of the patients are diagnosed with metastatic disease and 30-40% of the patients initially diagnosed with localized tumor relapse. These facts introduce the clinical need of early diagnosis. This study is focused on the investigation of a marker model based on urinary peptides, as a tool for the detection of RCC in selected patients at risk. Upon evaluation of the marker model in an independent blinded set of 76 samples, 80% sensitivity and 87% specificity were reported. An additional dataset of 1077 samples was subsequently employed for further evaluation of the specificity of the classifier.","container-title":"Journal of Proteomics","DOI":"10.1016/j.jprot.2013.12.010","ISSN":"1876-7737","journalAbbreviation":"J Proteomics","language":"eng","note":"PMID: 24374379","page":"44-58","source":"PubMed","title":"Discovery and validation of urinary biomarkers for detection of renal cell carcinoma","volume":"98","author":[{"family":"Frantzi","given":"Maria"},{"family":"Metzger","given":"Jochen"},{"family":"Banks","given":"Rosamonde E."},{"family":"Husi","given":"Holger"},{"family":"Klein","given":"Julie"},{"family":"Dakna","given":"Mohammed"},{"family":"Mullen","given":"William"},{"family":"Cartledge","given":"Jonathan J."},{"family":"Schanstra","given":"Joost P."},{"family":"Brand","given":"Korbinian"},{"family":"Kuczyk","given":"Markus A."},{"family":"Mischak","given":"Harald"},{"family":"Vlahou","given":"Antonia"},{"family":"Theodorescu","given":"Dan"},{"family":"Merseburger","given":"Axel S."}],"issued":{"date-parts":[["2014",2,26]]}}},{"id":854,"uris":["http://zotero.org/users/16306636/items/5PFH9NKL"],"itemData":{"id":854,"type":"article-journal","abstract":"CE-MS is a successful proteomic platform for the definition of biomarkers in different body fluids. Besides the biomarker defining experimental parameters, CE migration time and molecular weight, especially biomarker's sequence identity is an indispensable cornerstone for deeper insights into the pathophysiological pathways of diseases or for made-to-measure therapeutic drug design. Therefore, this report presents a detailed discussion of different peptide sequencing platforms consisting of high performance separation method either coupled on-line or off-line to different MS/MS devices, such as MALDI-TOF-TOF, ESI-IT, ESI-QTOF and Fourier transform ion cyclotron resonance, for sequencing indicative peptides. This comparison demonstrates the unique feature of CE-MS technology to serve as a reliable basis for the assignment of peptide sequence data obtained using different separation MS/MS methods to the biomarker defining parameters, CE migration time and molecular weight. Discovery of potential biomarkers by CE-MS enables sequence analysis via MS/MS with platform-independent sample separation. This is due to the fact that the number of basic and neutral polar amino acids of biomarkers sequences distinctly correlates with their CE-MS migration time/molecular weight coordinates. This uniqueness facilitates the independent entry of different sequencing platforms for peptide sequencing of CE-MS-defined biomarkers from highly complex mixtures.","container-title":"Electrophoresis","DOI":"10.1002/elps.200500827","ISSN":"0173-0835","issue":"11","journalAbbreviation":"Electrophoresis","language":"eng","note":"PMID: 16645980","page":"2111-2125","source":"PubMed","title":"Biomarker discovery by CE-MS enables sequence analysis via MS/MS with platform-independent separation","volume":"27","author":[{"family":"Zürbig","given":"Petra"},{"family":"Renfrow","given":"Matthew B."},{"family":"Schiffer","given":"Eric"},{"family":"Novak","given":"Jan"},{"family":"Walden","given":"Michael"},{"family":"Wittke","given":"Stefan"},{"family":"Just","given":"Ingo"},{"family":"Pelzing","given":"Matthias"},{"family":"Neusüss","given":"Christian"},{"family":"Theodorescu","given":"Dan"},{"family":"Root","given":"Karen E."},{"family":"Ross","given":"Mark M."},{"family":"Mischak","given":"Harald"}],"issued":{"date-parts":[["2006",6]]}}}],"schema":"https://github.com/citation-style-language/schema/raw/master/csl-citation.json"} </w:instrText>
      </w:r>
      <w:r w:rsidRPr="00D860E9">
        <w:rPr>
          <w:rFonts w:ascii="Times New Roman" w:hAnsi="Times New Roman" w:cs="Times New Roman"/>
        </w:rPr>
        <w:fldChar w:fldCharType="separate"/>
      </w:r>
      <w:r w:rsidRPr="00D860E9">
        <w:rPr>
          <w:rFonts w:ascii="Times New Roman" w:hAnsi="Times New Roman" w:cs="Times New Roman"/>
          <w:kern w:val="0"/>
          <w:vertAlign w:val="superscript"/>
        </w:rPr>
        <w:t>1,</w:t>
      </w:r>
      <w:r w:rsidR="00D860E9">
        <w:rPr>
          <w:rFonts w:ascii="Times New Roman" w:hAnsi="Times New Roman" w:cs="Times New Roman"/>
          <w:kern w:val="0"/>
          <w:vertAlign w:val="superscript"/>
        </w:rPr>
        <w:t>3</w:t>
      </w:r>
      <w:r w:rsidRPr="00D860E9">
        <w:rPr>
          <w:rFonts w:ascii="Times New Roman" w:hAnsi="Times New Roman" w:cs="Times New Roman"/>
        </w:rPr>
        <w:fldChar w:fldCharType="end"/>
      </w:r>
      <w:r w:rsidRPr="00D860E9">
        <w:rPr>
          <w:rFonts w:ascii="Times New Roman" w:hAnsi="Times New Roman" w:cs="Times New Roman"/>
        </w:rPr>
        <w:t>. Each peptide was defined by its molecular mass, normalized migration time, and normalized signal intensity (AU</w:t>
      </w:r>
      <w:proofErr w:type="gramStart"/>
      <w:r w:rsidRPr="00D860E9">
        <w:rPr>
          <w:rFonts w:ascii="Times New Roman" w:hAnsi="Times New Roman" w:cs="Times New Roman"/>
        </w:rPr>
        <w:t>)</w:t>
      </w:r>
      <w:r w:rsidR="00D860E9">
        <w:rPr>
          <w:rFonts w:ascii="Times New Roman" w:hAnsi="Times New Roman" w:cs="Times New Roman"/>
          <w:vertAlign w:val="superscript"/>
        </w:rPr>
        <w:t>3</w:t>
      </w:r>
      <w:proofErr w:type="gramEnd"/>
      <w:r w:rsidRPr="00D860E9">
        <w:rPr>
          <w:rFonts w:ascii="Times New Roman" w:hAnsi="Times New Roman" w:cs="Times New Roman"/>
        </w:rPr>
        <w:t>. The CE-MS data was adjusted based on 29 internal collagen fragments that serve as stable internal standards across disease and health states</w:t>
      </w:r>
      <w:r w:rsidR="00E50D21">
        <w:rPr>
          <w:rFonts w:ascii="Times New Roman" w:hAnsi="Times New Roman" w:cs="Times New Roman"/>
        </w:rPr>
        <w:t>, as presented in the Supplementary table, below</w:t>
      </w:r>
      <w:r w:rsidR="00D860E9" w:rsidRPr="00D860E9">
        <w:rPr>
          <w:rFonts w:ascii="Times New Roman" w:hAnsi="Times New Roman" w:cs="Times New Roman"/>
          <w:vertAlign w:val="superscript"/>
        </w:rPr>
        <w:t>4</w:t>
      </w:r>
      <w:r w:rsidRPr="00D860E9">
        <w:rPr>
          <w:rFonts w:ascii="Times New Roman" w:hAnsi="Times New Roman" w:cs="Times New Roman"/>
        </w:rPr>
        <w:t>. All detected peptides were saved, matched, and labeled in a Microsoft SQL database</w:t>
      </w:r>
      <w:r w:rsidR="00D860E9" w:rsidRPr="00D860E9">
        <w:rPr>
          <w:rFonts w:ascii="Times New Roman" w:hAnsi="Times New Roman" w:cs="Times New Roman"/>
          <w:vertAlign w:val="superscript"/>
        </w:rPr>
        <w:t>2</w:t>
      </w:r>
      <w:r w:rsidRPr="00D860E9">
        <w:rPr>
          <w:rFonts w:ascii="Times New Roman" w:hAnsi="Times New Roman" w:cs="Times New Roman"/>
        </w:rPr>
        <w:t xml:space="preserve">, and these unique data were used as input </w:t>
      </w:r>
      <w:proofErr w:type="gramStart"/>
      <w:r w:rsidRPr="00D860E9">
        <w:rPr>
          <w:rFonts w:ascii="Times New Roman" w:hAnsi="Times New Roman" w:cs="Times New Roman"/>
        </w:rPr>
        <w:t>for</w:t>
      </w:r>
      <w:proofErr w:type="gramEnd"/>
      <w:r w:rsidRPr="00D860E9">
        <w:rPr>
          <w:rFonts w:ascii="Times New Roman" w:hAnsi="Times New Roman" w:cs="Times New Roman"/>
        </w:rPr>
        <w:t xml:space="preserve"> this study. Prior to statistical analysis, the data underwent log transformation</w:t>
      </w:r>
      <w:r w:rsidR="00D860E9" w:rsidRPr="00D860E9">
        <w:rPr>
          <w:rFonts w:ascii="Times New Roman" w:hAnsi="Times New Roman" w:cs="Times New Roman"/>
          <w:vertAlign w:val="superscript"/>
        </w:rPr>
        <w:t>5</w:t>
      </w:r>
      <w:r w:rsidRPr="00D860E9">
        <w:rPr>
          <w:rFonts w:ascii="Times New Roman" w:hAnsi="Times New Roman" w:cs="Times New Roman"/>
        </w:rPr>
        <w:t>.</w:t>
      </w:r>
    </w:p>
    <w:p w14:paraId="5EE1E3CF" w14:textId="77777777" w:rsidR="00E50D21" w:rsidRDefault="00E50D21" w:rsidP="00D860E9">
      <w:pPr>
        <w:spacing w:line="360" w:lineRule="auto"/>
        <w:jc w:val="both"/>
        <w:rPr>
          <w:rFonts w:ascii="Times New Roman" w:hAnsi="Times New Roman" w:cs="Times New Roman"/>
        </w:rPr>
      </w:pPr>
    </w:p>
    <w:p w14:paraId="2C1E125C" w14:textId="20480946" w:rsidR="00E50D21" w:rsidRPr="002577C7" w:rsidRDefault="00E50D21" w:rsidP="00E50D21">
      <w:pPr>
        <w:rPr>
          <w:rFonts w:ascii="Times New Roman" w:hAnsi="Times New Roman" w:cs="Times New Roman"/>
          <w:b/>
          <w:bCs/>
        </w:rPr>
      </w:pPr>
      <w:r>
        <w:rPr>
          <w:rFonts w:ascii="Times New Roman" w:hAnsi="Times New Roman" w:cs="Times New Roman"/>
          <w:b/>
          <w:bCs/>
        </w:rPr>
        <w:t xml:space="preserve">Supplementary Table: List of 29 internal peptide </w:t>
      </w:r>
      <w:proofErr w:type="spellStart"/>
      <w:r>
        <w:rPr>
          <w:rFonts w:ascii="Times New Roman" w:hAnsi="Times New Roman" w:cs="Times New Roman"/>
          <w:b/>
          <w:bCs/>
        </w:rPr>
        <w:t>calibrants</w:t>
      </w:r>
      <w:proofErr w:type="spellEnd"/>
      <w:r>
        <w:rPr>
          <w:rFonts w:ascii="Times New Roman" w:hAnsi="Times New Roman" w:cs="Times New Roman"/>
          <w:b/>
          <w:bCs/>
        </w:rPr>
        <w:t xml:space="preserve"> </w:t>
      </w:r>
    </w:p>
    <w:p w14:paraId="18B322B3" w14:textId="77777777" w:rsidR="00E50D21" w:rsidRDefault="00E50D21" w:rsidP="00E50D21"/>
    <w:tbl>
      <w:tblPr>
        <w:tblpPr w:leftFromText="180" w:rightFromText="180" w:vertAnchor="text" w:horzAnchor="page" w:tblpX="427" w:tblpY="99"/>
        <w:tblW w:w="11340" w:type="dxa"/>
        <w:tblLook w:val="04A0" w:firstRow="1" w:lastRow="0" w:firstColumn="1" w:lastColumn="0" w:noHBand="0" w:noVBand="1"/>
      </w:tblPr>
      <w:tblGrid>
        <w:gridCol w:w="1109"/>
        <w:gridCol w:w="983"/>
        <w:gridCol w:w="1095"/>
        <w:gridCol w:w="983"/>
        <w:gridCol w:w="1440"/>
        <w:gridCol w:w="4172"/>
        <w:gridCol w:w="1558"/>
      </w:tblGrid>
      <w:tr w:rsidR="00E50D21" w:rsidRPr="00E50D21" w14:paraId="19A3D27A" w14:textId="77777777" w:rsidTr="00966DA6">
        <w:trPr>
          <w:trHeight w:val="615"/>
        </w:trPr>
        <w:tc>
          <w:tcPr>
            <w:tcW w:w="1109" w:type="dxa"/>
            <w:tcBorders>
              <w:top w:val="single" w:sz="4" w:space="0" w:color="auto"/>
              <w:left w:val="nil"/>
              <w:bottom w:val="single" w:sz="4" w:space="0" w:color="auto"/>
              <w:right w:val="nil"/>
            </w:tcBorders>
            <w:shd w:val="clear" w:color="000000" w:fill="FFFFFF"/>
            <w:vAlign w:val="center"/>
            <w:hideMark/>
          </w:tcPr>
          <w:p w14:paraId="2B46E74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w:t>
            </w:r>
          </w:p>
        </w:tc>
        <w:tc>
          <w:tcPr>
            <w:tcW w:w="983" w:type="dxa"/>
            <w:tcBorders>
              <w:top w:val="single" w:sz="4" w:space="0" w:color="auto"/>
              <w:left w:val="nil"/>
              <w:bottom w:val="single" w:sz="4" w:space="0" w:color="auto"/>
              <w:right w:val="nil"/>
            </w:tcBorders>
            <w:shd w:val="clear" w:color="000000" w:fill="FFFFFF"/>
            <w:vAlign w:val="center"/>
            <w:hideMark/>
          </w:tcPr>
          <w:p w14:paraId="5A223AE5" w14:textId="77777777" w:rsidR="00E50D21" w:rsidRPr="00E50D21" w:rsidRDefault="00E50D21" w:rsidP="00966DA6">
            <w:pPr>
              <w:jc w:val="center"/>
              <w:rPr>
                <w:rFonts w:ascii="Times New Roman" w:eastAsia="Times New Roman" w:hAnsi="Times New Roman" w:cs="Times New Roman"/>
                <w:b/>
                <w:bCs/>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mass [Da]</w:t>
            </w:r>
          </w:p>
        </w:tc>
        <w:tc>
          <w:tcPr>
            <w:tcW w:w="1095" w:type="dxa"/>
            <w:tcBorders>
              <w:top w:val="single" w:sz="4" w:space="0" w:color="auto"/>
              <w:left w:val="nil"/>
              <w:bottom w:val="single" w:sz="4" w:space="0" w:color="auto"/>
              <w:right w:val="nil"/>
            </w:tcBorders>
            <w:shd w:val="clear" w:color="000000" w:fill="FFFFFF"/>
            <w:vAlign w:val="center"/>
            <w:hideMark/>
          </w:tcPr>
          <w:p w14:paraId="6E3A4951" w14:textId="77777777" w:rsidR="00E50D21" w:rsidRPr="00E50D21" w:rsidRDefault="00E50D21" w:rsidP="00966DA6">
            <w:pPr>
              <w:jc w:val="center"/>
              <w:rPr>
                <w:rFonts w:ascii="Times New Roman" w:eastAsia="Times New Roman" w:hAnsi="Times New Roman" w:cs="Times New Roman"/>
                <w:b/>
                <w:bCs/>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 xml:space="preserve">mass standard </w:t>
            </w:r>
            <w:proofErr w:type="spellStart"/>
            <w:r w:rsidRPr="00E50D21">
              <w:rPr>
                <w:rFonts w:ascii="Times New Roman" w:eastAsia="Times New Roman" w:hAnsi="Times New Roman" w:cs="Times New Roman"/>
                <w:b/>
                <w:bCs/>
                <w:color w:val="000000"/>
                <w:kern w:val="0"/>
                <w:sz w:val="20"/>
                <w:szCs w:val="20"/>
                <w:lang w:val="en-GB" w:eastAsia="en-GB"/>
                <w14:ligatures w14:val="none"/>
              </w:rPr>
              <w:t>devation</w:t>
            </w:r>
            <w:proofErr w:type="spellEnd"/>
          </w:p>
        </w:tc>
        <w:tc>
          <w:tcPr>
            <w:tcW w:w="983" w:type="dxa"/>
            <w:tcBorders>
              <w:top w:val="single" w:sz="4" w:space="0" w:color="auto"/>
              <w:left w:val="nil"/>
              <w:bottom w:val="single" w:sz="4" w:space="0" w:color="auto"/>
              <w:right w:val="nil"/>
            </w:tcBorders>
            <w:shd w:val="clear" w:color="000000" w:fill="FFFFFF"/>
            <w:vAlign w:val="center"/>
            <w:hideMark/>
          </w:tcPr>
          <w:p w14:paraId="4D1B985E" w14:textId="77777777" w:rsidR="00E50D21" w:rsidRPr="00E50D21" w:rsidRDefault="00E50D21" w:rsidP="00966DA6">
            <w:pPr>
              <w:jc w:val="center"/>
              <w:rPr>
                <w:rFonts w:ascii="Times New Roman" w:eastAsia="Times New Roman" w:hAnsi="Times New Roman" w:cs="Times New Roman"/>
                <w:b/>
                <w:bCs/>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CE-time [min]</w:t>
            </w:r>
          </w:p>
        </w:tc>
        <w:tc>
          <w:tcPr>
            <w:tcW w:w="1440" w:type="dxa"/>
            <w:tcBorders>
              <w:top w:val="single" w:sz="8" w:space="0" w:color="auto"/>
              <w:left w:val="nil"/>
              <w:bottom w:val="single" w:sz="8" w:space="0" w:color="auto"/>
              <w:right w:val="nil"/>
            </w:tcBorders>
            <w:shd w:val="clear" w:color="000000" w:fill="FFFFFF"/>
            <w:vAlign w:val="center"/>
            <w:hideMark/>
          </w:tcPr>
          <w:p w14:paraId="36B13660" w14:textId="77777777" w:rsidR="00E50D21" w:rsidRPr="00E50D21" w:rsidRDefault="00E50D21" w:rsidP="00966DA6">
            <w:pPr>
              <w:jc w:val="center"/>
              <w:rPr>
                <w:rFonts w:ascii="Times New Roman" w:eastAsia="Times New Roman" w:hAnsi="Times New Roman" w:cs="Times New Roman"/>
                <w:b/>
                <w:bCs/>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 xml:space="preserve">CE-time standard </w:t>
            </w:r>
            <w:proofErr w:type="spellStart"/>
            <w:r w:rsidRPr="00E50D21">
              <w:rPr>
                <w:rFonts w:ascii="Times New Roman" w:eastAsia="Times New Roman" w:hAnsi="Times New Roman" w:cs="Times New Roman"/>
                <w:b/>
                <w:bCs/>
                <w:color w:val="000000"/>
                <w:kern w:val="0"/>
                <w:sz w:val="20"/>
                <w:szCs w:val="20"/>
                <w:lang w:val="en-GB" w:eastAsia="en-GB"/>
                <w14:ligatures w14:val="none"/>
              </w:rPr>
              <w:t>devation</w:t>
            </w:r>
            <w:proofErr w:type="spellEnd"/>
          </w:p>
        </w:tc>
        <w:tc>
          <w:tcPr>
            <w:tcW w:w="4172" w:type="dxa"/>
            <w:tcBorders>
              <w:top w:val="single" w:sz="8" w:space="0" w:color="auto"/>
              <w:left w:val="nil"/>
              <w:bottom w:val="single" w:sz="8" w:space="0" w:color="auto"/>
              <w:right w:val="nil"/>
            </w:tcBorders>
            <w:shd w:val="clear" w:color="000000" w:fill="FFFFFF"/>
            <w:vAlign w:val="center"/>
            <w:hideMark/>
          </w:tcPr>
          <w:p w14:paraId="477FCDC0" w14:textId="77777777" w:rsidR="00E50D21" w:rsidRPr="00E50D21" w:rsidRDefault="00E50D21" w:rsidP="00966DA6">
            <w:pPr>
              <w:jc w:val="center"/>
              <w:rPr>
                <w:rFonts w:ascii="Times New Roman" w:eastAsia="Times New Roman" w:hAnsi="Times New Roman" w:cs="Times New Roman"/>
                <w:b/>
                <w:bCs/>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sequence information*</w:t>
            </w:r>
          </w:p>
        </w:tc>
        <w:tc>
          <w:tcPr>
            <w:tcW w:w="1558" w:type="dxa"/>
            <w:tcBorders>
              <w:top w:val="single" w:sz="8" w:space="0" w:color="auto"/>
              <w:left w:val="nil"/>
              <w:bottom w:val="single" w:sz="8" w:space="0" w:color="auto"/>
              <w:right w:val="nil"/>
            </w:tcBorders>
            <w:shd w:val="clear" w:color="000000" w:fill="FFFFFF"/>
            <w:vAlign w:val="center"/>
            <w:hideMark/>
          </w:tcPr>
          <w:p w14:paraId="0D052687" w14:textId="77777777" w:rsidR="00E50D21" w:rsidRPr="00E50D21" w:rsidRDefault="00E50D21" w:rsidP="00966DA6">
            <w:pPr>
              <w:jc w:val="center"/>
              <w:rPr>
                <w:rFonts w:ascii="Times New Roman" w:eastAsia="Times New Roman" w:hAnsi="Times New Roman" w:cs="Times New Roman"/>
                <w:b/>
                <w:bCs/>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parent protein</w:t>
            </w:r>
          </w:p>
        </w:tc>
      </w:tr>
      <w:tr w:rsidR="00E50D21" w:rsidRPr="00E50D21" w14:paraId="3CA48ED6" w14:textId="77777777" w:rsidTr="00966DA6">
        <w:trPr>
          <w:trHeight w:val="300"/>
        </w:trPr>
        <w:tc>
          <w:tcPr>
            <w:tcW w:w="1109" w:type="dxa"/>
            <w:tcBorders>
              <w:top w:val="single" w:sz="4" w:space="0" w:color="auto"/>
              <w:left w:val="nil"/>
              <w:bottom w:val="nil"/>
              <w:right w:val="nil"/>
            </w:tcBorders>
            <w:shd w:val="clear" w:color="000000" w:fill="FFFFFF"/>
            <w:vAlign w:val="center"/>
            <w:hideMark/>
          </w:tcPr>
          <w:p w14:paraId="3CCE461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w:t>
            </w:r>
          </w:p>
        </w:tc>
        <w:tc>
          <w:tcPr>
            <w:tcW w:w="983" w:type="dxa"/>
            <w:tcBorders>
              <w:top w:val="single" w:sz="4" w:space="0" w:color="auto"/>
              <w:left w:val="nil"/>
              <w:bottom w:val="nil"/>
              <w:right w:val="nil"/>
            </w:tcBorders>
            <w:shd w:val="clear" w:color="000000" w:fill="FFFFFF"/>
            <w:vAlign w:val="center"/>
            <w:hideMark/>
          </w:tcPr>
          <w:p w14:paraId="5063F44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1016,45</w:t>
            </w:r>
          </w:p>
        </w:tc>
        <w:tc>
          <w:tcPr>
            <w:tcW w:w="1095" w:type="dxa"/>
            <w:tcBorders>
              <w:top w:val="single" w:sz="4" w:space="0" w:color="auto"/>
              <w:left w:val="nil"/>
              <w:bottom w:val="nil"/>
              <w:right w:val="nil"/>
            </w:tcBorders>
            <w:shd w:val="clear" w:color="000000" w:fill="FFFFFF"/>
            <w:vAlign w:val="center"/>
            <w:hideMark/>
          </w:tcPr>
          <w:p w14:paraId="259E9D9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single" w:sz="4" w:space="0" w:color="auto"/>
              <w:left w:val="nil"/>
              <w:bottom w:val="nil"/>
              <w:right w:val="nil"/>
            </w:tcBorders>
            <w:shd w:val="clear" w:color="000000" w:fill="FFFFFF"/>
            <w:vAlign w:val="center"/>
            <w:hideMark/>
          </w:tcPr>
          <w:p w14:paraId="5111396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25,8</w:t>
            </w:r>
          </w:p>
        </w:tc>
        <w:tc>
          <w:tcPr>
            <w:tcW w:w="1440" w:type="dxa"/>
            <w:tcBorders>
              <w:top w:val="nil"/>
              <w:left w:val="nil"/>
              <w:bottom w:val="nil"/>
              <w:right w:val="nil"/>
            </w:tcBorders>
            <w:shd w:val="clear" w:color="000000" w:fill="FFFFFF"/>
            <w:vAlign w:val="center"/>
            <w:hideMark/>
          </w:tcPr>
          <w:p w14:paraId="1CD3BBB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01D56E7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ApGDKGESGPS</w:t>
            </w:r>
            <w:proofErr w:type="spellEnd"/>
          </w:p>
        </w:tc>
        <w:tc>
          <w:tcPr>
            <w:tcW w:w="1558" w:type="dxa"/>
            <w:tcBorders>
              <w:top w:val="nil"/>
              <w:left w:val="nil"/>
              <w:bottom w:val="nil"/>
              <w:right w:val="nil"/>
            </w:tcBorders>
            <w:shd w:val="clear" w:color="000000" w:fill="FFFFFF"/>
            <w:vAlign w:val="center"/>
            <w:hideMark/>
          </w:tcPr>
          <w:p w14:paraId="73FC99C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588FBD5C" w14:textId="77777777" w:rsidTr="00966DA6">
        <w:trPr>
          <w:trHeight w:val="300"/>
        </w:trPr>
        <w:tc>
          <w:tcPr>
            <w:tcW w:w="1109" w:type="dxa"/>
            <w:tcBorders>
              <w:top w:val="nil"/>
              <w:left w:val="nil"/>
              <w:bottom w:val="nil"/>
              <w:right w:val="nil"/>
            </w:tcBorders>
            <w:shd w:val="clear" w:color="000000" w:fill="FFFFFF"/>
            <w:vAlign w:val="center"/>
            <w:hideMark/>
          </w:tcPr>
          <w:p w14:paraId="100877F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w:t>
            </w:r>
          </w:p>
        </w:tc>
        <w:tc>
          <w:tcPr>
            <w:tcW w:w="983" w:type="dxa"/>
            <w:tcBorders>
              <w:top w:val="nil"/>
              <w:left w:val="nil"/>
              <w:bottom w:val="nil"/>
              <w:right w:val="nil"/>
            </w:tcBorders>
            <w:shd w:val="clear" w:color="000000" w:fill="FFFFFF"/>
            <w:vAlign w:val="center"/>
            <w:hideMark/>
          </w:tcPr>
          <w:p w14:paraId="2FF0135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1194,55</w:t>
            </w:r>
          </w:p>
        </w:tc>
        <w:tc>
          <w:tcPr>
            <w:tcW w:w="1095" w:type="dxa"/>
            <w:tcBorders>
              <w:top w:val="nil"/>
              <w:left w:val="nil"/>
              <w:bottom w:val="nil"/>
              <w:right w:val="nil"/>
            </w:tcBorders>
            <w:shd w:val="clear" w:color="000000" w:fill="FFFFFF"/>
            <w:vAlign w:val="center"/>
            <w:hideMark/>
          </w:tcPr>
          <w:p w14:paraId="282359D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6F3B118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26,7</w:t>
            </w:r>
          </w:p>
        </w:tc>
        <w:tc>
          <w:tcPr>
            <w:tcW w:w="1440" w:type="dxa"/>
            <w:tcBorders>
              <w:top w:val="nil"/>
              <w:left w:val="nil"/>
              <w:bottom w:val="nil"/>
              <w:right w:val="nil"/>
            </w:tcBorders>
            <w:shd w:val="clear" w:color="000000" w:fill="FFFFFF"/>
            <w:vAlign w:val="center"/>
            <w:hideMark/>
          </w:tcPr>
          <w:p w14:paraId="481D5D1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2989E40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SpGPDGKTGPPGp</w:t>
            </w:r>
            <w:proofErr w:type="spellEnd"/>
          </w:p>
        </w:tc>
        <w:tc>
          <w:tcPr>
            <w:tcW w:w="1558" w:type="dxa"/>
            <w:tcBorders>
              <w:top w:val="nil"/>
              <w:left w:val="nil"/>
              <w:bottom w:val="nil"/>
              <w:right w:val="nil"/>
            </w:tcBorders>
            <w:shd w:val="clear" w:color="000000" w:fill="FFFFFF"/>
            <w:vAlign w:val="center"/>
            <w:hideMark/>
          </w:tcPr>
          <w:p w14:paraId="29FC8BE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7A45EB2A" w14:textId="77777777" w:rsidTr="00966DA6">
        <w:trPr>
          <w:trHeight w:val="300"/>
        </w:trPr>
        <w:tc>
          <w:tcPr>
            <w:tcW w:w="1109" w:type="dxa"/>
            <w:tcBorders>
              <w:top w:val="nil"/>
              <w:left w:val="nil"/>
              <w:bottom w:val="nil"/>
              <w:right w:val="nil"/>
            </w:tcBorders>
            <w:shd w:val="clear" w:color="000000" w:fill="FFFFFF"/>
            <w:vAlign w:val="center"/>
            <w:hideMark/>
          </w:tcPr>
          <w:p w14:paraId="1D60653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w:t>
            </w:r>
          </w:p>
        </w:tc>
        <w:tc>
          <w:tcPr>
            <w:tcW w:w="983" w:type="dxa"/>
            <w:tcBorders>
              <w:top w:val="nil"/>
              <w:left w:val="nil"/>
              <w:bottom w:val="nil"/>
              <w:right w:val="nil"/>
            </w:tcBorders>
            <w:shd w:val="clear" w:color="000000" w:fill="FFFFFF"/>
            <w:vAlign w:val="center"/>
            <w:hideMark/>
          </w:tcPr>
          <w:p w14:paraId="1617ACF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1250,56</w:t>
            </w:r>
          </w:p>
        </w:tc>
        <w:tc>
          <w:tcPr>
            <w:tcW w:w="1095" w:type="dxa"/>
            <w:tcBorders>
              <w:top w:val="nil"/>
              <w:left w:val="nil"/>
              <w:bottom w:val="nil"/>
              <w:right w:val="nil"/>
            </w:tcBorders>
            <w:shd w:val="clear" w:color="000000" w:fill="FFFFFF"/>
            <w:vAlign w:val="center"/>
            <w:hideMark/>
          </w:tcPr>
          <w:p w14:paraId="2552A21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6E20646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27,9</w:t>
            </w:r>
          </w:p>
        </w:tc>
        <w:tc>
          <w:tcPr>
            <w:tcW w:w="1440" w:type="dxa"/>
            <w:tcBorders>
              <w:top w:val="nil"/>
              <w:left w:val="nil"/>
              <w:bottom w:val="nil"/>
              <w:right w:val="nil"/>
            </w:tcBorders>
            <w:shd w:val="clear" w:color="000000" w:fill="FFFFFF"/>
            <w:vAlign w:val="center"/>
            <w:hideMark/>
          </w:tcPr>
          <w:p w14:paraId="6BB9AC4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4D12CAE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ApGDRGEpGPpGP</w:t>
            </w:r>
            <w:proofErr w:type="spellEnd"/>
          </w:p>
        </w:tc>
        <w:tc>
          <w:tcPr>
            <w:tcW w:w="1558" w:type="dxa"/>
            <w:tcBorders>
              <w:top w:val="nil"/>
              <w:left w:val="nil"/>
              <w:bottom w:val="nil"/>
              <w:right w:val="nil"/>
            </w:tcBorders>
            <w:shd w:val="clear" w:color="000000" w:fill="FFFFFF"/>
            <w:vAlign w:val="center"/>
            <w:hideMark/>
          </w:tcPr>
          <w:p w14:paraId="64FDDE4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52C90983" w14:textId="77777777" w:rsidTr="00966DA6">
        <w:trPr>
          <w:trHeight w:val="300"/>
        </w:trPr>
        <w:tc>
          <w:tcPr>
            <w:tcW w:w="1109" w:type="dxa"/>
            <w:tcBorders>
              <w:top w:val="nil"/>
              <w:left w:val="nil"/>
              <w:bottom w:val="nil"/>
              <w:right w:val="nil"/>
            </w:tcBorders>
            <w:shd w:val="clear" w:color="000000" w:fill="FFFFFF"/>
            <w:vAlign w:val="center"/>
            <w:hideMark/>
          </w:tcPr>
          <w:p w14:paraId="675B972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4</w:t>
            </w:r>
          </w:p>
        </w:tc>
        <w:tc>
          <w:tcPr>
            <w:tcW w:w="983" w:type="dxa"/>
            <w:tcBorders>
              <w:top w:val="nil"/>
              <w:left w:val="nil"/>
              <w:bottom w:val="nil"/>
              <w:right w:val="nil"/>
            </w:tcBorders>
            <w:shd w:val="clear" w:color="000000" w:fill="FFFFFF"/>
            <w:vAlign w:val="center"/>
            <w:hideMark/>
          </w:tcPr>
          <w:p w14:paraId="3FC1A3F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1268,57</w:t>
            </w:r>
          </w:p>
        </w:tc>
        <w:tc>
          <w:tcPr>
            <w:tcW w:w="1095" w:type="dxa"/>
            <w:tcBorders>
              <w:top w:val="nil"/>
              <w:left w:val="nil"/>
              <w:bottom w:val="nil"/>
              <w:right w:val="nil"/>
            </w:tcBorders>
            <w:shd w:val="clear" w:color="000000" w:fill="FFFFFF"/>
            <w:vAlign w:val="center"/>
            <w:hideMark/>
          </w:tcPr>
          <w:p w14:paraId="02BCA99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1AC3557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27,3</w:t>
            </w:r>
          </w:p>
        </w:tc>
        <w:tc>
          <w:tcPr>
            <w:tcW w:w="1440" w:type="dxa"/>
            <w:tcBorders>
              <w:top w:val="nil"/>
              <w:left w:val="nil"/>
              <w:bottom w:val="nil"/>
              <w:right w:val="nil"/>
            </w:tcBorders>
            <w:shd w:val="clear" w:color="000000" w:fill="FFFFFF"/>
            <w:vAlign w:val="center"/>
            <w:hideMark/>
          </w:tcPr>
          <w:p w14:paraId="52B3360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402CECC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SpGERGETGPpGP</w:t>
            </w:r>
            <w:proofErr w:type="spellEnd"/>
          </w:p>
        </w:tc>
        <w:tc>
          <w:tcPr>
            <w:tcW w:w="1558" w:type="dxa"/>
            <w:tcBorders>
              <w:top w:val="nil"/>
              <w:left w:val="nil"/>
              <w:bottom w:val="nil"/>
              <w:right w:val="nil"/>
            </w:tcBorders>
            <w:shd w:val="clear" w:color="000000" w:fill="FFFFFF"/>
            <w:vAlign w:val="center"/>
            <w:hideMark/>
          </w:tcPr>
          <w:p w14:paraId="1683A12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6DC6C5F4" w14:textId="77777777" w:rsidTr="00966DA6">
        <w:trPr>
          <w:trHeight w:val="300"/>
        </w:trPr>
        <w:tc>
          <w:tcPr>
            <w:tcW w:w="1109" w:type="dxa"/>
            <w:tcBorders>
              <w:top w:val="nil"/>
              <w:left w:val="nil"/>
              <w:bottom w:val="nil"/>
              <w:right w:val="nil"/>
            </w:tcBorders>
            <w:shd w:val="clear" w:color="000000" w:fill="FFFFFF"/>
            <w:vAlign w:val="center"/>
            <w:hideMark/>
          </w:tcPr>
          <w:p w14:paraId="057ECBF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5</w:t>
            </w:r>
          </w:p>
        </w:tc>
        <w:tc>
          <w:tcPr>
            <w:tcW w:w="983" w:type="dxa"/>
            <w:tcBorders>
              <w:top w:val="nil"/>
              <w:left w:val="nil"/>
              <w:bottom w:val="nil"/>
              <w:right w:val="nil"/>
            </w:tcBorders>
            <w:shd w:val="clear" w:color="000000" w:fill="FFFFFF"/>
            <w:vAlign w:val="center"/>
            <w:hideMark/>
          </w:tcPr>
          <w:p w14:paraId="6C63B9B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1378,61</w:t>
            </w:r>
          </w:p>
        </w:tc>
        <w:tc>
          <w:tcPr>
            <w:tcW w:w="1095" w:type="dxa"/>
            <w:tcBorders>
              <w:top w:val="nil"/>
              <w:left w:val="nil"/>
              <w:bottom w:val="nil"/>
              <w:right w:val="nil"/>
            </w:tcBorders>
            <w:shd w:val="clear" w:color="000000" w:fill="FFFFFF"/>
            <w:vAlign w:val="center"/>
            <w:hideMark/>
          </w:tcPr>
          <w:p w14:paraId="48D88C6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368F2D0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28,8</w:t>
            </w:r>
          </w:p>
        </w:tc>
        <w:tc>
          <w:tcPr>
            <w:tcW w:w="1440" w:type="dxa"/>
            <w:tcBorders>
              <w:top w:val="nil"/>
              <w:left w:val="nil"/>
              <w:bottom w:val="nil"/>
              <w:right w:val="nil"/>
            </w:tcBorders>
            <w:shd w:val="clear" w:color="000000" w:fill="FFFFFF"/>
            <w:vAlign w:val="center"/>
            <w:hideMark/>
          </w:tcPr>
          <w:p w14:paraId="2DC0193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3D938C5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ApGEDGRpGPpGPQ</w:t>
            </w:r>
            <w:proofErr w:type="spellEnd"/>
          </w:p>
        </w:tc>
        <w:tc>
          <w:tcPr>
            <w:tcW w:w="1558" w:type="dxa"/>
            <w:tcBorders>
              <w:top w:val="nil"/>
              <w:left w:val="nil"/>
              <w:bottom w:val="nil"/>
              <w:right w:val="nil"/>
            </w:tcBorders>
            <w:shd w:val="clear" w:color="000000" w:fill="FFFFFF"/>
            <w:vAlign w:val="center"/>
            <w:hideMark/>
          </w:tcPr>
          <w:p w14:paraId="607B1AF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 chain </w:t>
            </w:r>
          </w:p>
        </w:tc>
      </w:tr>
      <w:tr w:rsidR="00E50D21" w:rsidRPr="00E50D21" w14:paraId="3E920B08" w14:textId="77777777" w:rsidTr="00966DA6">
        <w:trPr>
          <w:trHeight w:val="300"/>
        </w:trPr>
        <w:tc>
          <w:tcPr>
            <w:tcW w:w="1109" w:type="dxa"/>
            <w:tcBorders>
              <w:top w:val="nil"/>
              <w:left w:val="nil"/>
              <w:bottom w:val="nil"/>
              <w:right w:val="nil"/>
            </w:tcBorders>
            <w:shd w:val="clear" w:color="000000" w:fill="FFFFFF"/>
            <w:vAlign w:val="center"/>
            <w:hideMark/>
          </w:tcPr>
          <w:p w14:paraId="7DA5195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6</w:t>
            </w:r>
          </w:p>
        </w:tc>
        <w:tc>
          <w:tcPr>
            <w:tcW w:w="983" w:type="dxa"/>
            <w:tcBorders>
              <w:top w:val="nil"/>
              <w:left w:val="nil"/>
              <w:bottom w:val="nil"/>
              <w:right w:val="nil"/>
            </w:tcBorders>
            <w:shd w:val="clear" w:color="000000" w:fill="FFFFFF"/>
            <w:vAlign w:val="center"/>
            <w:hideMark/>
          </w:tcPr>
          <w:p w14:paraId="41CB5BE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1435,66</w:t>
            </w:r>
          </w:p>
        </w:tc>
        <w:tc>
          <w:tcPr>
            <w:tcW w:w="1095" w:type="dxa"/>
            <w:tcBorders>
              <w:top w:val="nil"/>
              <w:left w:val="nil"/>
              <w:bottom w:val="nil"/>
              <w:right w:val="nil"/>
            </w:tcBorders>
            <w:shd w:val="clear" w:color="000000" w:fill="FFFFFF"/>
            <w:vAlign w:val="center"/>
            <w:hideMark/>
          </w:tcPr>
          <w:p w14:paraId="319199A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39BFF18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28,8</w:t>
            </w:r>
          </w:p>
        </w:tc>
        <w:tc>
          <w:tcPr>
            <w:tcW w:w="1440" w:type="dxa"/>
            <w:tcBorders>
              <w:top w:val="nil"/>
              <w:left w:val="nil"/>
              <w:bottom w:val="nil"/>
              <w:right w:val="nil"/>
            </w:tcBorders>
            <w:shd w:val="clear" w:color="000000" w:fill="FFFFFF"/>
            <w:vAlign w:val="center"/>
            <w:hideMark/>
          </w:tcPr>
          <w:p w14:paraId="13A2D1A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6851607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SpGSPGPDGKTGPpGP</w:t>
            </w:r>
            <w:proofErr w:type="spellEnd"/>
          </w:p>
        </w:tc>
        <w:tc>
          <w:tcPr>
            <w:tcW w:w="1558" w:type="dxa"/>
            <w:tcBorders>
              <w:top w:val="nil"/>
              <w:left w:val="nil"/>
              <w:bottom w:val="nil"/>
              <w:right w:val="nil"/>
            </w:tcBorders>
            <w:shd w:val="clear" w:color="000000" w:fill="FFFFFF"/>
            <w:vAlign w:val="center"/>
            <w:hideMark/>
          </w:tcPr>
          <w:p w14:paraId="14EF621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729C1B38" w14:textId="77777777" w:rsidTr="00966DA6">
        <w:trPr>
          <w:trHeight w:val="300"/>
        </w:trPr>
        <w:tc>
          <w:tcPr>
            <w:tcW w:w="1109" w:type="dxa"/>
            <w:tcBorders>
              <w:top w:val="nil"/>
              <w:left w:val="nil"/>
              <w:bottom w:val="nil"/>
              <w:right w:val="nil"/>
            </w:tcBorders>
            <w:shd w:val="clear" w:color="000000" w:fill="FFFFFF"/>
            <w:vAlign w:val="center"/>
            <w:hideMark/>
          </w:tcPr>
          <w:p w14:paraId="03BDF81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7</w:t>
            </w:r>
          </w:p>
        </w:tc>
        <w:tc>
          <w:tcPr>
            <w:tcW w:w="983" w:type="dxa"/>
            <w:tcBorders>
              <w:top w:val="nil"/>
              <w:left w:val="nil"/>
              <w:bottom w:val="nil"/>
              <w:right w:val="nil"/>
            </w:tcBorders>
            <w:shd w:val="clear" w:color="000000" w:fill="FFFFFF"/>
            <w:vAlign w:val="center"/>
            <w:hideMark/>
          </w:tcPr>
          <w:p w14:paraId="29E451F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1451,66</w:t>
            </w:r>
          </w:p>
        </w:tc>
        <w:tc>
          <w:tcPr>
            <w:tcW w:w="1095" w:type="dxa"/>
            <w:tcBorders>
              <w:top w:val="nil"/>
              <w:left w:val="nil"/>
              <w:bottom w:val="nil"/>
              <w:right w:val="nil"/>
            </w:tcBorders>
            <w:shd w:val="clear" w:color="000000" w:fill="FFFFFF"/>
            <w:vAlign w:val="center"/>
            <w:hideMark/>
          </w:tcPr>
          <w:p w14:paraId="3728697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2463993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29,2</w:t>
            </w:r>
          </w:p>
        </w:tc>
        <w:tc>
          <w:tcPr>
            <w:tcW w:w="1440" w:type="dxa"/>
            <w:tcBorders>
              <w:top w:val="nil"/>
              <w:left w:val="nil"/>
              <w:bottom w:val="nil"/>
              <w:right w:val="nil"/>
            </w:tcBorders>
            <w:shd w:val="clear" w:color="000000" w:fill="FFFFFF"/>
            <w:vAlign w:val="center"/>
            <w:hideMark/>
          </w:tcPr>
          <w:p w14:paraId="1BF953F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0,4</w:t>
            </w:r>
          </w:p>
        </w:tc>
        <w:tc>
          <w:tcPr>
            <w:tcW w:w="4172" w:type="dxa"/>
            <w:tcBorders>
              <w:top w:val="nil"/>
              <w:left w:val="nil"/>
              <w:bottom w:val="nil"/>
              <w:right w:val="nil"/>
            </w:tcBorders>
            <w:shd w:val="clear" w:color="000000" w:fill="FFFFFF"/>
            <w:vAlign w:val="center"/>
            <w:hideMark/>
          </w:tcPr>
          <w:p w14:paraId="47169F5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SpGSpGPDGKTGPPGp</w:t>
            </w:r>
            <w:proofErr w:type="spellEnd"/>
          </w:p>
        </w:tc>
        <w:tc>
          <w:tcPr>
            <w:tcW w:w="1558" w:type="dxa"/>
            <w:tcBorders>
              <w:top w:val="nil"/>
              <w:left w:val="nil"/>
              <w:bottom w:val="nil"/>
              <w:right w:val="nil"/>
            </w:tcBorders>
            <w:shd w:val="clear" w:color="000000" w:fill="FFFFFF"/>
            <w:vAlign w:val="center"/>
            <w:hideMark/>
          </w:tcPr>
          <w:p w14:paraId="49EBB56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6AC19D5B" w14:textId="77777777" w:rsidTr="00966DA6">
        <w:trPr>
          <w:trHeight w:val="300"/>
        </w:trPr>
        <w:tc>
          <w:tcPr>
            <w:tcW w:w="1109" w:type="dxa"/>
            <w:tcBorders>
              <w:top w:val="nil"/>
              <w:left w:val="nil"/>
              <w:bottom w:val="nil"/>
              <w:right w:val="nil"/>
            </w:tcBorders>
            <w:shd w:val="clear" w:color="000000" w:fill="FFFFFF"/>
            <w:vAlign w:val="center"/>
            <w:hideMark/>
          </w:tcPr>
          <w:p w14:paraId="69CD208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8</w:t>
            </w:r>
          </w:p>
        </w:tc>
        <w:tc>
          <w:tcPr>
            <w:tcW w:w="983" w:type="dxa"/>
            <w:tcBorders>
              <w:top w:val="nil"/>
              <w:left w:val="nil"/>
              <w:bottom w:val="nil"/>
              <w:right w:val="nil"/>
            </w:tcBorders>
            <w:shd w:val="clear" w:color="000000" w:fill="FFFFFF"/>
            <w:vAlign w:val="center"/>
            <w:hideMark/>
          </w:tcPr>
          <w:p w14:paraId="7D65347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1508,68</w:t>
            </w:r>
          </w:p>
        </w:tc>
        <w:tc>
          <w:tcPr>
            <w:tcW w:w="1095" w:type="dxa"/>
            <w:tcBorders>
              <w:top w:val="nil"/>
              <w:left w:val="nil"/>
              <w:bottom w:val="nil"/>
              <w:right w:val="nil"/>
            </w:tcBorders>
            <w:shd w:val="clear" w:color="000000" w:fill="FFFFFF"/>
            <w:vAlign w:val="center"/>
            <w:hideMark/>
          </w:tcPr>
          <w:p w14:paraId="2E9A317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6C6773B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29,3</w:t>
            </w:r>
          </w:p>
        </w:tc>
        <w:tc>
          <w:tcPr>
            <w:tcW w:w="1440" w:type="dxa"/>
            <w:tcBorders>
              <w:top w:val="nil"/>
              <w:left w:val="nil"/>
              <w:bottom w:val="nil"/>
              <w:right w:val="nil"/>
            </w:tcBorders>
            <w:shd w:val="clear" w:color="000000" w:fill="FFFFFF"/>
            <w:vAlign w:val="center"/>
            <w:hideMark/>
          </w:tcPr>
          <w:p w14:paraId="57CF587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4881F2E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GSpGSpGPDGKTGPPGp</w:t>
            </w:r>
            <w:proofErr w:type="spellEnd"/>
          </w:p>
        </w:tc>
        <w:tc>
          <w:tcPr>
            <w:tcW w:w="1558" w:type="dxa"/>
            <w:tcBorders>
              <w:top w:val="nil"/>
              <w:left w:val="nil"/>
              <w:bottom w:val="nil"/>
              <w:right w:val="nil"/>
            </w:tcBorders>
            <w:shd w:val="clear" w:color="000000" w:fill="FFFFFF"/>
            <w:vAlign w:val="center"/>
            <w:hideMark/>
          </w:tcPr>
          <w:p w14:paraId="3C502C5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3315A162" w14:textId="77777777" w:rsidTr="00966DA6">
        <w:trPr>
          <w:trHeight w:val="300"/>
        </w:trPr>
        <w:tc>
          <w:tcPr>
            <w:tcW w:w="1109" w:type="dxa"/>
            <w:tcBorders>
              <w:top w:val="nil"/>
              <w:left w:val="nil"/>
              <w:bottom w:val="nil"/>
              <w:right w:val="nil"/>
            </w:tcBorders>
            <w:shd w:val="clear" w:color="000000" w:fill="FFFFFF"/>
            <w:vAlign w:val="center"/>
            <w:hideMark/>
          </w:tcPr>
          <w:p w14:paraId="20BE9C2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9</w:t>
            </w:r>
          </w:p>
        </w:tc>
        <w:tc>
          <w:tcPr>
            <w:tcW w:w="983" w:type="dxa"/>
            <w:tcBorders>
              <w:top w:val="nil"/>
              <w:left w:val="nil"/>
              <w:bottom w:val="nil"/>
              <w:right w:val="nil"/>
            </w:tcBorders>
            <w:shd w:val="clear" w:color="000000" w:fill="FFFFFF"/>
            <w:vAlign w:val="center"/>
            <w:hideMark/>
          </w:tcPr>
          <w:p w14:paraId="4B7953D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1737,78</w:t>
            </w:r>
          </w:p>
        </w:tc>
        <w:tc>
          <w:tcPr>
            <w:tcW w:w="1095" w:type="dxa"/>
            <w:tcBorders>
              <w:top w:val="nil"/>
              <w:left w:val="nil"/>
              <w:bottom w:val="nil"/>
              <w:right w:val="nil"/>
            </w:tcBorders>
            <w:shd w:val="clear" w:color="000000" w:fill="FFFFFF"/>
            <w:vAlign w:val="center"/>
            <w:hideMark/>
          </w:tcPr>
          <w:p w14:paraId="089155F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4A9C955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31,0</w:t>
            </w:r>
          </w:p>
        </w:tc>
        <w:tc>
          <w:tcPr>
            <w:tcW w:w="1440" w:type="dxa"/>
            <w:tcBorders>
              <w:top w:val="nil"/>
              <w:left w:val="nil"/>
              <w:bottom w:val="nil"/>
              <w:right w:val="nil"/>
            </w:tcBorders>
            <w:shd w:val="clear" w:color="000000" w:fill="FFFFFF"/>
            <w:vAlign w:val="center"/>
            <w:hideMark/>
          </w:tcPr>
          <w:p w14:paraId="7419060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7F0A722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TGSpGSpGPDGKTGPPGpAG</w:t>
            </w:r>
            <w:proofErr w:type="spellEnd"/>
          </w:p>
        </w:tc>
        <w:tc>
          <w:tcPr>
            <w:tcW w:w="1558" w:type="dxa"/>
            <w:tcBorders>
              <w:top w:val="nil"/>
              <w:left w:val="nil"/>
              <w:bottom w:val="nil"/>
              <w:right w:val="nil"/>
            </w:tcBorders>
            <w:shd w:val="clear" w:color="000000" w:fill="FFFFFF"/>
            <w:vAlign w:val="center"/>
            <w:hideMark/>
          </w:tcPr>
          <w:p w14:paraId="4EC9E9A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466C37EB" w14:textId="77777777" w:rsidTr="00966DA6">
        <w:trPr>
          <w:trHeight w:val="300"/>
        </w:trPr>
        <w:tc>
          <w:tcPr>
            <w:tcW w:w="1109" w:type="dxa"/>
            <w:tcBorders>
              <w:top w:val="nil"/>
              <w:left w:val="nil"/>
              <w:bottom w:val="nil"/>
              <w:right w:val="nil"/>
            </w:tcBorders>
            <w:shd w:val="clear" w:color="000000" w:fill="FFFFFF"/>
            <w:vAlign w:val="center"/>
            <w:hideMark/>
          </w:tcPr>
          <w:p w14:paraId="5FDCEDC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10</w:t>
            </w:r>
          </w:p>
        </w:tc>
        <w:tc>
          <w:tcPr>
            <w:tcW w:w="983" w:type="dxa"/>
            <w:tcBorders>
              <w:top w:val="nil"/>
              <w:left w:val="nil"/>
              <w:bottom w:val="nil"/>
              <w:right w:val="nil"/>
            </w:tcBorders>
            <w:shd w:val="clear" w:color="000000" w:fill="FFFFFF"/>
            <w:vAlign w:val="center"/>
            <w:hideMark/>
          </w:tcPr>
          <w:p w14:paraId="399B394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1834,83</w:t>
            </w:r>
          </w:p>
        </w:tc>
        <w:tc>
          <w:tcPr>
            <w:tcW w:w="1095" w:type="dxa"/>
            <w:tcBorders>
              <w:top w:val="nil"/>
              <w:left w:val="nil"/>
              <w:bottom w:val="nil"/>
              <w:right w:val="nil"/>
            </w:tcBorders>
            <w:shd w:val="clear" w:color="000000" w:fill="FFFFFF"/>
            <w:vAlign w:val="center"/>
            <w:hideMark/>
          </w:tcPr>
          <w:p w14:paraId="12F0F29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4096911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31,1</w:t>
            </w:r>
          </w:p>
        </w:tc>
        <w:tc>
          <w:tcPr>
            <w:tcW w:w="1440" w:type="dxa"/>
            <w:tcBorders>
              <w:top w:val="nil"/>
              <w:left w:val="nil"/>
              <w:bottom w:val="nil"/>
              <w:right w:val="nil"/>
            </w:tcBorders>
            <w:shd w:val="clear" w:color="000000" w:fill="FFFFFF"/>
            <w:vAlign w:val="center"/>
            <w:hideMark/>
          </w:tcPr>
          <w:p w14:paraId="6B493F8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7417EB6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GLpGTGGPpGENGKpGEPGp</w:t>
            </w:r>
            <w:proofErr w:type="spellEnd"/>
          </w:p>
        </w:tc>
        <w:tc>
          <w:tcPr>
            <w:tcW w:w="1558" w:type="dxa"/>
            <w:tcBorders>
              <w:top w:val="nil"/>
              <w:left w:val="nil"/>
              <w:bottom w:val="nil"/>
              <w:right w:val="nil"/>
            </w:tcBorders>
            <w:shd w:val="clear" w:color="000000" w:fill="FFFFFF"/>
            <w:vAlign w:val="center"/>
            <w:hideMark/>
          </w:tcPr>
          <w:p w14:paraId="54AE868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69A324EA" w14:textId="77777777" w:rsidTr="00966DA6">
        <w:trPr>
          <w:trHeight w:val="300"/>
        </w:trPr>
        <w:tc>
          <w:tcPr>
            <w:tcW w:w="1109" w:type="dxa"/>
            <w:tcBorders>
              <w:top w:val="nil"/>
              <w:left w:val="nil"/>
              <w:bottom w:val="nil"/>
              <w:right w:val="nil"/>
            </w:tcBorders>
            <w:shd w:val="clear" w:color="000000" w:fill="FFFFFF"/>
            <w:vAlign w:val="center"/>
            <w:hideMark/>
          </w:tcPr>
          <w:p w14:paraId="40AA1FC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11</w:t>
            </w:r>
          </w:p>
        </w:tc>
        <w:tc>
          <w:tcPr>
            <w:tcW w:w="983" w:type="dxa"/>
            <w:tcBorders>
              <w:top w:val="nil"/>
              <w:left w:val="nil"/>
              <w:bottom w:val="nil"/>
              <w:right w:val="nil"/>
            </w:tcBorders>
            <w:shd w:val="clear" w:color="000000" w:fill="FFFFFF"/>
            <w:vAlign w:val="center"/>
            <w:hideMark/>
          </w:tcPr>
          <w:p w14:paraId="5991838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2025,87</w:t>
            </w:r>
          </w:p>
        </w:tc>
        <w:tc>
          <w:tcPr>
            <w:tcW w:w="1095" w:type="dxa"/>
            <w:tcBorders>
              <w:top w:val="nil"/>
              <w:left w:val="nil"/>
              <w:bottom w:val="nil"/>
              <w:right w:val="nil"/>
            </w:tcBorders>
            <w:shd w:val="clear" w:color="000000" w:fill="FFFFFF"/>
            <w:vAlign w:val="center"/>
            <w:hideMark/>
          </w:tcPr>
          <w:p w14:paraId="3E6FF6B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68596D9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32,2</w:t>
            </w:r>
          </w:p>
        </w:tc>
        <w:tc>
          <w:tcPr>
            <w:tcW w:w="1440" w:type="dxa"/>
            <w:tcBorders>
              <w:top w:val="nil"/>
              <w:left w:val="nil"/>
              <w:bottom w:val="nil"/>
              <w:right w:val="nil"/>
            </w:tcBorders>
            <w:shd w:val="clear" w:color="000000" w:fill="FFFFFF"/>
            <w:vAlign w:val="center"/>
            <w:hideMark/>
          </w:tcPr>
          <w:p w14:paraId="49CD941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6EB7219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SEGSpGHpGQpGpPGPPGApGp</w:t>
            </w:r>
            <w:proofErr w:type="spellEnd"/>
          </w:p>
        </w:tc>
        <w:tc>
          <w:tcPr>
            <w:tcW w:w="1558" w:type="dxa"/>
            <w:tcBorders>
              <w:top w:val="nil"/>
              <w:left w:val="nil"/>
              <w:bottom w:val="nil"/>
              <w:right w:val="nil"/>
            </w:tcBorders>
            <w:shd w:val="clear" w:color="000000" w:fill="FFFFFF"/>
            <w:vAlign w:val="center"/>
            <w:hideMark/>
          </w:tcPr>
          <w:p w14:paraId="029001D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36ED49C9" w14:textId="77777777" w:rsidTr="00966DA6">
        <w:trPr>
          <w:trHeight w:val="300"/>
        </w:trPr>
        <w:tc>
          <w:tcPr>
            <w:tcW w:w="1109" w:type="dxa"/>
            <w:tcBorders>
              <w:top w:val="nil"/>
              <w:left w:val="nil"/>
              <w:bottom w:val="nil"/>
              <w:right w:val="nil"/>
            </w:tcBorders>
            <w:shd w:val="clear" w:color="000000" w:fill="FFFFFF"/>
            <w:vAlign w:val="center"/>
            <w:hideMark/>
          </w:tcPr>
          <w:p w14:paraId="32CC0B5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12</w:t>
            </w:r>
          </w:p>
        </w:tc>
        <w:tc>
          <w:tcPr>
            <w:tcW w:w="983" w:type="dxa"/>
            <w:tcBorders>
              <w:top w:val="nil"/>
              <w:left w:val="nil"/>
              <w:bottom w:val="nil"/>
              <w:right w:val="nil"/>
            </w:tcBorders>
            <w:shd w:val="clear" w:color="000000" w:fill="FFFFFF"/>
            <w:vAlign w:val="center"/>
            <w:hideMark/>
          </w:tcPr>
          <w:p w14:paraId="58DCBDE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2046,92</w:t>
            </w:r>
          </w:p>
        </w:tc>
        <w:tc>
          <w:tcPr>
            <w:tcW w:w="1095" w:type="dxa"/>
            <w:tcBorders>
              <w:top w:val="nil"/>
              <w:left w:val="nil"/>
              <w:bottom w:val="nil"/>
              <w:right w:val="nil"/>
            </w:tcBorders>
            <w:shd w:val="clear" w:color="000000" w:fill="FFFFFF"/>
            <w:vAlign w:val="center"/>
            <w:hideMark/>
          </w:tcPr>
          <w:p w14:paraId="276E664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0,03</w:t>
            </w:r>
          </w:p>
        </w:tc>
        <w:tc>
          <w:tcPr>
            <w:tcW w:w="983" w:type="dxa"/>
            <w:tcBorders>
              <w:top w:val="nil"/>
              <w:left w:val="nil"/>
              <w:bottom w:val="nil"/>
              <w:right w:val="nil"/>
            </w:tcBorders>
            <w:shd w:val="clear" w:color="000000" w:fill="FFFFFF"/>
            <w:vAlign w:val="center"/>
            <w:hideMark/>
          </w:tcPr>
          <w:p w14:paraId="51570C2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32,6</w:t>
            </w:r>
          </w:p>
        </w:tc>
        <w:tc>
          <w:tcPr>
            <w:tcW w:w="1440" w:type="dxa"/>
            <w:tcBorders>
              <w:top w:val="nil"/>
              <w:left w:val="nil"/>
              <w:bottom w:val="nil"/>
              <w:right w:val="nil"/>
            </w:tcBorders>
            <w:shd w:val="clear" w:color="000000" w:fill="FFFFFF"/>
            <w:vAlign w:val="center"/>
            <w:hideMark/>
          </w:tcPr>
          <w:p w14:paraId="137959B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31742B8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PpGEAGKpGEQGVpGDLGApGP</w:t>
            </w:r>
            <w:proofErr w:type="spellEnd"/>
          </w:p>
        </w:tc>
        <w:tc>
          <w:tcPr>
            <w:tcW w:w="1558" w:type="dxa"/>
            <w:tcBorders>
              <w:top w:val="nil"/>
              <w:left w:val="nil"/>
              <w:bottom w:val="nil"/>
              <w:right w:val="nil"/>
            </w:tcBorders>
            <w:shd w:val="clear" w:color="000000" w:fill="FFFFFF"/>
            <w:vAlign w:val="center"/>
            <w:hideMark/>
          </w:tcPr>
          <w:p w14:paraId="50B7D18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6B8F882E" w14:textId="77777777" w:rsidTr="00966DA6">
        <w:trPr>
          <w:trHeight w:val="300"/>
        </w:trPr>
        <w:tc>
          <w:tcPr>
            <w:tcW w:w="1109" w:type="dxa"/>
            <w:tcBorders>
              <w:top w:val="nil"/>
              <w:left w:val="nil"/>
              <w:bottom w:val="single" w:sz="4" w:space="0" w:color="auto"/>
              <w:right w:val="nil"/>
            </w:tcBorders>
            <w:shd w:val="clear" w:color="000000" w:fill="FFFFFF"/>
            <w:vAlign w:val="center"/>
            <w:hideMark/>
          </w:tcPr>
          <w:p w14:paraId="48346A8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13</w:t>
            </w:r>
          </w:p>
        </w:tc>
        <w:tc>
          <w:tcPr>
            <w:tcW w:w="983" w:type="dxa"/>
            <w:tcBorders>
              <w:top w:val="nil"/>
              <w:left w:val="nil"/>
              <w:bottom w:val="single" w:sz="4" w:space="0" w:color="auto"/>
              <w:right w:val="nil"/>
            </w:tcBorders>
            <w:shd w:val="clear" w:color="000000" w:fill="FFFFFF"/>
            <w:vAlign w:val="center"/>
            <w:hideMark/>
          </w:tcPr>
          <w:p w14:paraId="1DE793F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2087,97</w:t>
            </w:r>
          </w:p>
        </w:tc>
        <w:tc>
          <w:tcPr>
            <w:tcW w:w="1095" w:type="dxa"/>
            <w:tcBorders>
              <w:top w:val="nil"/>
              <w:left w:val="nil"/>
              <w:bottom w:val="single" w:sz="4" w:space="0" w:color="auto"/>
              <w:right w:val="nil"/>
            </w:tcBorders>
            <w:shd w:val="clear" w:color="000000" w:fill="FFFFFF"/>
            <w:vAlign w:val="center"/>
            <w:hideMark/>
          </w:tcPr>
          <w:p w14:paraId="582412D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single" w:sz="4" w:space="0" w:color="auto"/>
              <w:right w:val="nil"/>
            </w:tcBorders>
            <w:shd w:val="clear" w:color="000000" w:fill="FFFFFF"/>
            <w:vAlign w:val="center"/>
            <w:hideMark/>
          </w:tcPr>
          <w:p w14:paraId="7AF2BC9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32,9</w:t>
            </w:r>
          </w:p>
        </w:tc>
        <w:tc>
          <w:tcPr>
            <w:tcW w:w="1440" w:type="dxa"/>
            <w:tcBorders>
              <w:top w:val="nil"/>
              <w:left w:val="nil"/>
              <w:bottom w:val="single" w:sz="4" w:space="0" w:color="auto"/>
              <w:right w:val="nil"/>
            </w:tcBorders>
            <w:shd w:val="clear" w:color="000000" w:fill="FFFFFF"/>
            <w:vAlign w:val="center"/>
            <w:hideMark/>
          </w:tcPr>
          <w:p w14:paraId="4D39861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single" w:sz="4" w:space="0" w:color="auto"/>
              <w:right w:val="nil"/>
            </w:tcBorders>
            <w:shd w:val="clear" w:color="000000" w:fill="FFFFFF"/>
            <w:vAlign w:val="center"/>
            <w:hideMark/>
          </w:tcPr>
          <w:p w14:paraId="32DA9BE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GppGEAGKPGEQGVPGDLGAPGp</w:t>
            </w:r>
            <w:proofErr w:type="spellEnd"/>
          </w:p>
        </w:tc>
        <w:tc>
          <w:tcPr>
            <w:tcW w:w="1558" w:type="dxa"/>
            <w:tcBorders>
              <w:top w:val="nil"/>
              <w:left w:val="nil"/>
              <w:bottom w:val="single" w:sz="4" w:space="0" w:color="auto"/>
              <w:right w:val="nil"/>
            </w:tcBorders>
            <w:shd w:val="clear" w:color="000000" w:fill="FFFFFF"/>
            <w:vAlign w:val="center"/>
            <w:hideMark/>
          </w:tcPr>
          <w:p w14:paraId="079B4AC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11703F" w:rsidRPr="00E50D21" w14:paraId="5FC5EB21" w14:textId="77777777" w:rsidTr="00966DA6">
        <w:trPr>
          <w:trHeight w:val="300"/>
        </w:trPr>
        <w:tc>
          <w:tcPr>
            <w:tcW w:w="1109" w:type="dxa"/>
            <w:tcBorders>
              <w:top w:val="single" w:sz="4" w:space="0" w:color="auto"/>
              <w:left w:val="nil"/>
              <w:bottom w:val="single" w:sz="4" w:space="0" w:color="auto"/>
              <w:right w:val="nil"/>
            </w:tcBorders>
            <w:shd w:val="clear" w:color="000000" w:fill="FFFFFF"/>
            <w:vAlign w:val="center"/>
          </w:tcPr>
          <w:p w14:paraId="77C19986" w14:textId="4633A5D1"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lastRenderedPageBreak/>
              <w:t>mass [Da]</w:t>
            </w:r>
          </w:p>
        </w:tc>
        <w:tc>
          <w:tcPr>
            <w:tcW w:w="983" w:type="dxa"/>
            <w:tcBorders>
              <w:top w:val="single" w:sz="4" w:space="0" w:color="auto"/>
              <w:left w:val="nil"/>
              <w:bottom w:val="single" w:sz="4" w:space="0" w:color="auto"/>
              <w:right w:val="nil"/>
            </w:tcBorders>
            <w:shd w:val="clear" w:color="000000" w:fill="FFFFFF"/>
            <w:vAlign w:val="center"/>
          </w:tcPr>
          <w:p w14:paraId="592B9EA4" w14:textId="466D27EE"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 xml:space="preserve">mass standard </w:t>
            </w:r>
            <w:proofErr w:type="spellStart"/>
            <w:r w:rsidRPr="00E50D21">
              <w:rPr>
                <w:rFonts w:ascii="Times New Roman" w:eastAsia="Times New Roman" w:hAnsi="Times New Roman" w:cs="Times New Roman"/>
                <w:b/>
                <w:bCs/>
                <w:color w:val="000000"/>
                <w:kern w:val="0"/>
                <w:sz w:val="20"/>
                <w:szCs w:val="20"/>
                <w:lang w:val="en-GB" w:eastAsia="en-GB"/>
                <w14:ligatures w14:val="none"/>
              </w:rPr>
              <w:t>devation</w:t>
            </w:r>
            <w:proofErr w:type="spellEnd"/>
          </w:p>
        </w:tc>
        <w:tc>
          <w:tcPr>
            <w:tcW w:w="1095" w:type="dxa"/>
            <w:tcBorders>
              <w:top w:val="single" w:sz="4" w:space="0" w:color="auto"/>
              <w:left w:val="nil"/>
              <w:bottom w:val="single" w:sz="4" w:space="0" w:color="auto"/>
              <w:right w:val="nil"/>
            </w:tcBorders>
            <w:shd w:val="clear" w:color="000000" w:fill="FFFFFF"/>
            <w:vAlign w:val="center"/>
          </w:tcPr>
          <w:p w14:paraId="7971E83E" w14:textId="64A1A99A"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CE-time [min]</w:t>
            </w:r>
          </w:p>
        </w:tc>
        <w:tc>
          <w:tcPr>
            <w:tcW w:w="983" w:type="dxa"/>
            <w:tcBorders>
              <w:top w:val="single" w:sz="4" w:space="0" w:color="auto"/>
              <w:left w:val="nil"/>
              <w:bottom w:val="single" w:sz="4" w:space="0" w:color="auto"/>
              <w:right w:val="nil"/>
            </w:tcBorders>
            <w:shd w:val="clear" w:color="000000" w:fill="FFFFFF"/>
            <w:vAlign w:val="center"/>
          </w:tcPr>
          <w:p w14:paraId="21E79D98" w14:textId="28F4787A"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 xml:space="preserve">CE-time standard </w:t>
            </w:r>
            <w:proofErr w:type="spellStart"/>
            <w:r w:rsidRPr="00E50D21">
              <w:rPr>
                <w:rFonts w:ascii="Times New Roman" w:eastAsia="Times New Roman" w:hAnsi="Times New Roman" w:cs="Times New Roman"/>
                <w:b/>
                <w:bCs/>
                <w:color w:val="000000"/>
                <w:kern w:val="0"/>
                <w:sz w:val="20"/>
                <w:szCs w:val="20"/>
                <w:lang w:val="en-GB" w:eastAsia="en-GB"/>
                <w14:ligatures w14:val="none"/>
              </w:rPr>
              <w:t>devation</w:t>
            </w:r>
            <w:proofErr w:type="spellEnd"/>
          </w:p>
        </w:tc>
        <w:tc>
          <w:tcPr>
            <w:tcW w:w="1440" w:type="dxa"/>
            <w:tcBorders>
              <w:top w:val="single" w:sz="4" w:space="0" w:color="auto"/>
              <w:left w:val="nil"/>
              <w:bottom w:val="single" w:sz="4" w:space="0" w:color="auto"/>
              <w:right w:val="nil"/>
            </w:tcBorders>
            <w:shd w:val="clear" w:color="000000" w:fill="FFFFFF"/>
            <w:vAlign w:val="center"/>
          </w:tcPr>
          <w:p w14:paraId="4D95887D" w14:textId="45BE99A4"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sequence information*</w:t>
            </w:r>
          </w:p>
        </w:tc>
        <w:tc>
          <w:tcPr>
            <w:tcW w:w="4172" w:type="dxa"/>
            <w:tcBorders>
              <w:top w:val="single" w:sz="4" w:space="0" w:color="auto"/>
              <w:left w:val="nil"/>
              <w:bottom w:val="single" w:sz="4" w:space="0" w:color="auto"/>
              <w:right w:val="nil"/>
            </w:tcBorders>
            <w:shd w:val="clear" w:color="000000" w:fill="FFFFFF"/>
            <w:vAlign w:val="center"/>
          </w:tcPr>
          <w:p w14:paraId="7CA20D0E" w14:textId="3C1900B2"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parent protein</w:t>
            </w:r>
          </w:p>
        </w:tc>
        <w:tc>
          <w:tcPr>
            <w:tcW w:w="1558" w:type="dxa"/>
            <w:tcBorders>
              <w:top w:val="single" w:sz="4" w:space="0" w:color="auto"/>
              <w:left w:val="nil"/>
              <w:bottom w:val="single" w:sz="4" w:space="0" w:color="auto"/>
              <w:right w:val="nil"/>
            </w:tcBorders>
            <w:shd w:val="clear" w:color="000000" w:fill="FFFFFF"/>
            <w:vAlign w:val="center"/>
          </w:tcPr>
          <w:p w14:paraId="6FDBD6A2" w14:textId="263C7785" w:rsidR="0011703F" w:rsidRPr="00E50D21" w:rsidRDefault="0011703F"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b/>
                <w:bCs/>
                <w:color w:val="000000"/>
                <w:kern w:val="0"/>
                <w:sz w:val="20"/>
                <w:szCs w:val="20"/>
                <w:lang w:val="en-GB" w:eastAsia="en-GB"/>
                <w14:ligatures w14:val="none"/>
              </w:rPr>
              <w:t>mass [Da]</w:t>
            </w:r>
          </w:p>
        </w:tc>
      </w:tr>
      <w:tr w:rsidR="00E50D21" w:rsidRPr="00E50D21" w14:paraId="0BE6D7B5" w14:textId="77777777" w:rsidTr="00966DA6">
        <w:trPr>
          <w:trHeight w:val="300"/>
        </w:trPr>
        <w:tc>
          <w:tcPr>
            <w:tcW w:w="1109" w:type="dxa"/>
            <w:tcBorders>
              <w:top w:val="single" w:sz="4" w:space="0" w:color="auto"/>
              <w:left w:val="nil"/>
              <w:bottom w:val="nil"/>
              <w:right w:val="nil"/>
            </w:tcBorders>
            <w:shd w:val="clear" w:color="000000" w:fill="FFFFFF"/>
            <w:vAlign w:val="center"/>
            <w:hideMark/>
          </w:tcPr>
          <w:p w14:paraId="7C68442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14</w:t>
            </w:r>
          </w:p>
        </w:tc>
        <w:tc>
          <w:tcPr>
            <w:tcW w:w="983" w:type="dxa"/>
            <w:tcBorders>
              <w:top w:val="single" w:sz="4" w:space="0" w:color="auto"/>
              <w:left w:val="nil"/>
              <w:bottom w:val="nil"/>
              <w:right w:val="nil"/>
            </w:tcBorders>
            <w:shd w:val="clear" w:color="000000" w:fill="FFFFFF"/>
            <w:vAlign w:val="center"/>
            <w:hideMark/>
          </w:tcPr>
          <w:p w14:paraId="470B2DF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2103,96</w:t>
            </w:r>
          </w:p>
        </w:tc>
        <w:tc>
          <w:tcPr>
            <w:tcW w:w="1095" w:type="dxa"/>
            <w:tcBorders>
              <w:top w:val="single" w:sz="4" w:space="0" w:color="auto"/>
              <w:left w:val="nil"/>
              <w:bottom w:val="nil"/>
              <w:right w:val="nil"/>
            </w:tcBorders>
            <w:shd w:val="clear" w:color="000000" w:fill="FFFFFF"/>
            <w:vAlign w:val="center"/>
            <w:hideMark/>
          </w:tcPr>
          <w:p w14:paraId="12EF0D3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single" w:sz="4" w:space="0" w:color="auto"/>
              <w:left w:val="nil"/>
              <w:bottom w:val="nil"/>
              <w:right w:val="nil"/>
            </w:tcBorders>
            <w:shd w:val="clear" w:color="000000" w:fill="FFFFFF"/>
            <w:vAlign w:val="center"/>
            <w:hideMark/>
          </w:tcPr>
          <w:p w14:paraId="77DA981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33,0</w:t>
            </w:r>
          </w:p>
        </w:tc>
        <w:tc>
          <w:tcPr>
            <w:tcW w:w="1440" w:type="dxa"/>
            <w:tcBorders>
              <w:top w:val="single" w:sz="4" w:space="0" w:color="auto"/>
              <w:left w:val="nil"/>
              <w:bottom w:val="nil"/>
              <w:right w:val="nil"/>
            </w:tcBorders>
            <w:shd w:val="clear" w:color="000000" w:fill="FFFFFF"/>
            <w:vAlign w:val="center"/>
            <w:hideMark/>
          </w:tcPr>
          <w:p w14:paraId="1809DBD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single" w:sz="4" w:space="0" w:color="auto"/>
              <w:left w:val="nil"/>
              <w:bottom w:val="nil"/>
              <w:right w:val="nil"/>
            </w:tcBorders>
            <w:shd w:val="clear" w:color="000000" w:fill="FFFFFF"/>
            <w:vAlign w:val="center"/>
            <w:hideMark/>
          </w:tcPr>
          <w:p w14:paraId="4D446C9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GPpGEAGKpGEQGVpGDLGApGP</w:t>
            </w:r>
            <w:proofErr w:type="spellEnd"/>
          </w:p>
        </w:tc>
        <w:tc>
          <w:tcPr>
            <w:tcW w:w="1558" w:type="dxa"/>
            <w:tcBorders>
              <w:top w:val="single" w:sz="4" w:space="0" w:color="auto"/>
              <w:left w:val="nil"/>
              <w:bottom w:val="nil"/>
              <w:right w:val="nil"/>
            </w:tcBorders>
            <w:shd w:val="clear" w:color="000000" w:fill="FFFFFF"/>
            <w:vAlign w:val="center"/>
            <w:hideMark/>
          </w:tcPr>
          <w:p w14:paraId="5507161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000102CB" w14:textId="77777777" w:rsidTr="00966DA6">
        <w:trPr>
          <w:trHeight w:val="300"/>
        </w:trPr>
        <w:tc>
          <w:tcPr>
            <w:tcW w:w="1109" w:type="dxa"/>
            <w:tcBorders>
              <w:top w:val="nil"/>
              <w:left w:val="nil"/>
              <w:bottom w:val="nil"/>
              <w:right w:val="nil"/>
            </w:tcBorders>
            <w:shd w:val="clear" w:color="000000" w:fill="FFFFFF"/>
            <w:vAlign w:val="center"/>
            <w:hideMark/>
          </w:tcPr>
          <w:p w14:paraId="31EDF77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15</w:t>
            </w:r>
          </w:p>
        </w:tc>
        <w:tc>
          <w:tcPr>
            <w:tcW w:w="983" w:type="dxa"/>
            <w:tcBorders>
              <w:top w:val="nil"/>
              <w:left w:val="nil"/>
              <w:bottom w:val="nil"/>
              <w:right w:val="nil"/>
            </w:tcBorders>
            <w:shd w:val="clear" w:color="000000" w:fill="FFFFFF"/>
            <w:vAlign w:val="center"/>
            <w:hideMark/>
          </w:tcPr>
          <w:p w14:paraId="113AAF3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2169,98</w:t>
            </w:r>
          </w:p>
        </w:tc>
        <w:tc>
          <w:tcPr>
            <w:tcW w:w="1095" w:type="dxa"/>
            <w:tcBorders>
              <w:top w:val="nil"/>
              <w:left w:val="nil"/>
              <w:bottom w:val="nil"/>
              <w:right w:val="nil"/>
            </w:tcBorders>
            <w:shd w:val="clear" w:color="000000" w:fill="FFFFFF"/>
            <w:vAlign w:val="center"/>
            <w:hideMark/>
          </w:tcPr>
          <w:p w14:paraId="136008C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663C83B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25,9</w:t>
            </w:r>
          </w:p>
        </w:tc>
        <w:tc>
          <w:tcPr>
            <w:tcW w:w="1440" w:type="dxa"/>
            <w:tcBorders>
              <w:top w:val="nil"/>
              <w:left w:val="nil"/>
              <w:bottom w:val="nil"/>
              <w:right w:val="nil"/>
            </w:tcBorders>
            <w:shd w:val="clear" w:color="000000" w:fill="FFFFFF"/>
            <w:vAlign w:val="center"/>
            <w:hideMark/>
          </w:tcPr>
          <w:p w14:paraId="3A95044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01D0FB1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NSGEpGApGSKGDTGAKGEpGPVG</w:t>
            </w:r>
            <w:proofErr w:type="spellEnd"/>
          </w:p>
        </w:tc>
        <w:tc>
          <w:tcPr>
            <w:tcW w:w="1558" w:type="dxa"/>
            <w:tcBorders>
              <w:top w:val="nil"/>
              <w:left w:val="nil"/>
              <w:bottom w:val="nil"/>
              <w:right w:val="nil"/>
            </w:tcBorders>
            <w:shd w:val="clear" w:color="000000" w:fill="FFFFFF"/>
            <w:vAlign w:val="center"/>
            <w:hideMark/>
          </w:tcPr>
          <w:p w14:paraId="493E8F0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36190729" w14:textId="77777777" w:rsidTr="00966DA6">
        <w:trPr>
          <w:trHeight w:val="300"/>
        </w:trPr>
        <w:tc>
          <w:tcPr>
            <w:tcW w:w="1109" w:type="dxa"/>
            <w:tcBorders>
              <w:top w:val="nil"/>
              <w:left w:val="nil"/>
              <w:bottom w:val="nil"/>
              <w:right w:val="nil"/>
            </w:tcBorders>
            <w:shd w:val="clear" w:color="000000" w:fill="FFFFFF"/>
            <w:vAlign w:val="center"/>
            <w:hideMark/>
          </w:tcPr>
          <w:p w14:paraId="41D4DFA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16</w:t>
            </w:r>
          </w:p>
        </w:tc>
        <w:tc>
          <w:tcPr>
            <w:tcW w:w="983" w:type="dxa"/>
            <w:tcBorders>
              <w:top w:val="nil"/>
              <w:left w:val="nil"/>
              <w:bottom w:val="nil"/>
              <w:right w:val="nil"/>
            </w:tcBorders>
            <w:shd w:val="clear" w:color="000000" w:fill="FFFFFF"/>
            <w:vAlign w:val="center"/>
            <w:hideMark/>
          </w:tcPr>
          <w:p w14:paraId="1E95664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2220,99</w:t>
            </w:r>
          </w:p>
        </w:tc>
        <w:tc>
          <w:tcPr>
            <w:tcW w:w="1095" w:type="dxa"/>
            <w:tcBorders>
              <w:top w:val="nil"/>
              <w:left w:val="nil"/>
              <w:bottom w:val="nil"/>
              <w:right w:val="nil"/>
            </w:tcBorders>
            <w:shd w:val="clear" w:color="000000" w:fill="FFFFFF"/>
            <w:vAlign w:val="center"/>
            <w:hideMark/>
          </w:tcPr>
          <w:p w14:paraId="6480D01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3CBBBB3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27,1</w:t>
            </w:r>
          </w:p>
        </w:tc>
        <w:tc>
          <w:tcPr>
            <w:tcW w:w="1440" w:type="dxa"/>
            <w:tcBorders>
              <w:top w:val="nil"/>
              <w:left w:val="nil"/>
              <w:bottom w:val="nil"/>
              <w:right w:val="nil"/>
            </w:tcBorders>
            <w:shd w:val="clear" w:color="000000" w:fill="FFFFFF"/>
            <w:vAlign w:val="center"/>
            <w:hideMark/>
          </w:tcPr>
          <w:p w14:paraId="090A74B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712D5A3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ADGQpGAKGEpGDAGAKGDAGPpGP</w:t>
            </w:r>
            <w:proofErr w:type="spellEnd"/>
          </w:p>
        </w:tc>
        <w:tc>
          <w:tcPr>
            <w:tcW w:w="1558" w:type="dxa"/>
            <w:tcBorders>
              <w:top w:val="nil"/>
              <w:left w:val="nil"/>
              <w:bottom w:val="nil"/>
              <w:right w:val="nil"/>
            </w:tcBorders>
            <w:shd w:val="clear" w:color="000000" w:fill="FFFFFF"/>
            <w:vAlign w:val="center"/>
            <w:hideMark/>
          </w:tcPr>
          <w:p w14:paraId="73EBBF5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62330C3D" w14:textId="77777777" w:rsidTr="00966DA6">
        <w:trPr>
          <w:trHeight w:val="300"/>
        </w:trPr>
        <w:tc>
          <w:tcPr>
            <w:tcW w:w="1109" w:type="dxa"/>
            <w:tcBorders>
              <w:top w:val="nil"/>
              <w:left w:val="nil"/>
              <w:bottom w:val="nil"/>
              <w:right w:val="nil"/>
            </w:tcBorders>
            <w:shd w:val="clear" w:color="000000" w:fill="FFFFFF"/>
            <w:vAlign w:val="center"/>
            <w:hideMark/>
          </w:tcPr>
          <w:p w14:paraId="7934888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17</w:t>
            </w:r>
          </w:p>
        </w:tc>
        <w:tc>
          <w:tcPr>
            <w:tcW w:w="983" w:type="dxa"/>
            <w:tcBorders>
              <w:top w:val="nil"/>
              <w:left w:val="nil"/>
              <w:bottom w:val="nil"/>
              <w:right w:val="nil"/>
            </w:tcBorders>
            <w:shd w:val="clear" w:color="000000" w:fill="FFFFFF"/>
            <w:vAlign w:val="center"/>
            <w:hideMark/>
          </w:tcPr>
          <w:p w14:paraId="6F66C50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2226,99</w:t>
            </w:r>
          </w:p>
        </w:tc>
        <w:tc>
          <w:tcPr>
            <w:tcW w:w="1095" w:type="dxa"/>
            <w:tcBorders>
              <w:top w:val="nil"/>
              <w:left w:val="nil"/>
              <w:bottom w:val="nil"/>
              <w:right w:val="nil"/>
            </w:tcBorders>
            <w:shd w:val="clear" w:color="000000" w:fill="FFFFFF"/>
            <w:vAlign w:val="center"/>
            <w:hideMark/>
          </w:tcPr>
          <w:p w14:paraId="54A1DF6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610388D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26,3</w:t>
            </w:r>
          </w:p>
        </w:tc>
        <w:tc>
          <w:tcPr>
            <w:tcW w:w="1440" w:type="dxa"/>
            <w:tcBorders>
              <w:top w:val="nil"/>
              <w:left w:val="nil"/>
              <w:bottom w:val="nil"/>
              <w:right w:val="nil"/>
            </w:tcBorders>
            <w:shd w:val="clear" w:color="000000" w:fill="FFFFFF"/>
            <w:vAlign w:val="center"/>
            <w:hideMark/>
          </w:tcPr>
          <w:p w14:paraId="5FA5A2E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706863D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GNSGEpGApGSKGDTGAKGEpGPVG</w:t>
            </w:r>
            <w:proofErr w:type="spellEnd"/>
          </w:p>
        </w:tc>
        <w:tc>
          <w:tcPr>
            <w:tcW w:w="1558" w:type="dxa"/>
            <w:tcBorders>
              <w:top w:val="nil"/>
              <w:left w:val="nil"/>
              <w:bottom w:val="nil"/>
              <w:right w:val="nil"/>
            </w:tcBorders>
            <w:shd w:val="clear" w:color="000000" w:fill="FFFFFF"/>
            <w:vAlign w:val="center"/>
            <w:hideMark/>
          </w:tcPr>
          <w:p w14:paraId="6FCB381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 chain </w:t>
            </w:r>
          </w:p>
        </w:tc>
      </w:tr>
      <w:tr w:rsidR="00E50D21" w:rsidRPr="00E50D21" w14:paraId="38382E09" w14:textId="77777777" w:rsidTr="00966DA6">
        <w:trPr>
          <w:trHeight w:val="300"/>
        </w:trPr>
        <w:tc>
          <w:tcPr>
            <w:tcW w:w="1109" w:type="dxa"/>
            <w:tcBorders>
              <w:top w:val="nil"/>
              <w:left w:val="nil"/>
              <w:bottom w:val="nil"/>
              <w:right w:val="nil"/>
            </w:tcBorders>
            <w:shd w:val="clear" w:color="000000" w:fill="FFFFFF"/>
            <w:vAlign w:val="center"/>
            <w:hideMark/>
          </w:tcPr>
          <w:p w14:paraId="5B696A2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18</w:t>
            </w:r>
          </w:p>
        </w:tc>
        <w:tc>
          <w:tcPr>
            <w:tcW w:w="983" w:type="dxa"/>
            <w:tcBorders>
              <w:top w:val="nil"/>
              <w:left w:val="nil"/>
              <w:bottom w:val="nil"/>
              <w:right w:val="nil"/>
            </w:tcBorders>
            <w:shd w:val="clear" w:color="000000" w:fill="FFFFFF"/>
            <w:vAlign w:val="center"/>
            <w:hideMark/>
          </w:tcPr>
          <w:p w14:paraId="761B67B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2564,15</w:t>
            </w:r>
          </w:p>
        </w:tc>
        <w:tc>
          <w:tcPr>
            <w:tcW w:w="1095" w:type="dxa"/>
            <w:tcBorders>
              <w:top w:val="nil"/>
              <w:left w:val="nil"/>
              <w:bottom w:val="nil"/>
              <w:right w:val="nil"/>
            </w:tcBorders>
            <w:shd w:val="clear" w:color="000000" w:fill="FFFFFF"/>
            <w:vAlign w:val="center"/>
            <w:hideMark/>
          </w:tcPr>
          <w:p w14:paraId="14678F4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0,03</w:t>
            </w:r>
          </w:p>
        </w:tc>
        <w:tc>
          <w:tcPr>
            <w:tcW w:w="983" w:type="dxa"/>
            <w:tcBorders>
              <w:top w:val="nil"/>
              <w:left w:val="nil"/>
              <w:bottom w:val="nil"/>
              <w:right w:val="nil"/>
            </w:tcBorders>
            <w:shd w:val="clear" w:color="000000" w:fill="FFFFFF"/>
            <w:vAlign w:val="center"/>
            <w:hideMark/>
          </w:tcPr>
          <w:p w14:paraId="63EFA97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23,0</w:t>
            </w:r>
          </w:p>
        </w:tc>
        <w:tc>
          <w:tcPr>
            <w:tcW w:w="1440" w:type="dxa"/>
            <w:tcBorders>
              <w:top w:val="nil"/>
              <w:left w:val="nil"/>
              <w:bottom w:val="nil"/>
              <w:right w:val="nil"/>
            </w:tcBorders>
            <w:shd w:val="clear" w:color="000000" w:fill="FFFFFF"/>
            <w:vAlign w:val="center"/>
            <w:hideMark/>
          </w:tcPr>
          <w:p w14:paraId="7C45604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0C8B24B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GApGQNGEpGGKGERGApGEKGEGGPpG</w:t>
            </w:r>
            <w:proofErr w:type="spellEnd"/>
          </w:p>
        </w:tc>
        <w:tc>
          <w:tcPr>
            <w:tcW w:w="1558" w:type="dxa"/>
            <w:tcBorders>
              <w:top w:val="nil"/>
              <w:left w:val="nil"/>
              <w:bottom w:val="nil"/>
              <w:right w:val="nil"/>
            </w:tcBorders>
            <w:shd w:val="clear" w:color="000000" w:fill="FFFFFF"/>
            <w:vAlign w:val="center"/>
            <w:hideMark/>
          </w:tcPr>
          <w:p w14:paraId="510B43E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7BE9DF75" w14:textId="77777777" w:rsidTr="00966DA6">
        <w:trPr>
          <w:trHeight w:val="300"/>
        </w:trPr>
        <w:tc>
          <w:tcPr>
            <w:tcW w:w="1109" w:type="dxa"/>
            <w:tcBorders>
              <w:top w:val="nil"/>
              <w:left w:val="nil"/>
              <w:bottom w:val="nil"/>
              <w:right w:val="nil"/>
            </w:tcBorders>
            <w:shd w:val="clear" w:color="000000" w:fill="FFFFFF"/>
            <w:vAlign w:val="center"/>
            <w:hideMark/>
          </w:tcPr>
          <w:p w14:paraId="5E4AEF8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19</w:t>
            </w:r>
          </w:p>
        </w:tc>
        <w:tc>
          <w:tcPr>
            <w:tcW w:w="983" w:type="dxa"/>
            <w:tcBorders>
              <w:top w:val="nil"/>
              <w:left w:val="nil"/>
              <w:bottom w:val="nil"/>
              <w:right w:val="nil"/>
            </w:tcBorders>
            <w:shd w:val="clear" w:color="000000" w:fill="FFFFFF"/>
            <w:vAlign w:val="center"/>
            <w:hideMark/>
          </w:tcPr>
          <w:p w14:paraId="7BD4DDB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2679,20</w:t>
            </w:r>
          </w:p>
        </w:tc>
        <w:tc>
          <w:tcPr>
            <w:tcW w:w="1095" w:type="dxa"/>
            <w:tcBorders>
              <w:top w:val="nil"/>
              <w:left w:val="nil"/>
              <w:bottom w:val="nil"/>
              <w:right w:val="nil"/>
            </w:tcBorders>
            <w:shd w:val="clear" w:color="000000" w:fill="FFFFFF"/>
            <w:vAlign w:val="center"/>
            <w:hideMark/>
          </w:tcPr>
          <w:p w14:paraId="304AD27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0,03</w:t>
            </w:r>
          </w:p>
        </w:tc>
        <w:tc>
          <w:tcPr>
            <w:tcW w:w="983" w:type="dxa"/>
            <w:tcBorders>
              <w:top w:val="nil"/>
              <w:left w:val="nil"/>
              <w:bottom w:val="nil"/>
              <w:right w:val="nil"/>
            </w:tcBorders>
            <w:shd w:val="clear" w:color="000000" w:fill="FFFFFF"/>
            <w:vAlign w:val="center"/>
            <w:hideMark/>
          </w:tcPr>
          <w:p w14:paraId="41789AA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23,5</w:t>
            </w:r>
          </w:p>
        </w:tc>
        <w:tc>
          <w:tcPr>
            <w:tcW w:w="1440" w:type="dxa"/>
            <w:tcBorders>
              <w:top w:val="nil"/>
              <w:left w:val="nil"/>
              <w:bottom w:val="nil"/>
              <w:right w:val="nil"/>
            </w:tcBorders>
            <w:shd w:val="clear" w:color="000000" w:fill="FFFFFF"/>
            <w:vAlign w:val="center"/>
            <w:hideMark/>
          </w:tcPr>
          <w:p w14:paraId="4AD21C2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798F37C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NRGERGSEGSPGHpGQpGppGpPGAPGP</w:t>
            </w:r>
            <w:proofErr w:type="spellEnd"/>
          </w:p>
        </w:tc>
        <w:tc>
          <w:tcPr>
            <w:tcW w:w="1558" w:type="dxa"/>
            <w:tcBorders>
              <w:top w:val="nil"/>
              <w:left w:val="nil"/>
              <w:bottom w:val="nil"/>
              <w:right w:val="nil"/>
            </w:tcBorders>
            <w:shd w:val="clear" w:color="000000" w:fill="FFFFFF"/>
            <w:vAlign w:val="center"/>
            <w:hideMark/>
          </w:tcPr>
          <w:p w14:paraId="065B697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7C9C4552" w14:textId="77777777" w:rsidTr="00966DA6">
        <w:trPr>
          <w:trHeight w:val="300"/>
        </w:trPr>
        <w:tc>
          <w:tcPr>
            <w:tcW w:w="1109" w:type="dxa"/>
            <w:tcBorders>
              <w:top w:val="nil"/>
              <w:left w:val="nil"/>
              <w:right w:val="nil"/>
            </w:tcBorders>
            <w:shd w:val="clear" w:color="000000" w:fill="FFFFFF"/>
            <w:vAlign w:val="center"/>
            <w:hideMark/>
          </w:tcPr>
          <w:p w14:paraId="562E748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20</w:t>
            </w:r>
          </w:p>
        </w:tc>
        <w:tc>
          <w:tcPr>
            <w:tcW w:w="983" w:type="dxa"/>
            <w:tcBorders>
              <w:top w:val="nil"/>
              <w:left w:val="nil"/>
              <w:right w:val="nil"/>
            </w:tcBorders>
            <w:shd w:val="clear" w:color="000000" w:fill="FFFFFF"/>
            <w:vAlign w:val="center"/>
            <w:hideMark/>
          </w:tcPr>
          <w:p w14:paraId="4F3A388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2695,20</w:t>
            </w:r>
          </w:p>
        </w:tc>
        <w:tc>
          <w:tcPr>
            <w:tcW w:w="1095" w:type="dxa"/>
            <w:tcBorders>
              <w:top w:val="nil"/>
              <w:left w:val="nil"/>
              <w:right w:val="nil"/>
            </w:tcBorders>
            <w:shd w:val="clear" w:color="000000" w:fill="FFFFFF"/>
            <w:vAlign w:val="center"/>
            <w:hideMark/>
          </w:tcPr>
          <w:p w14:paraId="0797CE8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right w:val="nil"/>
            </w:tcBorders>
            <w:shd w:val="clear" w:color="000000" w:fill="FFFFFF"/>
            <w:vAlign w:val="center"/>
            <w:hideMark/>
          </w:tcPr>
          <w:p w14:paraId="65DA634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23,5</w:t>
            </w:r>
          </w:p>
        </w:tc>
        <w:tc>
          <w:tcPr>
            <w:tcW w:w="1440" w:type="dxa"/>
            <w:tcBorders>
              <w:top w:val="nil"/>
              <w:left w:val="nil"/>
              <w:right w:val="nil"/>
            </w:tcBorders>
            <w:shd w:val="clear" w:color="000000" w:fill="FFFFFF"/>
            <w:vAlign w:val="center"/>
            <w:hideMark/>
          </w:tcPr>
          <w:p w14:paraId="061EDBD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right w:val="nil"/>
            </w:tcBorders>
            <w:shd w:val="clear" w:color="000000" w:fill="FFFFFF"/>
            <w:vAlign w:val="center"/>
            <w:hideMark/>
          </w:tcPr>
          <w:p w14:paraId="68E5243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NRGERGSEGSpGHpGQpGppGPPGAPGp</w:t>
            </w:r>
            <w:proofErr w:type="spellEnd"/>
          </w:p>
        </w:tc>
        <w:tc>
          <w:tcPr>
            <w:tcW w:w="1558" w:type="dxa"/>
            <w:tcBorders>
              <w:top w:val="nil"/>
              <w:left w:val="nil"/>
              <w:right w:val="nil"/>
            </w:tcBorders>
            <w:shd w:val="clear" w:color="000000" w:fill="FFFFFF"/>
            <w:vAlign w:val="center"/>
            <w:hideMark/>
          </w:tcPr>
          <w:p w14:paraId="39AB530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3C4B06BA" w14:textId="77777777" w:rsidTr="00966DA6">
        <w:trPr>
          <w:trHeight w:val="600"/>
        </w:trPr>
        <w:tc>
          <w:tcPr>
            <w:tcW w:w="1109" w:type="dxa"/>
            <w:tcBorders>
              <w:top w:val="nil"/>
              <w:left w:val="nil"/>
              <w:bottom w:val="nil"/>
              <w:right w:val="nil"/>
            </w:tcBorders>
            <w:shd w:val="clear" w:color="000000" w:fill="FFFFFF"/>
            <w:vAlign w:val="center"/>
            <w:hideMark/>
          </w:tcPr>
          <w:p w14:paraId="121C539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21</w:t>
            </w:r>
          </w:p>
        </w:tc>
        <w:tc>
          <w:tcPr>
            <w:tcW w:w="983" w:type="dxa"/>
            <w:tcBorders>
              <w:top w:val="nil"/>
              <w:left w:val="nil"/>
              <w:bottom w:val="nil"/>
              <w:right w:val="nil"/>
            </w:tcBorders>
            <w:shd w:val="clear" w:color="000000" w:fill="FFFFFF"/>
            <w:vAlign w:val="center"/>
            <w:hideMark/>
          </w:tcPr>
          <w:p w14:paraId="63BF00B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2742,25</w:t>
            </w:r>
          </w:p>
        </w:tc>
        <w:tc>
          <w:tcPr>
            <w:tcW w:w="1095" w:type="dxa"/>
            <w:tcBorders>
              <w:top w:val="nil"/>
              <w:left w:val="nil"/>
              <w:bottom w:val="nil"/>
              <w:right w:val="nil"/>
            </w:tcBorders>
            <w:shd w:val="clear" w:color="000000" w:fill="FFFFFF"/>
            <w:vAlign w:val="center"/>
            <w:hideMark/>
          </w:tcPr>
          <w:p w14:paraId="318C912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0,03</w:t>
            </w:r>
          </w:p>
        </w:tc>
        <w:tc>
          <w:tcPr>
            <w:tcW w:w="983" w:type="dxa"/>
            <w:tcBorders>
              <w:top w:val="nil"/>
              <w:left w:val="nil"/>
              <w:bottom w:val="nil"/>
              <w:right w:val="nil"/>
            </w:tcBorders>
            <w:shd w:val="clear" w:color="000000" w:fill="FFFFFF"/>
            <w:vAlign w:val="center"/>
            <w:hideMark/>
          </w:tcPr>
          <w:p w14:paraId="78A86E7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29,0</w:t>
            </w:r>
          </w:p>
        </w:tc>
        <w:tc>
          <w:tcPr>
            <w:tcW w:w="1440" w:type="dxa"/>
            <w:tcBorders>
              <w:top w:val="nil"/>
              <w:left w:val="nil"/>
              <w:bottom w:val="nil"/>
              <w:right w:val="nil"/>
            </w:tcBorders>
            <w:shd w:val="clear" w:color="000000" w:fill="FFFFFF"/>
            <w:vAlign w:val="center"/>
            <w:hideMark/>
          </w:tcPr>
          <w:p w14:paraId="70A3808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4B86DA6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KNGETGPQGPpGPTGPGGDKGDTGPpGPQG</w:t>
            </w:r>
            <w:proofErr w:type="spellEnd"/>
          </w:p>
        </w:tc>
        <w:tc>
          <w:tcPr>
            <w:tcW w:w="1558" w:type="dxa"/>
            <w:tcBorders>
              <w:top w:val="nil"/>
              <w:left w:val="nil"/>
              <w:bottom w:val="nil"/>
              <w:right w:val="nil"/>
            </w:tcBorders>
            <w:shd w:val="clear" w:color="000000" w:fill="FFFFFF"/>
            <w:vAlign w:val="center"/>
            <w:hideMark/>
          </w:tcPr>
          <w:p w14:paraId="0F75FBD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485753B5" w14:textId="77777777" w:rsidTr="00966DA6">
        <w:trPr>
          <w:trHeight w:val="300"/>
        </w:trPr>
        <w:tc>
          <w:tcPr>
            <w:tcW w:w="1109" w:type="dxa"/>
            <w:tcBorders>
              <w:top w:val="nil"/>
              <w:left w:val="nil"/>
              <w:bottom w:val="nil"/>
              <w:right w:val="nil"/>
            </w:tcBorders>
            <w:shd w:val="clear" w:color="000000" w:fill="FFFFFF"/>
            <w:vAlign w:val="center"/>
            <w:hideMark/>
          </w:tcPr>
          <w:p w14:paraId="254DDA1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22</w:t>
            </w:r>
          </w:p>
        </w:tc>
        <w:tc>
          <w:tcPr>
            <w:tcW w:w="983" w:type="dxa"/>
            <w:tcBorders>
              <w:top w:val="nil"/>
              <w:left w:val="nil"/>
              <w:bottom w:val="nil"/>
              <w:right w:val="nil"/>
            </w:tcBorders>
            <w:shd w:val="clear" w:color="000000" w:fill="FFFFFF"/>
            <w:vAlign w:val="center"/>
            <w:hideMark/>
          </w:tcPr>
          <w:p w14:paraId="36B3CFD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2825,27</w:t>
            </w:r>
          </w:p>
        </w:tc>
        <w:tc>
          <w:tcPr>
            <w:tcW w:w="1095" w:type="dxa"/>
            <w:tcBorders>
              <w:top w:val="nil"/>
              <w:left w:val="nil"/>
              <w:bottom w:val="nil"/>
              <w:right w:val="nil"/>
            </w:tcBorders>
            <w:shd w:val="clear" w:color="000000" w:fill="FFFFFF"/>
            <w:vAlign w:val="center"/>
            <w:hideMark/>
          </w:tcPr>
          <w:p w14:paraId="2B3922C7"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0,03</w:t>
            </w:r>
          </w:p>
        </w:tc>
        <w:tc>
          <w:tcPr>
            <w:tcW w:w="983" w:type="dxa"/>
            <w:tcBorders>
              <w:top w:val="nil"/>
              <w:left w:val="nil"/>
              <w:bottom w:val="nil"/>
              <w:right w:val="nil"/>
            </w:tcBorders>
            <w:shd w:val="clear" w:color="000000" w:fill="FFFFFF"/>
            <w:vAlign w:val="center"/>
            <w:hideMark/>
          </w:tcPr>
          <w:p w14:paraId="49F8048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24,5</w:t>
            </w:r>
          </w:p>
        </w:tc>
        <w:tc>
          <w:tcPr>
            <w:tcW w:w="1440" w:type="dxa"/>
            <w:tcBorders>
              <w:top w:val="nil"/>
              <w:left w:val="nil"/>
              <w:bottom w:val="nil"/>
              <w:right w:val="nil"/>
            </w:tcBorders>
            <w:shd w:val="clear" w:color="000000" w:fill="FFFFFF"/>
            <w:vAlign w:val="center"/>
            <w:hideMark/>
          </w:tcPr>
          <w:p w14:paraId="4AD3BAB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37AFC7D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ERGEAGIpGVpGAKGEDGKDGSpGEpGANG</w:t>
            </w:r>
            <w:proofErr w:type="spellEnd"/>
          </w:p>
        </w:tc>
        <w:tc>
          <w:tcPr>
            <w:tcW w:w="1558" w:type="dxa"/>
            <w:tcBorders>
              <w:top w:val="nil"/>
              <w:left w:val="nil"/>
              <w:bottom w:val="nil"/>
              <w:right w:val="nil"/>
            </w:tcBorders>
            <w:shd w:val="clear" w:color="000000" w:fill="FFFFFF"/>
            <w:vAlign w:val="center"/>
            <w:hideMark/>
          </w:tcPr>
          <w:p w14:paraId="6D93560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 xml:space="preserve">Collagen alpha-1 (III) chain </w:t>
            </w:r>
          </w:p>
        </w:tc>
      </w:tr>
      <w:tr w:rsidR="00E50D21" w:rsidRPr="00E50D21" w14:paraId="4A0426FE" w14:textId="77777777" w:rsidTr="00966DA6">
        <w:trPr>
          <w:trHeight w:val="300"/>
        </w:trPr>
        <w:tc>
          <w:tcPr>
            <w:tcW w:w="1109" w:type="dxa"/>
            <w:tcBorders>
              <w:left w:val="nil"/>
              <w:bottom w:val="nil"/>
              <w:right w:val="nil"/>
            </w:tcBorders>
            <w:shd w:val="clear" w:color="000000" w:fill="FFFFFF"/>
            <w:vAlign w:val="center"/>
            <w:hideMark/>
          </w:tcPr>
          <w:p w14:paraId="59331D9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23</w:t>
            </w:r>
          </w:p>
        </w:tc>
        <w:tc>
          <w:tcPr>
            <w:tcW w:w="983" w:type="dxa"/>
            <w:tcBorders>
              <w:left w:val="nil"/>
              <w:bottom w:val="nil"/>
              <w:right w:val="nil"/>
            </w:tcBorders>
            <w:shd w:val="clear" w:color="000000" w:fill="FFFFFF"/>
            <w:vAlign w:val="center"/>
            <w:hideMark/>
          </w:tcPr>
          <w:p w14:paraId="19033E1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1523,74</w:t>
            </w:r>
          </w:p>
        </w:tc>
        <w:tc>
          <w:tcPr>
            <w:tcW w:w="1095" w:type="dxa"/>
            <w:tcBorders>
              <w:left w:val="nil"/>
              <w:bottom w:val="nil"/>
              <w:right w:val="nil"/>
            </w:tcBorders>
            <w:shd w:val="clear" w:color="000000" w:fill="FFFFFF"/>
            <w:vAlign w:val="center"/>
            <w:hideMark/>
          </w:tcPr>
          <w:p w14:paraId="2C70D09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left w:val="nil"/>
              <w:bottom w:val="nil"/>
              <w:right w:val="nil"/>
            </w:tcBorders>
            <w:shd w:val="clear" w:color="000000" w:fill="FFFFFF"/>
            <w:vAlign w:val="center"/>
            <w:hideMark/>
          </w:tcPr>
          <w:p w14:paraId="7EFF167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40,7</w:t>
            </w:r>
          </w:p>
        </w:tc>
        <w:tc>
          <w:tcPr>
            <w:tcW w:w="1440" w:type="dxa"/>
            <w:tcBorders>
              <w:left w:val="nil"/>
              <w:bottom w:val="nil"/>
              <w:right w:val="nil"/>
            </w:tcBorders>
            <w:shd w:val="clear" w:color="000000" w:fill="FFFFFF"/>
            <w:vAlign w:val="center"/>
            <w:hideMark/>
          </w:tcPr>
          <w:p w14:paraId="1B0D6C0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0,7</w:t>
            </w:r>
          </w:p>
        </w:tc>
        <w:tc>
          <w:tcPr>
            <w:tcW w:w="4172" w:type="dxa"/>
            <w:tcBorders>
              <w:left w:val="nil"/>
              <w:bottom w:val="nil"/>
              <w:right w:val="nil"/>
            </w:tcBorders>
            <w:shd w:val="clear" w:color="000000" w:fill="FFFFFF"/>
            <w:vAlign w:val="center"/>
            <w:hideMark/>
          </w:tcPr>
          <w:p w14:paraId="6CF64D8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GD</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GPPGpPGpPGpPAI</w:t>
            </w:r>
            <w:proofErr w:type="spellEnd"/>
          </w:p>
        </w:tc>
        <w:tc>
          <w:tcPr>
            <w:tcW w:w="1558" w:type="dxa"/>
            <w:tcBorders>
              <w:left w:val="nil"/>
              <w:bottom w:val="nil"/>
              <w:right w:val="nil"/>
            </w:tcBorders>
            <w:shd w:val="clear" w:color="000000" w:fill="FFFFFF"/>
            <w:vAlign w:val="center"/>
            <w:hideMark/>
          </w:tcPr>
          <w:p w14:paraId="400990C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(XV) chain</w:t>
            </w:r>
          </w:p>
        </w:tc>
      </w:tr>
      <w:tr w:rsidR="00E50D21" w:rsidRPr="00E50D21" w14:paraId="0CAC7A2B" w14:textId="77777777" w:rsidTr="00966DA6">
        <w:trPr>
          <w:trHeight w:val="300"/>
        </w:trPr>
        <w:tc>
          <w:tcPr>
            <w:tcW w:w="1109" w:type="dxa"/>
            <w:tcBorders>
              <w:top w:val="nil"/>
              <w:left w:val="nil"/>
              <w:bottom w:val="nil"/>
              <w:right w:val="nil"/>
            </w:tcBorders>
            <w:shd w:val="clear" w:color="000000" w:fill="FFFFFF"/>
            <w:vAlign w:val="center"/>
            <w:hideMark/>
          </w:tcPr>
          <w:p w14:paraId="1C58AC0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24</w:t>
            </w:r>
          </w:p>
        </w:tc>
        <w:tc>
          <w:tcPr>
            <w:tcW w:w="983" w:type="dxa"/>
            <w:tcBorders>
              <w:top w:val="nil"/>
              <w:left w:val="nil"/>
              <w:bottom w:val="nil"/>
              <w:right w:val="nil"/>
            </w:tcBorders>
            <w:shd w:val="clear" w:color="000000" w:fill="FFFFFF"/>
            <w:vAlign w:val="center"/>
            <w:hideMark/>
          </w:tcPr>
          <w:p w14:paraId="10CD370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1579,71</w:t>
            </w:r>
          </w:p>
        </w:tc>
        <w:tc>
          <w:tcPr>
            <w:tcW w:w="1095" w:type="dxa"/>
            <w:tcBorders>
              <w:top w:val="nil"/>
              <w:left w:val="nil"/>
              <w:bottom w:val="nil"/>
              <w:right w:val="nil"/>
            </w:tcBorders>
            <w:shd w:val="clear" w:color="000000" w:fill="FFFFFF"/>
            <w:vAlign w:val="center"/>
            <w:hideMark/>
          </w:tcPr>
          <w:p w14:paraId="2BC4EC4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3CA80B8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29,8</w:t>
            </w:r>
          </w:p>
        </w:tc>
        <w:tc>
          <w:tcPr>
            <w:tcW w:w="1440" w:type="dxa"/>
            <w:tcBorders>
              <w:top w:val="nil"/>
              <w:left w:val="nil"/>
              <w:bottom w:val="nil"/>
              <w:right w:val="nil"/>
            </w:tcBorders>
            <w:shd w:val="clear" w:color="000000" w:fill="FFFFFF"/>
            <w:vAlign w:val="center"/>
            <w:hideMark/>
          </w:tcPr>
          <w:p w14:paraId="15CED6F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3B199FE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SpGSpG</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DGKTGPPGpAG</w:t>
            </w:r>
            <w:proofErr w:type="spellEnd"/>
          </w:p>
        </w:tc>
        <w:tc>
          <w:tcPr>
            <w:tcW w:w="1558" w:type="dxa"/>
            <w:tcBorders>
              <w:top w:val="nil"/>
              <w:left w:val="nil"/>
              <w:bottom w:val="nil"/>
              <w:right w:val="nil"/>
            </w:tcBorders>
            <w:shd w:val="clear" w:color="000000" w:fill="FFFFFF"/>
            <w:vAlign w:val="center"/>
            <w:hideMark/>
          </w:tcPr>
          <w:p w14:paraId="6118BA3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(I) chain</w:t>
            </w:r>
          </w:p>
        </w:tc>
      </w:tr>
      <w:tr w:rsidR="00E50D21" w:rsidRPr="00E50D21" w14:paraId="0721DA14" w14:textId="77777777" w:rsidTr="00966DA6">
        <w:trPr>
          <w:trHeight w:val="300"/>
        </w:trPr>
        <w:tc>
          <w:tcPr>
            <w:tcW w:w="1109" w:type="dxa"/>
            <w:tcBorders>
              <w:top w:val="nil"/>
              <w:left w:val="nil"/>
              <w:bottom w:val="nil"/>
              <w:right w:val="nil"/>
            </w:tcBorders>
            <w:shd w:val="clear" w:color="000000" w:fill="FFFFFF"/>
            <w:vAlign w:val="center"/>
            <w:hideMark/>
          </w:tcPr>
          <w:p w14:paraId="4FD7813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25</w:t>
            </w:r>
          </w:p>
        </w:tc>
        <w:tc>
          <w:tcPr>
            <w:tcW w:w="983" w:type="dxa"/>
            <w:tcBorders>
              <w:top w:val="nil"/>
              <w:left w:val="nil"/>
              <w:bottom w:val="nil"/>
              <w:right w:val="nil"/>
            </w:tcBorders>
            <w:shd w:val="clear" w:color="000000" w:fill="FFFFFF"/>
            <w:vAlign w:val="center"/>
            <w:hideMark/>
          </w:tcPr>
          <w:p w14:paraId="1984DA4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2063,93</w:t>
            </w:r>
          </w:p>
        </w:tc>
        <w:tc>
          <w:tcPr>
            <w:tcW w:w="1095" w:type="dxa"/>
            <w:tcBorders>
              <w:top w:val="nil"/>
              <w:left w:val="nil"/>
              <w:bottom w:val="nil"/>
              <w:right w:val="nil"/>
            </w:tcBorders>
            <w:shd w:val="clear" w:color="000000" w:fill="FFFFFF"/>
            <w:vAlign w:val="center"/>
            <w:hideMark/>
          </w:tcPr>
          <w:p w14:paraId="18B75BB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4D47627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22,0</w:t>
            </w:r>
          </w:p>
        </w:tc>
        <w:tc>
          <w:tcPr>
            <w:tcW w:w="1440" w:type="dxa"/>
            <w:tcBorders>
              <w:top w:val="nil"/>
              <w:left w:val="nil"/>
              <w:bottom w:val="nil"/>
              <w:right w:val="nil"/>
            </w:tcBorders>
            <w:shd w:val="clear" w:color="000000" w:fill="FFFFFF"/>
            <w:vAlign w:val="center"/>
            <w:hideMark/>
          </w:tcPr>
          <w:p w14:paraId="46992BE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7D36DB8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NGDDGEAGKpGRpGERG</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pGP</w:t>
            </w:r>
            <w:proofErr w:type="spellEnd"/>
          </w:p>
        </w:tc>
        <w:tc>
          <w:tcPr>
            <w:tcW w:w="1558" w:type="dxa"/>
            <w:tcBorders>
              <w:top w:val="nil"/>
              <w:left w:val="nil"/>
              <w:bottom w:val="nil"/>
              <w:right w:val="nil"/>
            </w:tcBorders>
            <w:shd w:val="clear" w:color="000000" w:fill="FFFFFF"/>
            <w:vAlign w:val="center"/>
            <w:hideMark/>
          </w:tcPr>
          <w:p w14:paraId="3C904E8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(I) chain</w:t>
            </w:r>
          </w:p>
        </w:tc>
      </w:tr>
      <w:tr w:rsidR="00E50D21" w:rsidRPr="00E50D21" w14:paraId="5D53C889" w14:textId="77777777" w:rsidTr="00966DA6">
        <w:trPr>
          <w:trHeight w:val="300"/>
        </w:trPr>
        <w:tc>
          <w:tcPr>
            <w:tcW w:w="1109" w:type="dxa"/>
            <w:tcBorders>
              <w:top w:val="nil"/>
              <w:left w:val="nil"/>
              <w:bottom w:val="nil"/>
              <w:right w:val="nil"/>
            </w:tcBorders>
            <w:shd w:val="clear" w:color="000000" w:fill="FFFFFF"/>
            <w:vAlign w:val="center"/>
            <w:hideMark/>
          </w:tcPr>
          <w:p w14:paraId="38B7F1D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26</w:t>
            </w:r>
          </w:p>
        </w:tc>
        <w:tc>
          <w:tcPr>
            <w:tcW w:w="983" w:type="dxa"/>
            <w:tcBorders>
              <w:top w:val="nil"/>
              <w:left w:val="nil"/>
              <w:bottom w:val="nil"/>
              <w:right w:val="nil"/>
            </w:tcBorders>
            <w:shd w:val="clear" w:color="000000" w:fill="FFFFFF"/>
            <w:vAlign w:val="center"/>
            <w:hideMark/>
          </w:tcPr>
          <w:p w14:paraId="03C6281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2078,93</w:t>
            </w:r>
          </w:p>
        </w:tc>
        <w:tc>
          <w:tcPr>
            <w:tcW w:w="1095" w:type="dxa"/>
            <w:tcBorders>
              <w:top w:val="nil"/>
              <w:left w:val="nil"/>
              <w:bottom w:val="nil"/>
              <w:right w:val="nil"/>
            </w:tcBorders>
            <w:shd w:val="clear" w:color="000000" w:fill="FFFFFF"/>
            <w:vAlign w:val="center"/>
            <w:hideMark/>
          </w:tcPr>
          <w:p w14:paraId="63FBCEE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0,01</w:t>
            </w:r>
          </w:p>
        </w:tc>
        <w:tc>
          <w:tcPr>
            <w:tcW w:w="983" w:type="dxa"/>
            <w:tcBorders>
              <w:top w:val="nil"/>
              <w:left w:val="nil"/>
              <w:bottom w:val="nil"/>
              <w:right w:val="nil"/>
            </w:tcBorders>
            <w:shd w:val="clear" w:color="000000" w:fill="FFFFFF"/>
            <w:vAlign w:val="center"/>
            <w:hideMark/>
          </w:tcPr>
          <w:p w14:paraId="4E3DF6C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26,7</w:t>
            </w:r>
          </w:p>
        </w:tc>
        <w:tc>
          <w:tcPr>
            <w:tcW w:w="1440" w:type="dxa"/>
            <w:tcBorders>
              <w:top w:val="nil"/>
              <w:left w:val="nil"/>
              <w:bottom w:val="nil"/>
              <w:right w:val="nil"/>
            </w:tcBorders>
            <w:shd w:val="clear" w:color="000000" w:fill="FFFFFF"/>
            <w:vAlign w:val="center"/>
            <w:hideMark/>
          </w:tcPr>
          <w:p w14:paraId="3A31B96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20A1FD8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DAGApGApGGKGDAGApGERG</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pG</w:t>
            </w:r>
            <w:proofErr w:type="spellEnd"/>
          </w:p>
        </w:tc>
        <w:tc>
          <w:tcPr>
            <w:tcW w:w="1558" w:type="dxa"/>
            <w:tcBorders>
              <w:top w:val="nil"/>
              <w:left w:val="nil"/>
              <w:bottom w:val="nil"/>
              <w:right w:val="nil"/>
            </w:tcBorders>
            <w:shd w:val="clear" w:color="000000" w:fill="FFFFFF"/>
            <w:vAlign w:val="center"/>
            <w:hideMark/>
          </w:tcPr>
          <w:p w14:paraId="018819D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(III) chain</w:t>
            </w:r>
          </w:p>
        </w:tc>
      </w:tr>
      <w:tr w:rsidR="00E50D21" w:rsidRPr="00E50D21" w14:paraId="1E3710A4" w14:textId="77777777" w:rsidTr="00966DA6">
        <w:trPr>
          <w:trHeight w:val="300"/>
        </w:trPr>
        <w:tc>
          <w:tcPr>
            <w:tcW w:w="1109" w:type="dxa"/>
            <w:tcBorders>
              <w:top w:val="nil"/>
              <w:left w:val="nil"/>
              <w:bottom w:val="nil"/>
              <w:right w:val="nil"/>
            </w:tcBorders>
            <w:shd w:val="clear" w:color="000000" w:fill="FFFFFF"/>
            <w:vAlign w:val="center"/>
            <w:hideMark/>
          </w:tcPr>
          <w:p w14:paraId="72410689"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27</w:t>
            </w:r>
          </w:p>
        </w:tc>
        <w:tc>
          <w:tcPr>
            <w:tcW w:w="983" w:type="dxa"/>
            <w:tcBorders>
              <w:top w:val="nil"/>
              <w:left w:val="nil"/>
              <w:bottom w:val="nil"/>
              <w:right w:val="nil"/>
            </w:tcBorders>
            <w:shd w:val="clear" w:color="000000" w:fill="FFFFFF"/>
            <w:vAlign w:val="center"/>
            <w:hideMark/>
          </w:tcPr>
          <w:p w14:paraId="43A4A81C"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2159,00</w:t>
            </w:r>
          </w:p>
        </w:tc>
        <w:tc>
          <w:tcPr>
            <w:tcW w:w="1095" w:type="dxa"/>
            <w:tcBorders>
              <w:top w:val="nil"/>
              <w:left w:val="nil"/>
              <w:bottom w:val="nil"/>
              <w:right w:val="nil"/>
            </w:tcBorders>
            <w:shd w:val="clear" w:color="000000" w:fill="FFFFFF"/>
            <w:vAlign w:val="center"/>
            <w:hideMark/>
          </w:tcPr>
          <w:p w14:paraId="1ED21B3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0,03</w:t>
            </w:r>
          </w:p>
        </w:tc>
        <w:tc>
          <w:tcPr>
            <w:tcW w:w="983" w:type="dxa"/>
            <w:tcBorders>
              <w:top w:val="nil"/>
              <w:left w:val="nil"/>
              <w:bottom w:val="nil"/>
              <w:right w:val="nil"/>
            </w:tcBorders>
            <w:shd w:val="clear" w:color="000000" w:fill="FFFFFF"/>
            <w:vAlign w:val="center"/>
            <w:hideMark/>
          </w:tcPr>
          <w:p w14:paraId="7D6A7C58"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33,2</w:t>
            </w:r>
          </w:p>
        </w:tc>
        <w:tc>
          <w:tcPr>
            <w:tcW w:w="1440" w:type="dxa"/>
            <w:tcBorders>
              <w:top w:val="nil"/>
              <w:left w:val="nil"/>
              <w:bottom w:val="nil"/>
              <w:right w:val="nil"/>
            </w:tcBorders>
            <w:shd w:val="clear" w:color="000000" w:fill="FFFFFF"/>
            <w:vAlign w:val="center"/>
            <w:hideMark/>
          </w:tcPr>
          <w:p w14:paraId="79312FB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nil"/>
              <w:right w:val="nil"/>
            </w:tcBorders>
            <w:shd w:val="clear" w:color="000000" w:fill="FFFFFF"/>
            <w:vAlign w:val="center"/>
            <w:hideMark/>
          </w:tcPr>
          <w:p w14:paraId="6F010B32"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AG</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pGEAGKpGEQGVpGDLGAPGP</w:t>
            </w:r>
            <w:proofErr w:type="spellEnd"/>
          </w:p>
        </w:tc>
        <w:tc>
          <w:tcPr>
            <w:tcW w:w="1558" w:type="dxa"/>
            <w:tcBorders>
              <w:top w:val="nil"/>
              <w:left w:val="nil"/>
              <w:bottom w:val="nil"/>
              <w:right w:val="nil"/>
            </w:tcBorders>
            <w:shd w:val="clear" w:color="000000" w:fill="FFFFFF"/>
            <w:vAlign w:val="center"/>
            <w:hideMark/>
          </w:tcPr>
          <w:p w14:paraId="16177D8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(I) chain</w:t>
            </w:r>
          </w:p>
        </w:tc>
      </w:tr>
      <w:tr w:rsidR="00E50D21" w:rsidRPr="00E50D21" w14:paraId="21A4DA53" w14:textId="77777777" w:rsidTr="00966DA6">
        <w:trPr>
          <w:trHeight w:val="300"/>
        </w:trPr>
        <w:tc>
          <w:tcPr>
            <w:tcW w:w="1109" w:type="dxa"/>
            <w:tcBorders>
              <w:top w:val="nil"/>
              <w:left w:val="nil"/>
              <w:bottom w:val="nil"/>
              <w:right w:val="nil"/>
            </w:tcBorders>
            <w:shd w:val="clear" w:color="000000" w:fill="FFFFFF"/>
            <w:vAlign w:val="center"/>
            <w:hideMark/>
          </w:tcPr>
          <w:p w14:paraId="41861555"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28</w:t>
            </w:r>
          </w:p>
        </w:tc>
        <w:tc>
          <w:tcPr>
            <w:tcW w:w="983" w:type="dxa"/>
            <w:tcBorders>
              <w:top w:val="nil"/>
              <w:left w:val="nil"/>
              <w:bottom w:val="nil"/>
              <w:right w:val="nil"/>
            </w:tcBorders>
            <w:shd w:val="clear" w:color="000000" w:fill="FFFFFF"/>
            <w:vAlign w:val="center"/>
            <w:hideMark/>
          </w:tcPr>
          <w:p w14:paraId="4FED28B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2175,01</w:t>
            </w:r>
          </w:p>
        </w:tc>
        <w:tc>
          <w:tcPr>
            <w:tcW w:w="1095" w:type="dxa"/>
            <w:tcBorders>
              <w:top w:val="nil"/>
              <w:left w:val="nil"/>
              <w:bottom w:val="nil"/>
              <w:right w:val="nil"/>
            </w:tcBorders>
            <w:shd w:val="clear" w:color="000000" w:fill="FFFFFF"/>
            <w:vAlign w:val="center"/>
            <w:hideMark/>
          </w:tcPr>
          <w:p w14:paraId="5840796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nil"/>
              <w:right w:val="nil"/>
            </w:tcBorders>
            <w:shd w:val="clear" w:color="000000" w:fill="FFFFFF"/>
            <w:vAlign w:val="center"/>
            <w:hideMark/>
          </w:tcPr>
          <w:p w14:paraId="3C7D6A36"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33,3</w:t>
            </w:r>
          </w:p>
        </w:tc>
        <w:tc>
          <w:tcPr>
            <w:tcW w:w="1440" w:type="dxa"/>
            <w:tcBorders>
              <w:top w:val="nil"/>
              <w:left w:val="nil"/>
              <w:bottom w:val="nil"/>
              <w:right w:val="nil"/>
            </w:tcBorders>
            <w:shd w:val="clear" w:color="000000" w:fill="FFFFFF"/>
            <w:vAlign w:val="center"/>
            <w:hideMark/>
          </w:tcPr>
          <w:p w14:paraId="326069A4"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0,2</w:t>
            </w:r>
          </w:p>
        </w:tc>
        <w:tc>
          <w:tcPr>
            <w:tcW w:w="4172" w:type="dxa"/>
            <w:tcBorders>
              <w:top w:val="nil"/>
              <w:left w:val="nil"/>
              <w:bottom w:val="nil"/>
              <w:right w:val="nil"/>
            </w:tcBorders>
            <w:shd w:val="clear" w:color="000000" w:fill="FFFFFF"/>
            <w:vAlign w:val="center"/>
            <w:hideMark/>
          </w:tcPr>
          <w:p w14:paraId="37C1921E"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AG</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pGEAGKpGEQGVpGDLGApGP</w:t>
            </w:r>
            <w:proofErr w:type="spellEnd"/>
          </w:p>
        </w:tc>
        <w:tc>
          <w:tcPr>
            <w:tcW w:w="1558" w:type="dxa"/>
            <w:tcBorders>
              <w:top w:val="nil"/>
              <w:left w:val="nil"/>
              <w:bottom w:val="nil"/>
              <w:right w:val="nil"/>
            </w:tcBorders>
            <w:shd w:val="clear" w:color="000000" w:fill="FFFFFF"/>
            <w:vAlign w:val="center"/>
            <w:hideMark/>
          </w:tcPr>
          <w:p w14:paraId="180F651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(I) chain</w:t>
            </w:r>
          </w:p>
        </w:tc>
      </w:tr>
      <w:tr w:rsidR="00E50D21" w:rsidRPr="00E50D21" w14:paraId="56003470" w14:textId="77777777" w:rsidTr="00966DA6">
        <w:trPr>
          <w:trHeight w:val="300"/>
        </w:trPr>
        <w:tc>
          <w:tcPr>
            <w:tcW w:w="1109" w:type="dxa"/>
            <w:tcBorders>
              <w:top w:val="nil"/>
              <w:left w:val="nil"/>
              <w:bottom w:val="nil"/>
              <w:right w:val="nil"/>
            </w:tcBorders>
            <w:shd w:val="clear" w:color="000000" w:fill="FFFFFF"/>
            <w:vAlign w:val="center"/>
            <w:hideMark/>
          </w:tcPr>
          <w:p w14:paraId="4C586EE1"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29</w:t>
            </w:r>
          </w:p>
        </w:tc>
        <w:tc>
          <w:tcPr>
            <w:tcW w:w="983" w:type="dxa"/>
            <w:tcBorders>
              <w:top w:val="nil"/>
              <w:left w:val="nil"/>
              <w:bottom w:val="single" w:sz="4" w:space="0" w:color="auto"/>
              <w:right w:val="nil"/>
            </w:tcBorders>
            <w:shd w:val="clear" w:color="000000" w:fill="FFFFFF"/>
            <w:vAlign w:val="center"/>
            <w:hideMark/>
          </w:tcPr>
          <w:p w14:paraId="77A28793"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2292,02</w:t>
            </w:r>
          </w:p>
        </w:tc>
        <w:tc>
          <w:tcPr>
            <w:tcW w:w="1095" w:type="dxa"/>
            <w:tcBorders>
              <w:top w:val="nil"/>
              <w:left w:val="nil"/>
              <w:bottom w:val="single" w:sz="4" w:space="0" w:color="auto"/>
              <w:right w:val="nil"/>
            </w:tcBorders>
            <w:shd w:val="clear" w:color="000000" w:fill="FFFFFF"/>
            <w:vAlign w:val="center"/>
            <w:hideMark/>
          </w:tcPr>
          <w:p w14:paraId="31380A70"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0,02</w:t>
            </w:r>
          </w:p>
        </w:tc>
        <w:tc>
          <w:tcPr>
            <w:tcW w:w="983" w:type="dxa"/>
            <w:tcBorders>
              <w:top w:val="nil"/>
              <w:left w:val="nil"/>
              <w:bottom w:val="single" w:sz="4" w:space="0" w:color="auto"/>
              <w:right w:val="nil"/>
            </w:tcBorders>
            <w:shd w:val="clear" w:color="000000" w:fill="FFFFFF"/>
            <w:vAlign w:val="center"/>
            <w:hideMark/>
          </w:tcPr>
          <w:p w14:paraId="4DF5443A"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27,3</w:t>
            </w:r>
          </w:p>
        </w:tc>
        <w:tc>
          <w:tcPr>
            <w:tcW w:w="1440" w:type="dxa"/>
            <w:tcBorders>
              <w:top w:val="nil"/>
              <w:left w:val="nil"/>
              <w:bottom w:val="single" w:sz="4" w:space="0" w:color="auto"/>
              <w:right w:val="nil"/>
            </w:tcBorders>
            <w:shd w:val="clear" w:color="000000" w:fill="FFFFFF"/>
            <w:vAlign w:val="center"/>
            <w:hideMark/>
          </w:tcPr>
          <w:p w14:paraId="5547413B"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0,1</w:t>
            </w:r>
          </w:p>
        </w:tc>
        <w:tc>
          <w:tcPr>
            <w:tcW w:w="4172" w:type="dxa"/>
            <w:tcBorders>
              <w:top w:val="nil"/>
              <w:left w:val="nil"/>
              <w:bottom w:val="single" w:sz="4" w:space="0" w:color="auto"/>
              <w:right w:val="nil"/>
            </w:tcBorders>
            <w:shd w:val="clear" w:color="000000" w:fill="FFFFFF"/>
            <w:vAlign w:val="center"/>
            <w:hideMark/>
          </w:tcPr>
          <w:p w14:paraId="299E5E4F"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proofErr w:type="spellStart"/>
            <w:r w:rsidRPr="00E50D21">
              <w:rPr>
                <w:rFonts w:ascii="Times New Roman" w:eastAsia="Times New Roman" w:hAnsi="Times New Roman" w:cs="Times New Roman"/>
                <w:color w:val="000000"/>
                <w:kern w:val="0"/>
                <w:sz w:val="20"/>
                <w:szCs w:val="20"/>
                <w:lang w:val="en-GB" w:eastAsia="en-GB"/>
                <w14:ligatures w14:val="none"/>
              </w:rPr>
              <w:t>ADGQpGAKGEpGDAGAKGDAG</w:t>
            </w:r>
            <w:r w:rsidRPr="00E50D21">
              <w:rPr>
                <w:rFonts w:ascii="Times New Roman" w:eastAsia="Times New Roman" w:hAnsi="Times New Roman" w:cs="Times New Roman"/>
                <w:b/>
                <w:bCs/>
                <w:i/>
                <w:iCs/>
                <w:kern w:val="0"/>
                <w:sz w:val="20"/>
                <w:szCs w:val="20"/>
                <w:lang w:val="en-GB" w:eastAsia="en-GB"/>
                <w14:ligatures w14:val="none"/>
              </w:rPr>
              <w:t>P</w:t>
            </w:r>
            <w:r w:rsidRPr="00E50D21">
              <w:rPr>
                <w:rFonts w:ascii="Times New Roman" w:eastAsia="Times New Roman" w:hAnsi="Times New Roman" w:cs="Times New Roman"/>
                <w:color w:val="000000"/>
                <w:kern w:val="0"/>
                <w:sz w:val="20"/>
                <w:szCs w:val="20"/>
                <w:lang w:val="en-GB" w:eastAsia="en-GB"/>
                <w14:ligatures w14:val="none"/>
              </w:rPr>
              <w:t>pGPA</w:t>
            </w:r>
            <w:proofErr w:type="spellEnd"/>
          </w:p>
        </w:tc>
        <w:tc>
          <w:tcPr>
            <w:tcW w:w="1558" w:type="dxa"/>
            <w:tcBorders>
              <w:top w:val="nil"/>
              <w:left w:val="nil"/>
              <w:bottom w:val="single" w:sz="4" w:space="0" w:color="auto"/>
              <w:right w:val="nil"/>
            </w:tcBorders>
            <w:shd w:val="clear" w:color="000000" w:fill="FFFFFF"/>
            <w:vAlign w:val="center"/>
            <w:hideMark/>
          </w:tcPr>
          <w:p w14:paraId="3B94C96D" w14:textId="77777777" w:rsidR="00E50D21" w:rsidRPr="00E50D21" w:rsidRDefault="00E50D21" w:rsidP="00966DA6">
            <w:pPr>
              <w:jc w:val="center"/>
              <w:rPr>
                <w:rFonts w:ascii="Times New Roman" w:eastAsia="Times New Roman" w:hAnsi="Times New Roman" w:cs="Times New Roman"/>
                <w:color w:val="000000"/>
                <w:kern w:val="0"/>
                <w:sz w:val="20"/>
                <w:szCs w:val="20"/>
                <w:lang w:val="en-GB" w:eastAsia="en-GB"/>
                <w14:ligatures w14:val="none"/>
              </w:rPr>
            </w:pPr>
            <w:r w:rsidRPr="00E50D21">
              <w:rPr>
                <w:rFonts w:ascii="Times New Roman" w:eastAsia="Times New Roman" w:hAnsi="Times New Roman" w:cs="Times New Roman"/>
                <w:color w:val="000000"/>
                <w:kern w:val="0"/>
                <w:sz w:val="20"/>
                <w:szCs w:val="20"/>
                <w:lang w:val="en-GB" w:eastAsia="en-GB"/>
                <w14:ligatures w14:val="none"/>
              </w:rPr>
              <w:t>Collagen alpha-1 (I) chain</w:t>
            </w:r>
          </w:p>
        </w:tc>
      </w:tr>
    </w:tbl>
    <w:p w14:paraId="05B9C4B2" w14:textId="77777777" w:rsidR="0011703F" w:rsidRPr="00D860E9" w:rsidRDefault="0011703F" w:rsidP="00D860E9">
      <w:pPr>
        <w:spacing w:line="360" w:lineRule="auto"/>
        <w:jc w:val="both"/>
        <w:rPr>
          <w:rFonts w:ascii="Times New Roman" w:hAnsi="Times New Roman" w:cs="Times New Roman"/>
        </w:rPr>
      </w:pPr>
    </w:p>
    <w:p w14:paraId="5321402A" w14:textId="5078F08B" w:rsidR="00D860E9" w:rsidRPr="00D860E9" w:rsidRDefault="00D860E9" w:rsidP="00D860E9">
      <w:pPr>
        <w:spacing w:line="360" w:lineRule="auto"/>
        <w:jc w:val="both"/>
        <w:rPr>
          <w:rFonts w:ascii="Times New Roman" w:hAnsi="Times New Roman" w:cs="Times New Roman"/>
          <w:b/>
          <w:bCs/>
        </w:rPr>
      </w:pPr>
      <w:r w:rsidRPr="00D860E9">
        <w:rPr>
          <w:rFonts w:ascii="Times New Roman" w:hAnsi="Times New Roman" w:cs="Times New Roman"/>
          <w:b/>
          <w:bCs/>
        </w:rPr>
        <w:t xml:space="preserve">References </w:t>
      </w:r>
    </w:p>
    <w:p w14:paraId="523AE32C" w14:textId="00343E84" w:rsidR="00D860E9" w:rsidRPr="00D860E9" w:rsidRDefault="00D860E9" w:rsidP="00D860E9">
      <w:pPr>
        <w:pStyle w:val="Bibliografa"/>
        <w:spacing w:line="360" w:lineRule="auto"/>
        <w:jc w:val="both"/>
        <w:rPr>
          <w:rFonts w:ascii="Times New Roman" w:hAnsi="Times New Roman" w:cs="Times New Roman"/>
        </w:rPr>
      </w:pPr>
      <w:r w:rsidRPr="00D860E9">
        <w:rPr>
          <w:rFonts w:ascii="Times New Roman" w:hAnsi="Times New Roman" w:cs="Times New Roman"/>
          <w:lang w:val="en-GB"/>
        </w:rPr>
        <w:t>1.</w:t>
      </w:r>
      <w:r w:rsidRPr="00D860E9">
        <w:rPr>
          <w:rFonts w:ascii="Times New Roman" w:hAnsi="Times New Roman" w:cs="Times New Roman"/>
          <w:lang w:val="en-GB"/>
        </w:rPr>
        <w:tab/>
      </w:r>
      <w:proofErr w:type="spellStart"/>
      <w:r w:rsidRPr="00D860E9">
        <w:rPr>
          <w:rFonts w:ascii="Times New Roman" w:hAnsi="Times New Roman" w:cs="Times New Roman"/>
          <w:lang w:val="en-GB"/>
        </w:rPr>
        <w:t>Zürbig</w:t>
      </w:r>
      <w:proofErr w:type="spellEnd"/>
      <w:r w:rsidRPr="00D860E9">
        <w:rPr>
          <w:rFonts w:ascii="Times New Roman" w:hAnsi="Times New Roman" w:cs="Times New Roman"/>
          <w:lang w:val="en-GB"/>
        </w:rPr>
        <w:t xml:space="preserve"> P, </w:t>
      </w:r>
      <w:proofErr w:type="spellStart"/>
      <w:r w:rsidRPr="00D860E9">
        <w:rPr>
          <w:rFonts w:ascii="Times New Roman" w:hAnsi="Times New Roman" w:cs="Times New Roman"/>
          <w:lang w:val="en-GB"/>
        </w:rPr>
        <w:t>Renfrow</w:t>
      </w:r>
      <w:proofErr w:type="spellEnd"/>
      <w:r w:rsidRPr="00D860E9">
        <w:rPr>
          <w:rFonts w:ascii="Times New Roman" w:hAnsi="Times New Roman" w:cs="Times New Roman"/>
          <w:lang w:val="en-GB"/>
        </w:rPr>
        <w:t xml:space="preserve"> MB, </w:t>
      </w:r>
      <w:proofErr w:type="spellStart"/>
      <w:r w:rsidRPr="00D860E9">
        <w:rPr>
          <w:rFonts w:ascii="Times New Roman" w:hAnsi="Times New Roman" w:cs="Times New Roman"/>
          <w:lang w:val="en-GB"/>
        </w:rPr>
        <w:t>Schiffer</w:t>
      </w:r>
      <w:proofErr w:type="spellEnd"/>
      <w:r w:rsidRPr="00D860E9">
        <w:rPr>
          <w:rFonts w:ascii="Times New Roman" w:hAnsi="Times New Roman" w:cs="Times New Roman"/>
          <w:lang w:val="en-GB"/>
        </w:rPr>
        <w:t xml:space="preserve"> E, et al. </w:t>
      </w:r>
      <w:r w:rsidRPr="00D860E9">
        <w:rPr>
          <w:rFonts w:ascii="Times New Roman" w:hAnsi="Times New Roman" w:cs="Times New Roman"/>
        </w:rPr>
        <w:t xml:space="preserve">Biomarker discovery by CE-MS enables sequence analysis via MS/MS with platform-independent separation. </w:t>
      </w:r>
      <w:r w:rsidRPr="00D860E9">
        <w:rPr>
          <w:rFonts w:ascii="Times New Roman" w:hAnsi="Times New Roman" w:cs="Times New Roman"/>
          <w:i/>
          <w:iCs/>
        </w:rPr>
        <w:t>Electrophoresis</w:t>
      </w:r>
      <w:r w:rsidRPr="00D860E9">
        <w:rPr>
          <w:rFonts w:ascii="Times New Roman" w:hAnsi="Times New Roman" w:cs="Times New Roman"/>
        </w:rPr>
        <w:t>. 2006</w:t>
      </w:r>
      <w:proofErr w:type="gramStart"/>
      <w:r w:rsidRPr="00D860E9">
        <w:rPr>
          <w:rFonts w:ascii="Times New Roman" w:hAnsi="Times New Roman" w:cs="Times New Roman"/>
        </w:rPr>
        <w:t>;27</w:t>
      </w:r>
      <w:proofErr w:type="gramEnd"/>
      <w:r w:rsidRPr="00D860E9">
        <w:rPr>
          <w:rFonts w:ascii="Times New Roman" w:hAnsi="Times New Roman" w:cs="Times New Roman"/>
        </w:rPr>
        <w:t xml:space="preserve">(11):2111-2125. </w:t>
      </w:r>
    </w:p>
    <w:p w14:paraId="382A024D" w14:textId="6F4F0373" w:rsidR="00D860E9" w:rsidRPr="00D860E9" w:rsidRDefault="00D860E9" w:rsidP="00D860E9">
      <w:pPr>
        <w:pStyle w:val="Bibliografa"/>
        <w:spacing w:line="360" w:lineRule="auto"/>
        <w:jc w:val="both"/>
        <w:rPr>
          <w:rFonts w:ascii="Times New Roman" w:hAnsi="Times New Roman" w:cs="Times New Roman"/>
        </w:rPr>
      </w:pPr>
      <w:r>
        <w:rPr>
          <w:rFonts w:ascii="Times New Roman" w:hAnsi="Times New Roman" w:cs="Times New Roman"/>
        </w:rPr>
        <w:t>2</w:t>
      </w:r>
      <w:r w:rsidRPr="00D860E9">
        <w:rPr>
          <w:rFonts w:ascii="Times New Roman" w:hAnsi="Times New Roman" w:cs="Times New Roman"/>
        </w:rPr>
        <w:t>.</w:t>
      </w:r>
      <w:r w:rsidRPr="00D860E9">
        <w:rPr>
          <w:rFonts w:ascii="Times New Roman" w:hAnsi="Times New Roman" w:cs="Times New Roman"/>
        </w:rPr>
        <w:tab/>
      </w:r>
      <w:proofErr w:type="spellStart"/>
      <w:r w:rsidRPr="00D860E9">
        <w:rPr>
          <w:rFonts w:ascii="Times New Roman" w:hAnsi="Times New Roman" w:cs="Times New Roman"/>
        </w:rPr>
        <w:t>Latosinska</w:t>
      </w:r>
      <w:proofErr w:type="spellEnd"/>
      <w:r w:rsidRPr="00D860E9">
        <w:rPr>
          <w:rFonts w:ascii="Times New Roman" w:hAnsi="Times New Roman" w:cs="Times New Roman"/>
        </w:rPr>
        <w:t xml:space="preserve"> A, </w:t>
      </w:r>
      <w:proofErr w:type="spellStart"/>
      <w:r w:rsidRPr="00D860E9">
        <w:rPr>
          <w:rFonts w:ascii="Times New Roman" w:hAnsi="Times New Roman" w:cs="Times New Roman"/>
        </w:rPr>
        <w:t>Siwy</w:t>
      </w:r>
      <w:proofErr w:type="spellEnd"/>
      <w:r w:rsidRPr="00D860E9">
        <w:rPr>
          <w:rFonts w:ascii="Times New Roman" w:hAnsi="Times New Roman" w:cs="Times New Roman"/>
        </w:rPr>
        <w:t xml:space="preserve"> J, </w:t>
      </w:r>
      <w:proofErr w:type="spellStart"/>
      <w:r w:rsidRPr="00D860E9">
        <w:rPr>
          <w:rFonts w:ascii="Times New Roman" w:hAnsi="Times New Roman" w:cs="Times New Roman"/>
        </w:rPr>
        <w:t>Mischak</w:t>
      </w:r>
      <w:proofErr w:type="spellEnd"/>
      <w:r w:rsidRPr="00D860E9">
        <w:rPr>
          <w:rFonts w:ascii="Times New Roman" w:hAnsi="Times New Roman" w:cs="Times New Roman"/>
        </w:rPr>
        <w:t xml:space="preserve"> H, </w:t>
      </w:r>
      <w:proofErr w:type="spellStart"/>
      <w:r w:rsidRPr="00D860E9">
        <w:rPr>
          <w:rFonts w:ascii="Times New Roman" w:hAnsi="Times New Roman" w:cs="Times New Roman"/>
        </w:rPr>
        <w:t>Frantzi</w:t>
      </w:r>
      <w:proofErr w:type="spellEnd"/>
      <w:r w:rsidRPr="00D860E9">
        <w:rPr>
          <w:rFonts w:ascii="Times New Roman" w:hAnsi="Times New Roman" w:cs="Times New Roman"/>
        </w:rPr>
        <w:t xml:space="preserve"> M. </w:t>
      </w:r>
      <w:proofErr w:type="spellStart"/>
      <w:r w:rsidRPr="00D860E9">
        <w:rPr>
          <w:rFonts w:ascii="Times New Roman" w:hAnsi="Times New Roman" w:cs="Times New Roman"/>
        </w:rPr>
        <w:t>Peptidomics</w:t>
      </w:r>
      <w:proofErr w:type="spellEnd"/>
      <w:r w:rsidRPr="00D860E9">
        <w:rPr>
          <w:rFonts w:ascii="Times New Roman" w:hAnsi="Times New Roman" w:cs="Times New Roman"/>
        </w:rPr>
        <w:t xml:space="preserve"> and proteomics based on CE-MS as a robust tool in clinical application: The past, the present, and the future. </w:t>
      </w:r>
      <w:r w:rsidRPr="00D860E9">
        <w:rPr>
          <w:rFonts w:ascii="Times New Roman" w:hAnsi="Times New Roman" w:cs="Times New Roman"/>
          <w:i/>
          <w:iCs/>
        </w:rPr>
        <w:t>Electrophoresis</w:t>
      </w:r>
      <w:r w:rsidRPr="00D860E9">
        <w:rPr>
          <w:rFonts w:ascii="Times New Roman" w:hAnsi="Times New Roman" w:cs="Times New Roman"/>
        </w:rPr>
        <w:t>. 2019</w:t>
      </w:r>
      <w:proofErr w:type="gramStart"/>
      <w:r w:rsidRPr="00D860E9">
        <w:rPr>
          <w:rFonts w:ascii="Times New Roman" w:hAnsi="Times New Roman" w:cs="Times New Roman"/>
        </w:rPr>
        <w:t>;40</w:t>
      </w:r>
      <w:proofErr w:type="gramEnd"/>
      <w:r w:rsidRPr="00D860E9">
        <w:rPr>
          <w:rFonts w:ascii="Times New Roman" w:hAnsi="Times New Roman" w:cs="Times New Roman"/>
        </w:rPr>
        <w:t xml:space="preserve">(18-19):2294-2308. </w:t>
      </w:r>
    </w:p>
    <w:p w14:paraId="3EA70C5B" w14:textId="45444724" w:rsidR="00D860E9" w:rsidRPr="00D860E9" w:rsidRDefault="00D860E9" w:rsidP="00D860E9">
      <w:pPr>
        <w:pStyle w:val="Bibliografa"/>
        <w:spacing w:line="360" w:lineRule="auto"/>
        <w:jc w:val="both"/>
        <w:rPr>
          <w:rFonts w:ascii="Times New Roman" w:hAnsi="Times New Roman" w:cs="Times New Roman"/>
        </w:rPr>
      </w:pPr>
      <w:r w:rsidRPr="00E50D21">
        <w:rPr>
          <w:rFonts w:ascii="Times New Roman" w:hAnsi="Times New Roman" w:cs="Times New Roman"/>
          <w:lang w:val="de-DE"/>
        </w:rPr>
        <w:t>3.</w:t>
      </w:r>
      <w:r w:rsidRPr="00E50D21">
        <w:rPr>
          <w:rFonts w:ascii="Times New Roman" w:hAnsi="Times New Roman" w:cs="Times New Roman"/>
          <w:lang w:val="de-DE"/>
        </w:rPr>
        <w:tab/>
        <w:t xml:space="preserve">Frantzi M, Metzger J, Banks RE, et al. </w:t>
      </w:r>
      <w:r w:rsidRPr="00D860E9">
        <w:rPr>
          <w:rFonts w:ascii="Times New Roman" w:hAnsi="Times New Roman" w:cs="Times New Roman"/>
        </w:rPr>
        <w:t xml:space="preserve">Discovery and validation of urinary biomarkers for detection of renal cell carcinoma. </w:t>
      </w:r>
      <w:r w:rsidRPr="00D860E9">
        <w:rPr>
          <w:rFonts w:ascii="Times New Roman" w:hAnsi="Times New Roman" w:cs="Times New Roman"/>
          <w:i/>
          <w:iCs/>
        </w:rPr>
        <w:t>J Proteomics</w:t>
      </w:r>
      <w:r w:rsidRPr="00D860E9">
        <w:rPr>
          <w:rFonts w:ascii="Times New Roman" w:hAnsi="Times New Roman" w:cs="Times New Roman"/>
        </w:rPr>
        <w:t>. 2014</w:t>
      </w:r>
      <w:proofErr w:type="gramStart"/>
      <w:r w:rsidRPr="00D860E9">
        <w:rPr>
          <w:rFonts w:ascii="Times New Roman" w:hAnsi="Times New Roman" w:cs="Times New Roman"/>
        </w:rPr>
        <w:t>;98:44</w:t>
      </w:r>
      <w:proofErr w:type="gramEnd"/>
      <w:r w:rsidRPr="00D860E9">
        <w:rPr>
          <w:rFonts w:ascii="Times New Roman" w:hAnsi="Times New Roman" w:cs="Times New Roman"/>
        </w:rPr>
        <w:t xml:space="preserve">-58. </w:t>
      </w:r>
    </w:p>
    <w:p w14:paraId="2991C45E" w14:textId="676A1BBF" w:rsidR="00D860E9" w:rsidRPr="00D860E9" w:rsidRDefault="00D860E9" w:rsidP="00D860E9">
      <w:pPr>
        <w:pStyle w:val="Bibliografa"/>
        <w:spacing w:line="360" w:lineRule="auto"/>
        <w:jc w:val="both"/>
        <w:rPr>
          <w:rFonts w:ascii="Times New Roman" w:hAnsi="Times New Roman" w:cs="Times New Roman"/>
        </w:rPr>
      </w:pPr>
      <w:r>
        <w:rPr>
          <w:rFonts w:ascii="Times New Roman" w:hAnsi="Times New Roman" w:cs="Times New Roman"/>
        </w:rPr>
        <w:t>4</w:t>
      </w:r>
      <w:r w:rsidRPr="00D860E9">
        <w:rPr>
          <w:rFonts w:ascii="Times New Roman" w:hAnsi="Times New Roman" w:cs="Times New Roman"/>
        </w:rPr>
        <w:t>.</w:t>
      </w:r>
      <w:r w:rsidRPr="00D860E9">
        <w:rPr>
          <w:rFonts w:ascii="Times New Roman" w:hAnsi="Times New Roman" w:cs="Times New Roman"/>
        </w:rPr>
        <w:tab/>
      </w:r>
      <w:proofErr w:type="spellStart"/>
      <w:r w:rsidRPr="00D860E9">
        <w:rPr>
          <w:rFonts w:ascii="Times New Roman" w:hAnsi="Times New Roman" w:cs="Times New Roman"/>
        </w:rPr>
        <w:t>Siwy</w:t>
      </w:r>
      <w:proofErr w:type="spellEnd"/>
      <w:r w:rsidRPr="00D860E9">
        <w:rPr>
          <w:rFonts w:ascii="Times New Roman" w:hAnsi="Times New Roman" w:cs="Times New Roman"/>
        </w:rPr>
        <w:t xml:space="preserve"> J, Mullen W, </w:t>
      </w:r>
      <w:proofErr w:type="spellStart"/>
      <w:r w:rsidRPr="00D860E9">
        <w:rPr>
          <w:rFonts w:ascii="Times New Roman" w:hAnsi="Times New Roman" w:cs="Times New Roman"/>
        </w:rPr>
        <w:t>Golovko</w:t>
      </w:r>
      <w:proofErr w:type="spellEnd"/>
      <w:r w:rsidRPr="00D860E9">
        <w:rPr>
          <w:rFonts w:ascii="Times New Roman" w:hAnsi="Times New Roman" w:cs="Times New Roman"/>
        </w:rPr>
        <w:t xml:space="preserve"> I, </w:t>
      </w:r>
      <w:proofErr w:type="spellStart"/>
      <w:r w:rsidRPr="00D860E9">
        <w:rPr>
          <w:rFonts w:ascii="Times New Roman" w:hAnsi="Times New Roman" w:cs="Times New Roman"/>
        </w:rPr>
        <w:t>Franke</w:t>
      </w:r>
      <w:proofErr w:type="spellEnd"/>
      <w:r w:rsidRPr="00D860E9">
        <w:rPr>
          <w:rFonts w:ascii="Times New Roman" w:hAnsi="Times New Roman" w:cs="Times New Roman"/>
        </w:rPr>
        <w:t xml:space="preserve"> J, </w:t>
      </w:r>
      <w:proofErr w:type="spellStart"/>
      <w:r w:rsidRPr="00D860E9">
        <w:rPr>
          <w:rFonts w:ascii="Times New Roman" w:hAnsi="Times New Roman" w:cs="Times New Roman"/>
        </w:rPr>
        <w:t>Zürbig</w:t>
      </w:r>
      <w:proofErr w:type="spellEnd"/>
      <w:r w:rsidRPr="00D860E9">
        <w:rPr>
          <w:rFonts w:ascii="Times New Roman" w:hAnsi="Times New Roman" w:cs="Times New Roman"/>
        </w:rPr>
        <w:t xml:space="preserve"> P. Human urinary peptide database for multiple disease biomarker discovery. </w:t>
      </w:r>
      <w:r w:rsidRPr="00D860E9">
        <w:rPr>
          <w:rFonts w:ascii="Times New Roman" w:hAnsi="Times New Roman" w:cs="Times New Roman"/>
          <w:i/>
          <w:iCs/>
        </w:rPr>
        <w:t xml:space="preserve">Proteomics </w:t>
      </w:r>
      <w:proofErr w:type="spellStart"/>
      <w:r w:rsidRPr="00D860E9">
        <w:rPr>
          <w:rFonts w:ascii="Times New Roman" w:hAnsi="Times New Roman" w:cs="Times New Roman"/>
          <w:i/>
          <w:iCs/>
        </w:rPr>
        <w:t>Clin</w:t>
      </w:r>
      <w:proofErr w:type="spellEnd"/>
      <w:r w:rsidRPr="00D860E9">
        <w:rPr>
          <w:rFonts w:ascii="Times New Roman" w:hAnsi="Times New Roman" w:cs="Times New Roman"/>
          <w:i/>
          <w:iCs/>
        </w:rPr>
        <w:t xml:space="preserve"> Appl</w:t>
      </w:r>
      <w:r w:rsidRPr="00D860E9">
        <w:rPr>
          <w:rFonts w:ascii="Times New Roman" w:hAnsi="Times New Roman" w:cs="Times New Roman"/>
        </w:rPr>
        <w:t>. 2011</w:t>
      </w:r>
      <w:proofErr w:type="gramStart"/>
      <w:r w:rsidRPr="00D860E9">
        <w:rPr>
          <w:rFonts w:ascii="Times New Roman" w:hAnsi="Times New Roman" w:cs="Times New Roman"/>
        </w:rPr>
        <w:t>;5</w:t>
      </w:r>
      <w:proofErr w:type="gramEnd"/>
      <w:r w:rsidRPr="00D860E9">
        <w:rPr>
          <w:rFonts w:ascii="Times New Roman" w:hAnsi="Times New Roman" w:cs="Times New Roman"/>
        </w:rPr>
        <w:t xml:space="preserve">(5-6):367-374. </w:t>
      </w:r>
    </w:p>
    <w:p w14:paraId="0635D0ED" w14:textId="6CB76F43" w:rsidR="00D860E9" w:rsidRPr="00D860E9" w:rsidRDefault="00D860E9" w:rsidP="00E50D21">
      <w:pPr>
        <w:pStyle w:val="Bibliografa"/>
        <w:spacing w:line="360" w:lineRule="auto"/>
        <w:jc w:val="both"/>
        <w:rPr>
          <w:rFonts w:ascii="Times New Roman" w:hAnsi="Times New Roman" w:cs="Times New Roman"/>
        </w:rPr>
      </w:pPr>
      <w:r>
        <w:rPr>
          <w:rFonts w:ascii="Times New Roman" w:hAnsi="Times New Roman" w:cs="Times New Roman"/>
        </w:rPr>
        <w:t>5</w:t>
      </w:r>
      <w:r w:rsidRPr="00D860E9">
        <w:rPr>
          <w:rFonts w:ascii="Times New Roman" w:hAnsi="Times New Roman" w:cs="Times New Roman"/>
        </w:rPr>
        <w:t>.</w:t>
      </w:r>
      <w:r w:rsidRPr="00D860E9">
        <w:rPr>
          <w:rFonts w:ascii="Times New Roman" w:hAnsi="Times New Roman" w:cs="Times New Roman"/>
        </w:rPr>
        <w:tab/>
      </w:r>
      <w:proofErr w:type="spellStart"/>
      <w:r w:rsidRPr="00D860E9">
        <w:rPr>
          <w:rFonts w:ascii="Times New Roman" w:hAnsi="Times New Roman" w:cs="Times New Roman"/>
        </w:rPr>
        <w:t>Dakna</w:t>
      </w:r>
      <w:proofErr w:type="spellEnd"/>
      <w:r w:rsidRPr="00D860E9">
        <w:rPr>
          <w:rFonts w:ascii="Times New Roman" w:hAnsi="Times New Roman" w:cs="Times New Roman"/>
        </w:rPr>
        <w:t xml:space="preserve"> M, Harris K, </w:t>
      </w:r>
      <w:proofErr w:type="spellStart"/>
      <w:r w:rsidRPr="00D860E9">
        <w:rPr>
          <w:rFonts w:ascii="Times New Roman" w:hAnsi="Times New Roman" w:cs="Times New Roman"/>
        </w:rPr>
        <w:t>Kalousis</w:t>
      </w:r>
      <w:proofErr w:type="spellEnd"/>
      <w:r w:rsidRPr="00D860E9">
        <w:rPr>
          <w:rFonts w:ascii="Times New Roman" w:hAnsi="Times New Roman" w:cs="Times New Roman"/>
        </w:rPr>
        <w:t xml:space="preserve"> A, et al. Addressing the challenge of defining valid proteomic biomarkers and classifiers. </w:t>
      </w:r>
      <w:r w:rsidRPr="00E50D21">
        <w:rPr>
          <w:rFonts w:ascii="Times New Roman" w:hAnsi="Times New Roman" w:cs="Times New Roman"/>
          <w:i/>
          <w:iCs/>
          <w:lang w:val="it-IT"/>
        </w:rPr>
        <w:t>BMC Bioinformatics</w:t>
      </w:r>
      <w:r w:rsidRPr="00E50D21">
        <w:rPr>
          <w:rFonts w:ascii="Times New Roman" w:hAnsi="Times New Roman" w:cs="Times New Roman"/>
          <w:lang w:val="it-IT"/>
        </w:rPr>
        <w:t xml:space="preserve">. 2010;11:594. </w:t>
      </w:r>
    </w:p>
    <w:sectPr w:rsidR="00D860E9" w:rsidRPr="00D860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B6"/>
    <w:rsid w:val="0011703F"/>
    <w:rsid w:val="00366396"/>
    <w:rsid w:val="0072150A"/>
    <w:rsid w:val="007774B9"/>
    <w:rsid w:val="00844458"/>
    <w:rsid w:val="008D3FB6"/>
    <w:rsid w:val="00966DA6"/>
    <w:rsid w:val="009A36DB"/>
    <w:rsid w:val="00C346D0"/>
    <w:rsid w:val="00D860E9"/>
    <w:rsid w:val="00E50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CE5E"/>
  <w15:chartTrackingRefBased/>
  <w15:docId w15:val="{7FD5E7FE-1C4B-47B6-B1F2-71D274C0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B6"/>
    <w:pPr>
      <w:spacing w:after="0" w:line="240" w:lineRule="auto"/>
    </w:pPr>
    <w:rPr>
      <w:sz w:val="24"/>
      <w:szCs w:val="24"/>
      <w:lang w:val="en-US"/>
    </w:rPr>
  </w:style>
  <w:style w:type="paragraph" w:styleId="Ttulo1">
    <w:name w:val="heading 1"/>
    <w:basedOn w:val="Normal"/>
    <w:next w:val="Normal"/>
    <w:link w:val="Ttulo1Car"/>
    <w:uiPriority w:val="9"/>
    <w:qFormat/>
    <w:rsid w:val="008D3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D3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3F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3F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3F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3F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3F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3F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3F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FB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D3FB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3FB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3FB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3FB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3F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3F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3F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3FB6"/>
    <w:rPr>
      <w:rFonts w:eastAsiaTheme="majorEastAsia" w:cstheme="majorBidi"/>
      <w:color w:val="272727" w:themeColor="text1" w:themeTint="D8"/>
    </w:rPr>
  </w:style>
  <w:style w:type="paragraph" w:styleId="Puesto">
    <w:name w:val="Title"/>
    <w:basedOn w:val="Normal"/>
    <w:next w:val="Normal"/>
    <w:link w:val="PuestoCar"/>
    <w:uiPriority w:val="10"/>
    <w:qFormat/>
    <w:rsid w:val="008D3FB6"/>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3F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3F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3F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3FB6"/>
    <w:pPr>
      <w:spacing w:before="160"/>
      <w:jc w:val="center"/>
    </w:pPr>
    <w:rPr>
      <w:i/>
      <w:iCs/>
      <w:color w:val="404040" w:themeColor="text1" w:themeTint="BF"/>
    </w:rPr>
  </w:style>
  <w:style w:type="character" w:customStyle="1" w:styleId="CitaCar">
    <w:name w:val="Cita Car"/>
    <w:basedOn w:val="Fuentedeprrafopredeter"/>
    <w:link w:val="Cita"/>
    <w:uiPriority w:val="29"/>
    <w:rsid w:val="008D3FB6"/>
    <w:rPr>
      <w:i/>
      <w:iCs/>
      <w:color w:val="404040" w:themeColor="text1" w:themeTint="BF"/>
    </w:rPr>
  </w:style>
  <w:style w:type="paragraph" w:styleId="Prrafodelista">
    <w:name w:val="List Paragraph"/>
    <w:basedOn w:val="Normal"/>
    <w:uiPriority w:val="34"/>
    <w:qFormat/>
    <w:rsid w:val="008D3FB6"/>
    <w:pPr>
      <w:ind w:left="720"/>
      <w:contextualSpacing/>
    </w:pPr>
  </w:style>
  <w:style w:type="character" w:styleId="nfasisintenso">
    <w:name w:val="Intense Emphasis"/>
    <w:basedOn w:val="Fuentedeprrafopredeter"/>
    <w:uiPriority w:val="21"/>
    <w:qFormat/>
    <w:rsid w:val="008D3FB6"/>
    <w:rPr>
      <w:i/>
      <w:iCs/>
      <w:color w:val="2F5496" w:themeColor="accent1" w:themeShade="BF"/>
    </w:rPr>
  </w:style>
  <w:style w:type="paragraph" w:styleId="Citadestacada">
    <w:name w:val="Intense Quote"/>
    <w:basedOn w:val="Normal"/>
    <w:next w:val="Normal"/>
    <w:link w:val="CitadestacadaCar"/>
    <w:uiPriority w:val="30"/>
    <w:qFormat/>
    <w:rsid w:val="008D3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3FB6"/>
    <w:rPr>
      <w:i/>
      <w:iCs/>
      <w:color w:val="2F5496" w:themeColor="accent1" w:themeShade="BF"/>
    </w:rPr>
  </w:style>
  <w:style w:type="character" w:styleId="Referenciaintensa">
    <w:name w:val="Intense Reference"/>
    <w:basedOn w:val="Fuentedeprrafopredeter"/>
    <w:uiPriority w:val="32"/>
    <w:qFormat/>
    <w:rsid w:val="008D3FB6"/>
    <w:rPr>
      <w:b/>
      <w:bCs/>
      <w:smallCaps/>
      <w:color w:val="2F5496" w:themeColor="accent1" w:themeShade="BF"/>
      <w:spacing w:val="5"/>
    </w:rPr>
  </w:style>
  <w:style w:type="character" w:styleId="Refdecomentario">
    <w:name w:val="annotation reference"/>
    <w:basedOn w:val="Fuentedeprrafopredeter"/>
    <w:uiPriority w:val="99"/>
    <w:semiHidden/>
    <w:unhideWhenUsed/>
    <w:rsid w:val="008D3FB6"/>
    <w:rPr>
      <w:sz w:val="16"/>
      <w:szCs w:val="16"/>
    </w:rPr>
  </w:style>
  <w:style w:type="paragraph" w:styleId="Textocomentario">
    <w:name w:val="annotation text"/>
    <w:basedOn w:val="Normal"/>
    <w:link w:val="TextocomentarioCar"/>
    <w:uiPriority w:val="99"/>
    <w:unhideWhenUsed/>
    <w:rsid w:val="008D3FB6"/>
    <w:rPr>
      <w:sz w:val="20"/>
      <w:szCs w:val="20"/>
    </w:rPr>
  </w:style>
  <w:style w:type="character" w:customStyle="1" w:styleId="TextocomentarioCar">
    <w:name w:val="Texto comentario Car"/>
    <w:basedOn w:val="Fuentedeprrafopredeter"/>
    <w:link w:val="Textocomentario"/>
    <w:uiPriority w:val="99"/>
    <w:rsid w:val="008D3FB6"/>
    <w:rPr>
      <w:sz w:val="20"/>
      <w:szCs w:val="20"/>
      <w:lang w:val="en-US"/>
    </w:rPr>
  </w:style>
  <w:style w:type="paragraph" w:styleId="Bibliografa">
    <w:name w:val="Bibliography"/>
    <w:basedOn w:val="Normal"/>
    <w:next w:val="Normal"/>
    <w:uiPriority w:val="37"/>
    <w:unhideWhenUsed/>
    <w:rsid w:val="00D8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2341</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Frantzi</dc:creator>
  <cp:keywords/>
  <dc:description/>
  <cp:lastModifiedBy>Cuenta Microsoft</cp:lastModifiedBy>
  <cp:revision>5</cp:revision>
  <dcterms:created xsi:type="dcterms:W3CDTF">2026-01-28T12:02:00Z</dcterms:created>
  <dcterms:modified xsi:type="dcterms:W3CDTF">2026-02-21T11:20:00Z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f8f961d1-b442-484f-be7c-ce989dc29cca</vt:lpwstr>
  </property>
</Properties>
</file>