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ACB6E" w14:textId="77777777" w:rsidR="00A17C28" w:rsidRDefault="00263919">
      <w:pPr>
        <w:spacing w:line="360" w:lineRule="auto"/>
        <w:rPr>
          <w:b/>
          <w:bCs/>
        </w:rPr>
      </w:pPr>
      <w:r>
        <w:rPr>
          <w:b/>
          <w:bCs/>
        </w:rPr>
        <w:t>Supplementary file:</w:t>
      </w:r>
    </w:p>
    <w:p w14:paraId="4562A5E4" w14:textId="475CE8A7" w:rsidR="00A17C28" w:rsidRDefault="00263919">
      <w:pPr>
        <w:spacing w:line="360" w:lineRule="auto"/>
      </w:pPr>
      <w:r>
        <w:t xml:space="preserve">Sequenced reads were mapped using Hisat2 </w:t>
      </w:r>
      <w:r w:rsidR="000667AE">
        <w:fldChar w:fldCharType="begin" w:fldLock="1"/>
      </w:r>
      <w:r w:rsidR="000667AE">
        <w:instrText>ADDIN CSL_CITATION {"citationItems":[{"id":"ITEM-1","itemData":{"DOI":"10.1109/TCBB.2013.2297101","ISBN":"978-3-642-23037-0, 978-3-642-23038-7","ISSN":"15455963","PMID":"26355784","abstract":"We propose a generic approach to replace the canonical sequence representation of genomes with graph representations, and study several applications of such extensions. We extend the Burrows-Wheeler transform (BWT) of strings to acyclic directed labeled graphs, to support path queries as an extension to substring searching. We develop, apply, and tailor this technique to a) read alignment on an extended BWT index of a graph representing pan-genome, i.e., reference genome and known variants of it; and b) split-read alignment on an extended BWT index of a splicing graph. Other possible applications include probe/primer design, alignments to assembly graphs, and alignments to phylogenetic tree of partial-order graphs. We report several experiments on the feasibility and applicability of the approach. Especially on highly-polymorphic genome regions our pan-genome index is making a significant improvement in alignment accuracy.","author":[{"dropping-particle":"","family":"Sirén","given":"Jouni","non-dropping-particle":"","parse-names":false,"suffix":""},{"dropping-particle":"","family":"Välimäki","given":"Niko","non-dropping-particle":"","parse-names":false,"suffix":""},{"dropping-particle":"","family":"Mäkinen","given":"Veli","non-dropping-particle":"","parse-names":false,"suffix":""}],"container-title":"IEEE/ACM Transactions on Computational Biology and Bioinformatics","id":"ITEM-1","issue":"2","issued":{"date-parts":[["2014"]]},"page":"375-388","title":"HISAT2 - Fast and sensitive alignment against general human population","type":"article-journal","volume":"11"},"uris":["http://www.mendeley.com/documents/?uuid=e54f2a36-e8fc-40bc-bfb8-04041deb0f9b"]},{"id":"ITEM-2","itemData":{"DOI":"10.1038/nbt.3122","ISBN":"1546-1696 (Electronic)\\r1087-0156 (Linking)","ISSN":"15461696","PMID":"25690850","abstract":"Methods used to sequence the transcriptome often produce more than 200 million short sequences. We introduce StringTie, a computational method that applies a network flow algorithm originally developed in optimization theory, together with optional de novo assembly, to assemble these complex data sets into transcripts. When used to analyze both simulated and real data sets, StringTie produces more complete and accurate reconstructions of genes and better estimates of expression levels, compared with other leading transcript assembly programs including Cufflinks, IsoLasso, Scripture and Traph. For example, on 90 million reads from human blood, StringTie correctly assembled 10,990 transcripts, whereas the next best assembly was of 7,187 transcripts by Cufflinks, which is a 53% increase in transcripts assembled. On a simulated data set, StringTie correctly assembled 7,559 transcripts, which is 20% more than the 6,310 assembled by Cufflinks. As well as producing a more complete transcriptome assembly, StringTie runs faster on all data sets tested to date compared with other assembly software, including Cufflinks.","author":[{"dropping-particle":"","family":"Pertea","given":"Mihaela","non-dropping-particle":"","parse-names":false,"suffix":""},{"dropping-particle":"","family":"Pertea","given":"Geo M.","non-dropping-particle":"","parse-names":false,"suffix":""},{"dropping-particle":"","family":"Antonescu","given":"Corina M.","non-dropping-particle":"","parse-names":false,"suffix":""},{"dropping-particle":"","family":"Chang","given":"Tsung Cheng","non-dropping-particle":"","parse-names":false,"suffix":""},{"dropping-particle":"","family":"Mendell","given":"Joshua T.","non-dropping-particle":"","parse-names":false,"suffix":""},{"dropping-particle":"","family":"Salzberg","given":"Steven L.","non-dropping-particle":"","parse-names":false,"suffix":""}],"container-title":"Nature Biotechnology","id":"ITEM-2","issue":"3","issued":{"date-parts":[["2015"]]},"page":"290-295","title":"StringTie enables improved reconstruction of a transcriptome from RNA-seq reads","type":"article-journal","volume":"33"},"uris":["http://www.mendeley.com/documents/?uuid=db221556-da9a-4268-b237-32eaeb7fa31b"]}],"mendeley":{"formattedCitation":"[1,2]","plainTextFormattedCitation":"[1,2]","previouslyFormattedCitation":"[1,2]"},"properties":{"noteIndex":0},"schema":"https://github.com/citation-style-language/schema/raw/master/csl-citation.json"}</w:instrText>
      </w:r>
      <w:r w:rsidR="000667AE">
        <w:fldChar w:fldCharType="separate"/>
      </w:r>
      <w:r w:rsidR="000667AE" w:rsidRPr="000667AE">
        <w:rPr>
          <w:noProof/>
        </w:rPr>
        <w:t>[1,2]</w:t>
      </w:r>
      <w:r w:rsidR="000667AE">
        <w:fldChar w:fldCharType="end"/>
      </w:r>
      <w:r w:rsidR="000667AE">
        <w:t xml:space="preserve"> </w:t>
      </w:r>
      <w:r>
        <w:t xml:space="preserve">and quality mapping were verified using </w:t>
      </w:r>
      <w:proofErr w:type="spellStart"/>
      <w:r>
        <w:t>RS</w:t>
      </w:r>
      <w:r w:rsidR="000667AE">
        <w:t>eQC</w:t>
      </w:r>
      <w:proofErr w:type="spellEnd"/>
      <w:r w:rsidR="000667AE">
        <w:t xml:space="preserve"> </w:t>
      </w:r>
      <w:r w:rsidR="000667AE">
        <w:fldChar w:fldCharType="begin" w:fldLock="1"/>
      </w:r>
      <w:r w:rsidR="000667AE">
        <w:instrText>ADDIN CSL_CITATION {"citationItems":[{"id":"ITEM-1","itemData":{"DOI":"10.1093/nar/gks001","ISBN":"1367-4811 (Electronic)\\r1367-4803 (Linking)","ISSN":"1362-4962","PMID":"22323520","abstract":"GC content bias describes the dependence between fragment count (read coverage) and GC content found in Illumina sequencing data. This bias can dominate the signal of interest for analyses that focus on measuring fragment abundance within a genome, such as copy number estimation (DNA-seq). The bias is not consistent between samples; and there is no consensus as to the best methods to remove it in a single sample. We analyze regularities in the GC bias patterns, and find a compact description for this unimodal curve family. It is the GC content of the full DNA fragment, not only the sequenced read, that most influences fragment count. This GC effect is unimodal: both GC-rich fragments and AT-rich fragments are underrepresented in the sequencing results. This empirical evidence strengthens the hypothesis that PCR is the most important cause of the GC bias. We propose a model that produces predictions at the base pair level, allowing strand-specific GC-effect correction regardless of the downstream smoothing or binning. These GC modeling considerations can inform other high-throughput sequencing analyses such as ChIP-seq and RNA-seq.","author":[{"dropping-particle":"","family":"Benjamini","given":"Yuval","non-dropping-particle":"","parse-names":false,"suffix":""},{"dropping-particle":"","family":"Speed","given":"Terence P","non-dropping-particle":"","parse-names":false,"suffix":""}],"container-title":"Bioinformatics (Oxford, England)","id":"ITEM-1","issue":"10","issued":{"date-parts":[["2012"]]},"page":"e72","title":"RSeQC: Quality Control of RNA-seq experiments","type":"article-journal","volume":"40"},"uris":["http://www.mendeley.com/documents/?uuid=fe89bd5c-2370-4407-9fc6-1e2ed1cf8059"]}],"mendeley":{"formattedCitation":"[3]","plainTextFormattedCitation":"[3]","previouslyFormattedCitation":"[3]"},"properties":{"noteIndex":0},"schema":"https://github.com/citation-style-language/schema/raw/master/csl-citation.json"}</w:instrText>
      </w:r>
      <w:r w:rsidR="000667AE">
        <w:fldChar w:fldCharType="separate"/>
      </w:r>
      <w:r w:rsidR="000667AE" w:rsidRPr="000667AE">
        <w:rPr>
          <w:noProof/>
        </w:rPr>
        <w:t>[3]</w:t>
      </w:r>
      <w:r w:rsidR="000667AE">
        <w:fldChar w:fldCharType="end"/>
      </w:r>
      <w:r>
        <w:t xml:space="preserve">. One of the parameters that were checked was coverage along the gene to identify if there were any bias in gene coverage. As expected, no bias was observed along the gene coverage, which means that most part of genes measured are spread along the gene body (Figure S1). In order to check if all samples were comparable according to gene count measure, Pearson's correlation was </w:t>
      </w:r>
      <w:r w:rsidR="00BA63CB">
        <w:t>calculated,</w:t>
      </w:r>
      <w:r>
        <w:t xml:space="preserve"> and all samples presented r </w:t>
      </w:r>
      <w:r>
        <w:rPr>
          <w:rFonts w:eastAsia="Liberation Serif" w:cs="Liberation Serif"/>
        </w:rPr>
        <w:t>≥</w:t>
      </w:r>
      <w:r>
        <w:t xml:space="preserve"> 0.8 (Figure S2). In order to inspect if samples could group according </w:t>
      </w:r>
      <w:r w:rsidR="00BA63CB">
        <w:t xml:space="preserve">to </w:t>
      </w:r>
      <w:r>
        <w:t xml:space="preserve">one of the variables studied, we clustered samples according to gene expression and plotted the variables according to sample clustering. No bias according to sample is observed in the group (Figure S3).  Regarding gene expression, about 54% of genes (32,672) were detected in at least one sample, however 30% of genes (18,122) were detected in at least 10 samples with only 21% (12,528) measured in all samples in the study (Figure S4). </w:t>
      </w:r>
      <w:r w:rsidR="00BD39B3">
        <w:t xml:space="preserve">After applying low expression filter (CPM </w:t>
      </w:r>
      <w:r w:rsidR="00BD39B3">
        <w:rPr>
          <w:rFonts w:ascii="Times New Roman" w:hAnsi="Times New Roman" w:cs="Times New Roman"/>
        </w:rPr>
        <w:t>≥</w:t>
      </w:r>
      <w:r w:rsidR="00BD39B3">
        <w:t xml:space="preserve"> 0.3), only </w:t>
      </w:r>
      <w:r w:rsidR="00BD39B3" w:rsidRPr="006B23A4">
        <w:t>15,319 genes</w:t>
      </w:r>
      <w:r w:rsidR="00BD39B3">
        <w:t xml:space="preserve"> (25.32%)</w:t>
      </w:r>
      <w:r w:rsidR="00BA63CB">
        <w:t xml:space="preserve"> remained</w:t>
      </w:r>
      <w:r w:rsidR="00BD39B3">
        <w:t xml:space="preserve">. </w:t>
      </w:r>
    </w:p>
    <w:p w14:paraId="74830600" w14:textId="77777777" w:rsidR="00A17C28" w:rsidRDefault="00263919">
      <w:pPr>
        <w:spacing w:line="360" w:lineRule="auto"/>
      </w:pPr>
      <w:r>
        <w:rPr>
          <w:noProof/>
        </w:rPr>
        <w:drawing>
          <wp:anchor distT="0" distB="0" distL="0" distR="0" simplePos="0" relativeHeight="2" behindDoc="0" locked="0" layoutInCell="1" allowOverlap="1" wp14:anchorId="23007F7A" wp14:editId="65273E7D">
            <wp:simplePos x="0" y="0"/>
            <wp:positionH relativeFrom="column">
              <wp:align>center</wp:align>
            </wp:positionH>
            <wp:positionV relativeFrom="paragraph">
              <wp:posOffset>635</wp:posOffset>
            </wp:positionV>
            <wp:extent cx="4023995" cy="322008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4023995" cy="3220085"/>
                    </a:xfrm>
                    <a:prstGeom prst="rect">
                      <a:avLst/>
                    </a:prstGeom>
                  </pic:spPr>
                </pic:pic>
              </a:graphicData>
            </a:graphic>
          </wp:anchor>
        </w:drawing>
      </w:r>
    </w:p>
    <w:p w14:paraId="618A1699" w14:textId="77777777" w:rsidR="00A17C28" w:rsidRDefault="00A17C28">
      <w:pPr>
        <w:spacing w:line="360" w:lineRule="auto"/>
      </w:pPr>
    </w:p>
    <w:p w14:paraId="0991DB4E" w14:textId="77777777" w:rsidR="00A17C28" w:rsidRDefault="00A17C28">
      <w:pPr>
        <w:spacing w:line="360" w:lineRule="auto"/>
      </w:pPr>
    </w:p>
    <w:p w14:paraId="3B96EC25" w14:textId="77777777" w:rsidR="00A17C28" w:rsidRDefault="00A17C28">
      <w:pPr>
        <w:spacing w:line="360" w:lineRule="auto"/>
      </w:pPr>
    </w:p>
    <w:p w14:paraId="27EE12BF" w14:textId="77777777" w:rsidR="00A17C28" w:rsidRDefault="00A17C28">
      <w:pPr>
        <w:spacing w:line="360" w:lineRule="auto"/>
      </w:pPr>
    </w:p>
    <w:p w14:paraId="7351F1EA" w14:textId="77777777" w:rsidR="00A17C28" w:rsidRDefault="00A17C28">
      <w:pPr>
        <w:spacing w:line="360" w:lineRule="auto"/>
      </w:pPr>
    </w:p>
    <w:p w14:paraId="29BA979E" w14:textId="77777777" w:rsidR="00A17C28" w:rsidRDefault="00A17C28">
      <w:pPr>
        <w:spacing w:line="360" w:lineRule="auto"/>
      </w:pPr>
    </w:p>
    <w:p w14:paraId="76575ABE" w14:textId="77777777" w:rsidR="00A17C28" w:rsidRDefault="00A17C28">
      <w:pPr>
        <w:spacing w:line="360" w:lineRule="auto"/>
      </w:pPr>
    </w:p>
    <w:p w14:paraId="10411CC5" w14:textId="77777777" w:rsidR="00A17C28" w:rsidRDefault="00A17C28">
      <w:pPr>
        <w:spacing w:line="360" w:lineRule="auto"/>
      </w:pPr>
    </w:p>
    <w:p w14:paraId="2CF95ADA" w14:textId="77777777" w:rsidR="00A17C28" w:rsidRDefault="00A17C28">
      <w:pPr>
        <w:spacing w:line="360" w:lineRule="auto"/>
      </w:pPr>
    </w:p>
    <w:p w14:paraId="751F3A41" w14:textId="77777777" w:rsidR="00A17C28" w:rsidRDefault="00A17C28">
      <w:pPr>
        <w:spacing w:line="360" w:lineRule="auto"/>
      </w:pPr>
    </w:p>
    <w:p w14:paraId="4A0AC061" w14:textId="77777777" w:rsidR="00A17C28" w:rsidRDefault="00A17C28">
      <w:pPr>
        <w:spacing w:line="360" w:lineRule="auto"/>
      </w:pPr>
    </w:p>
    <w:p w14:paraId="19833151" w14:textId="77777777" w:rsidR="00A17C28" w:rsidRDefault="00A17C28">
      <w:pPr>
        <w:spacing w:line="360" w:lineRule="auto"/>
      </w:pPr>
    </w:p>
    <w:p w14:paraId="5907AF5D" w14:textId="77777777" w:rsidR="00A17C28" w:rsidRDefault="00A17C28">
      <w:pPr>
        <w:spacing w:line="360" w:lineRule="auto"/>
      </w:pPr>
    </w:p>
    <w:p w14:paraId="16DF72CE" w14:textId="0F881617" w:rsidR="00A17C28" w:rsidRDefault="00263919">
      <w:pPr>
        <w:spacing w:line="360" w:lineRule="auto"/>
      </w:pPr>
      <w:r>
        <w:t xml:space="preserve">Figure S1: Gene body coverage. The x axis represents the gene body percentile split into 1 to 100 and y axis the coverage in each </w:t>
      </w:r>
      <w:r w:rsidR="00BD39B3">
        <w:t>percentile</w:t>
      </w:r>
      <w:r>
        <w:t xml:space="preserve"> range. </w:t>
      </w:r>
    </w:p>
    <w:p w14:paraId="15441185" w14:textId="77777777" w:rsidR="00A17C28" w:rsidRDefault="00A17C28">
      <w:pPr>
        <w:spacing w:line="360" w:lineRule="auto"/>
      </w:pPr>
    </w:p>
    <w:p w14:paraId="6F60D622" w14:textId="77777777" w:rsidR="00A17C28" w:rsidRDefault="00A17C28">
      <w:pPr>
        <w:spacing w:line="360" w:lineRule="auto"/>
      </w:pPr>
    </w:p>
    <w:p w14:paraId="7103C6BE" w14:textId="77777777" w:rsidR="00A17C28" w:rsidRDefault="00A17C28">
      <w:pPr>
        <w:spacing w:line="360" w:lineRule="auto"/>
      </w:pPr>
    </w:p>
    <w:p w14:paraId="38EC528C" w14:textId="77777777" w:rsidR="00A17C28" w:rsidRDefault="00A17C28">
      <w:pPr>
        <w:spacing w:line="360" w:lineRule="auto"/>
      </w:pPr>
    </w:p>
    <w:p w14:paraId="5D279182" w14:textId="77777777" w:rsidR="00A17C28" w:rsidRDefault="00A17C28">
      <w:pPr>
        <w:spacing w:line="360" w:lineRule="auto"/>
      </w:pPr>
    </w:p>
    <w:p w14:paraId="52062176" w14:textId="77777777" w:rsidR="00A17C28" w:rsidRDefault="00263919">
      <w:pPr>
        <w:spacing w:line="360" w:lineRule="auto"/>
      </w:pPr>
      <w:r>
        <w:rPr>
          <w:noProof/>
        </w:rPr>
        <w:lastRenderedPageBreak/>
        <w:drawing>
          <wp:anchor distT="0" distB="0" distL="0" distR="0" simplePos="0" relativeHeight="3" behindDoc="0" locked="0" layoutInCell="1" allowOverlap="1" wp14:anchorId="2D953314" wp14:editId="4FD54ECC">
            <wp:simplePos x="0" y="0"/>
            <wp:positionH relativeFrom="column">
              <wp:align>center</wp:align>
            </wp:positionH>
            <wp:positionV relativeFrom="paragraph">
              <wp:posOffset>635</wp:posOffset>
            </wp:positionV>
            <wp:extent cx="4484370" cy="372237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tretch>
                      <a:fillRect/>
                    </a:stretch>
                  </pic:blipFill>
                  <pic:spPr bwMode="auto">
                    <a:xfrm>
                      <a:off x="0" y="0"/>
                      <a:ext cx="4484370" cy="3722370"/>
                    </a:xfrm>
                    <a:prstGeom prst="rect">
                      <a:avLst/>
                    </a:prstGeom>
                  </pic:spPr>
                </pic:pic>
              </a:graphicData>
            </a:graphic>
          </wp:anchor>
        </w:drawing>
      </w:r>
    </w:p>
    <w:p w14:paraId="503E81A9" w14:textId="77777777" w:rsidR="00A17C28" w:rsidRDefault="00A17C28">
      <w:pPr>
        <w:spacing w:line="360" w:lineRule="auto"/>
      </w:pPr>
    </w:p>
    <w:p w14:paraId="0901096A" w14:textId="77777777" w:rsidR="00A17C28" w:rsidRDefault="00A17C28">
      <w:pPr>
        <w:spacing w:line="360" w:lineRule="auto"/>
      </w:pPr>
    </w:p>
    <w:p w14:paraId="07D2D2E5" w14:textId="77777777" w:rsidR="00A17C28" w:rsidRDefault="00A17C28">
      <w:pPr>
        <w:spacing w:line="360" w:lineRule="auto"/>
      </w:pPr>
    </w:p>
    <w:p w14:paraId="3DF15530" w14:textId="77777777" w:rsidR="00A17C28" w:rsidRDefault="00A17C28">
      <w:pPr>
        <w:spacing w:line="360" w:lineRule="auto"/>
      </w:pPr>
    </w:p>
    <w:p w14:paraId="6E5DDC8A" w14:textId="77777777" w:rsidR="00A17C28" w:rsidRDefault="00A17C28">
      <w:pPr>
        <w:spacing w:line="360" w:lineRule="auto"/>
      </w:pPr>
    </w:p>
    <w:p w14:paraId="21E28CA0" w14:textId="77777777" w:rsidR="00A17C28" w:rsidRDefault="00A17C28">
      <w:pPr>
        <w:spacing w:line="360" w:lineRule="auto"/>
      </w:pPr>
    </w:p>
    <w:p w14:paraId="0B399E96" w14:textId="77777777" w:rsidR="00A17C28" w:rsidRDefault="00A17C28">
      <w:pPr>
        <w:spacing w:line="360" w:lineRule="auto"/>
      </w:pPr>
    </w:p>
    <w:p w14:paraId="3C858668" w14:textId="77777777" w:rsidR="00A17C28" w:rsidRDefault="00A17C28">
      <w:pPr>
        <w:spacing w:line="360" w:lineRule="auto"/>
      </w:pPr>
    </w:p>
    <w:p w14:paraId="69821A2C" w14:textId="77777777" w:rsidR="00A17C28" w:rsidRDefault="00A17C28">
      <w:pPr>
        <w:spacing w:line="360" w:lineRule="auto"/>
      </w:pPr>
    </w:p>
    <w:p w14:paraId="3F32F462" w14:textId="77777777" w:rsidR="00A17C28" w:rsidRDefault="00A17C28">
      <w:pPr>
        <w:spacing w:line="360" w:lineRule="auto"/>
      </w:pPr>
    </w:p>
    <w:p w14:paraId="20D62ABF" w14:textId="77777777" w:rsidR="00A17C28" w:rsidRDefault="00A17C28">
      <w:pPr>
        <w:spacing w:line="360" w:lineRule="auto"/>
      </w:pPr>
    </w:p>
    <w:p w14:paraId="53329E61" w14:textId="77777777" w:rsidR="00A17C28" w:rsidRDefault="00A17C28">
      <w:pPr>
        <w:spacing w:line="360" w:lineRule="auto"/>
      </w:pPr>
    </w:p>
    <w:p w14:paraId="57F2C388" w14:textId="77777777" w:rsidR="00A17C28" w:rsidRDefault="00A17C28">
      <w:pPr>
        <w:spacing w:line="360" w:lineRule="auto"/>
      </w:pPr>
    </w:p>
    <w:p w14:paraId="17441F83" w14:textId="77777777" w:rsidR="00A17C28" w:rsidRDefault="00A17C28">
      <w:pPr>
        <w:spacing w:line="360" w:lineRule="auto"/>
      </w:pPr>
    </w:p>
    <w:p w14:paraId="2B7995AB" w14:textId="6A21B15A" w:rsidR="00A17C28" w:rsidRDefault="00263919">
      <w:pPr>
        <w:spacing w:line="360" w:lineRule="auto"/>
      </w:pPr>
      <w:r>
        <w:t xml:space="preserve">Figure S2: Heatmap of Pearson's correlation coefficient among samples. </w:t>
      </w:r>
      <w:r w:rsidR="000667AE">
        <w:t xml:space="preserve">Each line and each column </w:t>
      </w:r>
      <w:proofErr w:type="gramStart"/>
      <w:r w:rsidR="000667AE">
        <w:t>represents</w:t>
      </w:r>
      <w:proofErr w:type="gramEnd"/>
      <w:r w:rsidR="000667AE">
        <w:t xml:space="preserve"> a sample, and color are scaled according to Pearson’s Correlation Coefficient (PCC). </w:t>
      </w:r>
    </w:p>
    <w:p w14:paraId="726F99FC" w14:textId="77777777" w:rsidR="00A17C28" w:rsidRDefault="00A17C28">
      <w:pPr>
        <w:spacing w:line="360" w:lineRule="auto"/>
      </w:pPr>
    </w:p>
    <w:p w14:paraId="3E7342B8" w14:textId="77777777" w:rsidR="00A17C28" w:rsidRDefault="00263919">
      <w:pPr>
        <w:spacing w:line="360" w:lineRule="auto"/>
      </w:pPr>
      <w:r>
        <w:rPr>
          <w:noProof/>
        </w:rPr>
        <w:drawing>
          <wp:anchor distT="0" distB="0" distL="0" distR="0" simplePos="0" relativeHeight="4" behindDoc="0" locked="0" layoutInCell="1" allowOverlap="1" wp14:anchorId="453CBB5B" wp14:editId="45EC6454">
            <wp:simplePos x="0" y="0"/>
            <wp:positionH relativeFrom="column">
              <wp:align>center</wp:align>
            </wp:positionH>
            <wp:positionV relativeFrom="paragraph">
              <wp:posOffset>635</wp:posOffset>
            </wp:positionV>
            <wp:extent cx="3875405" cy="3284220"/>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7"/>
                    <a:stretch>
                      <a:fillRect/>
                    </a:stretch>
                  </pic:blipFill>
                  <pic:spPr bwMode="auto">
                    <a:xfrm>
                      <a:off x="0" y="0"/>
                      <a:ext cx="3875405" cy="3284220"/>
                    </a:xfrm>
                    <a:prstGeom prst="rect">
                      <a:avLst/>
                    </a:prstGeom>
                  </pic:spPr>
                </pic:pic>
              </a:graphicData>
            </a:graphic>
          </wp:anchor>
        </w:drawing>
      </w:r>
    </w:p>
    <w:p w14:paraId="66D37584" w14:textId="77777777" w:rsidR="00A17C28" w:rsidRDefault="00A17C28">
      <w:pPr>
        <w:spacing w:line="360" w:lineRule="auto"/>
      </w:pPr>
    </w:p>
    <w:p w14:paraId="59503FA3" w14:textId="77777777" w:rsidR="00A17C28" w:rsidRDefault="00A17C28">
      <w:pPr>
        <w:spacing w:line="360" w:lineRule="auto"/>
      </w:pPr>
    </w:p>
    <w:p w14:paraId="76A645A0" w14:textId="77777777" w:rsidR="00A17C28" w:rsidRDefault="00A17C28">
      <w:pPr>
        <w:spacing w:line="360" w:lineRule="auto"/>
      </w:pPr>
    </w:p>
    <w:p w14:paraId="63C9FD2A" w14:textId="77777777" w:rsidR="00A17C28" w:rsidRDefault="00A17C28">
      <w:pPr>
        <w:spacing w:line="360" w:lineRule="auto"/>
      </w:pPr>
    </w:p>
    <w:p w14:paraId="57021FC7" w14:textId="77777777" w:rsidR="00A17C28" w:rsidRDefault="00A17C28">
      <w:pPr>
        <w:spacing w:line="360" w:lineRule="auto"/>
      </w:pPr>
    </w:p>
    <w:p w14:paraId="078A083D" w14:textId="77777777" w:rsidR="00A17C28" w:rsidRDefault="00A17C28">
      <w:pPr>
        <w:spacing w:line="360" w:lineRule="auto"/>
      </w:pPr>
    </w:p>
    <w:p w14:paraId="556AB1B3" w14:textId="77777777" w:rsidR="00A17C28" w:rsidRDefault="00A17C28">
      <w:pPr>
        <w:spacing w:line="360" w:lineRule="auto"/>
      </w:pPr>
    </w:p>
    <w:p w14:paraId="792FF9F0" w14:textId="77777777" w:rsidR="00A17C28" w:rsidRDefault="00A17C28">
      <w:pPr>
        <w:spacing w:line="360" w:lineRule="auto"/>
      </w:pPr>
    </w:p>
    <w:p w14:paraId="40946B31" w14:textId="77777777" w:rsidR="00A17C28" w:rsidRDefault="00A17C28">
      <w:pPr>
        <w:spacing w:line="360" w:lineRule="auto"/>
      </w:pPr>
    </w:p>
    <w:p w14:paraId="18E10C26" w14:textId="77777777" w:rsidR="00A17C28" w:rsidRDefault="00A17C28">
      <w:pPr>
        <w:spacing w:line="360" w:lineRule="auto"/>
      </w:pPr>
    </w:p>
    <w:p w14:paraId="0C9BBD03" w14:textId="77777777" w:rsidR="00A17C28" w:rsidRDefault="00A17C28">
      <w:pPr>
        <w:spacing w:line="360" w:lineRule="auto"/>
      </w:pPr>
    </w:p>
    <w:p w14:paraId="4DAEE033" w14:textId="77777777" w:rsidR="00A17C28" w:rsidRDefault="00A17C28">
      <w:pPr>
        <w:spacing w:line="360" w:lineRule="auto"/>
      </w:pPr>
    </w:p>
    <w:p w14:paraId="48DBE2A3" w14:textId="2129FE57" w:rsidR="00A17C28" w:rsidRDefault="00263919">
      <w:pPr>
        <w:spacing w:line="360" w:lineRule="auto"/>
      </w:pPr>
      <w:r>
        <w:t xml:space="preserve">Figure S3: Sample clustering according to gene expression using </w:t>
      </w:r>
      <w:r w:rsidR="000667AE">
        <w:t>Euclidean</w:t>
      </w:r>
      <w:r>
        <w:t xml:space="preserve"> distance. Covariables of each sample is represented using the same clustering pattern gene expression. The covariables: sex (1 – Male/pink and 2 – Female/blue), </w:t>
      </w:r>
      <w:proofErr w:type="spellStart"/>
      <w:proofErr w:type="gramStart"/>
      <w:r>
        <w:t>age.factor</w:t>
      </w:r>
      <w:proofErr w:type="spellEnd"/>
      <w:proofErr w:type="gramEnd"/>
      <w:r>
        <w:t xml:space="preserve"> (0 - &lt; 60 years/red, 1 - </w:t>
      </w:r>
      <w:r>
        <w:rPr>
          <w:rFonts w:eastAsia="Liberation Serif" w:cs="Liberation Serif"/>
        </w:rPr>
        <w:t>≤</w:t>
      </w:r>
      <w:r>
        <w:t xml:space="preserve"> 70 years/pink, 2 - </w:t>
      </w:r>
      <w:r>
        <w:rPr>
          <w:rFonts w:eastAsia="Liberation Serif" w:cs="Liberation Serif"/>
        </w:rPr>
        <w:t>≤</w:t>
      </w:r>
      <w:r>
        <w:t xml:space="preserve"> 80/light blue and 3 - &gt; 90/blue).</w:t>
      </w:r>
    </w:p>
    <w:p w14:paraId="36926673" w14:textId="77777777" w:rsidR="00A17C28" w:rsidRDefault="00A17C28">
      <w:pPr>
        <w:spacing w:line="360" w:lineRule="auto"/>
      </w:pPr>
    </w:p>
    <w:p w14:paraId="446CE83B" w14:textId="0F61FD6F" w:rsidR="00A17C28" w:rsidRDefault="004C6DC5">
      <w:pPr>
        <w:spacing w:line="360" w:lineRule="auto"/>
      </w:pPr>
      <w:r>
        <w:rPr>
          <w:noProof/>
        </w:rPr>
        <w:drawing>
          <wp:anchor distT="0" distB="0" distL="0" distR="0" simplePos="0" relativeHeight="5" behindDoc="0" locked="0" layoutInCell="1" allowOverlap="1" wp14:anchorId="18D1D54B" wp14:editId="01F5801D">
            <wp:simplePos x="0" y="0"/>
            <wp:positionH relativeFrom="column">
              <wp:posOffset>499110</wp:posOffset>
            </wp:positionH>
            <wp:positionV relativeFrom="paragraph">
              <wp:posOffset>171450</wp:posOffset>
            </wp:positionV>
            <wp:extent cx="5120005" cy="2339975"/>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rotWithShape="1">
                    <a:blip r:embed="rId8"/>
                    <a:srcRect t="25821" b="24828"/>
                    <a:stretch/>
                  </pic:blipFill>
                  <pic:spPr bwMode="auto">
                    <a:xfrm>
                      <a:off x="0" y="0"/>
                      <a:ext cx="5120005" cy="2339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115EDBC" w14:textId="77777777" w:rsidR="00A17C28" w:rsidRDefault="00A17C28">
      <w:pPr>
        <w:spacing w:line="360" w:lineRule="auto"/>
      </w:pPr>
    </w:p>
    <w:p w14:paraId="614E1804" w14:textId="77777777" w:rsidR="00A17C28" w:rsidRDefault="00A17C28">
      <w:pPr>
        <w:spacing w:line="360" w:lineRule="auto"/>
      </w:pPr>
    </w:p>
    <w:p w14:paraId="0BFC3FAD" w14:textId="77777777" w:rsidR="00A17C28" w:rsidRDefault="00A17C28">
      <w:pPr>
        <w:spacing w:line="360" w:lineRule="auto"/>
      </w:pPr>
    </w:p>
    <w:p w14:paraId="67238ABD" w14:textId="77777777" w:rsidR="00A17C28" w:rsidRDefault="00A17C28">
      <w:pPr>
        <w:spacing w:line="360" w:lineRule="auto"/>
      </w:pPr>
    </w:p>
    <w:p w14:paraId="598E6C05" w14:textId="77777777" w:rsidR="00A17C28" w:rsidRDefault="00A17C28">
      <w:pPr>
        <w:spacing w:line="360" w:lineRule="auto"/>
      </w:pPr>
    </w:p>
    <w:p w14:paraId="47D2E338" w14:textId="77777777" w:rsidR="00A17C28" w:rsidRDefault="00A17C28">
      <w:pPr>
        <w:spacing w:line="360" w:lineRule="auto"/>
      </w:pPr>
    </w:p>
    <w:p w14:paraId="0063A84D" w14:textId="77777777" w:rsidR="00A17C28" w:rsidRDefault="00A17C28">
      <w:pPr>
        <w:spacing w:line="360" w:lineRule="auto"/>
      </w:pPr>
    </w:p>
    <w:p w14:paraId="0A3C33FE" w14:textId="77777777" w:rsidR="00A17C28" w:rsidRDefault="00A17C28">
      <w:pPr>
        <w:spacing w:line="360" w:lineRule="auto"/>
      </w:pPr>
    </w:p>
    <w:p w14:paraId="42A35C95" w14:textId="77777777" w:rsidR="00A17C28" w:rsidRDefault="00A17C28">
      <w:pPr>
        <w:spacing w:line="360" w:lineRule="auto"/>
      </w:pPr>
    </w:p>
    <w:p w14:paraId="1EB50EAB" w14:textId="0F6906AA" w:rsidR="00A17C28" w:rsidRDefault="00263919">
      <w:pPr>
        <w:spacing w:line="360" w:lineRule="auto"/>
      </w:pPr>
      <w:r>
        <w:t xml:space="preserve">Figure S4: Pie chart of genes expressed according </w:t>
      </w:r>
      <w:r w:rsidR="00BA63CB">
        <w:t xml:space="preserve">to </w:t>
      </w:r>
      <w:r>
        <w:t xml:space="preserve">the number of samples. 0 indicates that </w:t>
      </w:r>
      <w:r w:rsidR="00BA63CB">
        <w:t xml:space="preserve">the </w:t>
      </w:r>
      <w:r>
        <w:t>gene was not detected in any sample studied 46% (27,832) and 15 indicates that the gene was measured in all samples studied, resulting in 21% of total (12,528).</w:t>
      </w:r>
      <w:r w:rsidR="00E907AE">
        <w:tab/>
      </w:r>
    </w:p>
    <w:p w14:paraId="4CF76875" w14:textId="241A5644" w:rsidR="00E907AE" w:rsidRDefault="00E907AE">
      <w:pPr>
        <w:spacing w:line="360" w:lineRule="auto"/>
      </w:pPr>
      <w:r>
        <w:tab/>
      </w:r>
    </w:p>
    <w:p w14:paraId="216C33B7" w14:textId="525616E4" w:rsidR="00E907AE" w:rsidRDefault="00E907AE">
      <w:pPr>
        <w:spacing w:line="360" w:lineRule="auto"/>
      </w:pPr>
      <w:r>
        <w:t>The total within sum of squares shows the sum of variances in all groups identified. V</w:t>
      </w:r>
      <w:r>
        <w:rPr>
          <w:bCs/>
        </w:rPr>
        <w:t>ariance inside each group decreases while k (number of groups) increases, because all the points inside the group are closer to the centroid. However, at a certain point of k the decrease of variance reaches a plateau (Fig S5, red line), which means the best number of groups to split the data.</w:t>
      </w:r>
    </w:p>
    <w:p w14:paraId="66181CFC" w14:textId="60E39645" w:rsidR="004C6DC5" w:rsidRDefault="004C6DC5" w:rsidP="000667AE">
      <w:pPr>
        <w:spacing w:line="360" w:lineRule="auto"/>
        <w:jc w:val="center"/>
      </w:pPr>
      <w:r>
        <w:rPr>
          <w:noProof/>
        </w:rPr>
        <w:drawing>
          <wp:inline distT="0" distB="0" distL="0" distR="0" wp14:anchorId="388C9647" wp14:editId="4DC75980">
            <wp:extent cx="3946072" cy="3151371"/>
            <wp:effectExtent l="0" t="0" r="0" b="0"/>
            <wp:docPr id="5" name="Imagem 5"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plot_k-means-figure.tiff"/>
                    <pic:cNvPicPr/>
                  </pic:nvPicPr>
                  <pic:blipFill>
                    <a:blip r:embed="rId9">
                      <a:extLst>
                        <a:ext uri="{28A0092B-C50C-407E-A947-70E740481C1C}">
                          <a14:useLocalDpi xmlns:a14="http://schemas.microsoft.com/office/drawing/2010/main" val="0"/>
                        </a:ext>
                      </a:extLst>
                    </a:blip>
                    <a:stretch>
                      <a:fillRect/>
                    </a:stretch>
                  </pic:blipFill>
                  <pic:spPr>
                    <a:xfrm>
                      <a:off x="0" y="0"/>
                      <a:ext cx="3957140" cy="3160210"/>
                    </a:xfrm>
                    <a:prstGeom prst="rect">
                      <a:avLst/>
                    </a:prstGeom>
                  </pic:spPr>
                </pic:pic>
              </a:graphicData>
            </a:graphic>
          </wp:inline>
        </w:drawing>
      </w:r>
    </w:p>
    <w:p w14:paraId="1608C5E9" w14:textId="630F0122" w:rsidR="004C6DC5" w:rsidRDefault="004C6DC5">
      <w:pPr>
        <w:spacing w:line="360" w:lineRule="auto"/>
      </w:pPr>
      <w:r>
        <w:t xml:space="preserve">Figure S5: Variance within groups by number of clusters. The y-axis shows the within group variance and x-axis the number of groups (clusters). The red line indicates the best number of groups according to variance </w:t>
      </w:r>
    </w:p>
    <w:p w14:paraId="51AB51AA" w14:textId="3468B835" w:rsidR="000667AE" w:rsidRDefault="000667AE">
      <w:pPr>
        <w:spacing w:line="360" w:lineRule="auto"/>
      </w:pPr>
    </w:p>
    <w:p w14:paraId="306F8DBD" w14:textId="220FF721" w:rsidR="000667AE" w:rsidRDefault="000667AE">
      <w:pPr>
        <w:spacing w:line="360" w:lineRule="auto"/>
        <w:rPr>
          <w:b/>
          <w:bCs/>
        </w:rPr>
      </w:pPr>
      <w:r w:rsidRPr="000667AE">
        <w:rPr>
          <w:b/>
          <w:bCs/>
        </w:rPr>
        <w:lastRenderedPageBreak/>
        <w:t xml:space="preserve">References: </w:t>
      </w:r>
    </w:p>
    <w:p w14:paraId="598863C2" w14:textId="77777777" w:rsidR="000667AE" w:rsidRPr="000667AE" w:rsidRDefault="000667AE">
      <w:pPr>
        <w:spacing w:line="360" w:lineRule="auto"/>
        <w:rPr>
          <w:b/>
          <w:bCs/>
        </w:rPr>
      </w:pPr>
    </w:p>
    <w:p w14:paraId="3A03DEF3" w14:textId="5CBE5A8E" w:rsidR="004358F3" w:rsidRPr="004358F3" w:rsidRDefault="000667AE" w:rsidP="004358F3">
      <w:pPr>
        <w:autoSpaceDE w:val="0"/>
        <w:autoSpaceDN w:val="0"/>
        <w:adjustRightInd w:val="0"/>
        <w:spacing w:line="360" w:lineRule="auto"/>
        <w:rPr>
          <w:rFonts w:cs="Times New Roman"/>
          <w:noProof/>
        </w:rPr>
      </w:pPr>
      <w:r>
        <w:fldChar w:fldCharType="begin" w:fldLock="1"/>
      </w:r>
      <w:r>
        <w:instrText xml:space="preserve">ADDIN Mendeley Bibliography CSL_BIBLIOGRAPHY </w:instrText>
      </w:r>
      <w:r>
        <w:fldChar w:fldCharType="separate"/>
      </w:r>
      <w:r w:rsidR="004358F3" w:rsidRPr="004358F3">
        <w:rPr>
          <w:rFonts w:cs="Times New Roman"/>
          <w:noProof/>
        </w:rPr>
        <w:t xml:space="preserve">1. Sirén J, Välimäki N, Mäkinen V. HISAT2 - Fast and sensitive alignment against general human population. IEEE/ACM Trans Comput Biol Bioinforma. 2014;11:375–88. </w:t>
      </w:r>
    </w:p>
    <w:p w14:paraId="418CEEB0" w14:textId="77777777" w:rsidR="004358F3" w:rsidRPr="004358F3" w:rsidRDefault="004358F3" w:rsidP="004358F3">
      <w:pPr>
        <w:autoSpaceDE w:val="0"/>
        <w:autoSpaceDN w:val="0"/>
        <w:adjustRightInd w:val="0"/>
        <w:spacing w:line="360" w:lineRule="auto"/>
        <w:rPr>
          <w:rFonts w:cs="Times New Roman"/>
          <w:noProof/>
        </w:rPr>
      </w:pPr>
      <w:r w:rsidRPr="004358F3">
        <w:rPr>
          <w:rFonts w:cs="Times New Roman"/>
          <w:noProof/>
        </w:rPr>
        <w:t xml:space="preserve">2. Pertea M, Pertea GM, Antonescu CM, Chang TC, Mendell JT, Salzberg SL. StringTie enables improved reconstruction of a transcriptome from RNA-seq reads. Nat Biotechnol. 2015;33:290–5. </w:t>
      </w:r>
    </w:p>
    <w:p w14:paraId="56ADAAAE" w14:textId="77777777" w:rsidR="004358F3" w:rsidRPr="004358F3" w:rsidRDefault="004358F3" w:rsidP="004358F3">
      <w:pPr>
        <w:autoSpaceDE w:val="0"/>
        <w:autoSpaceDN w:val="0"/>
        <w:adjustRightInd w:val="0"/>
        <w:spacing w:line="360" w:lineRule="auto"/>
        <w:rPr>
          <w:noProof/>
        </w:rPr>
      </w:pPr>
      <w:r w:rsidRPr="004358F3">
        <w:rPr>
          <w:rFonts w:cs="Times New Roman"/>
          <w:noProof/>
        </w:rPr>
        <w:t xml:space="preserve">3. Benjamini Y, Speed TP. RSeQC: Quality Control of RNA-seq experiments. Bioinformatics. 2012;40:e72. </w:t>
      </w:r>
    </w:p>
    <w:p w14:paraId="2C295EF0" w14:textId="4DEB2F29" w:rsidR="000667AE" w:rsidRDefault="000667AE">
      <w:pPr>
        <w:spacing w:line="360" w:lineRule="auto"/>
      </w:pPr>
      <w:r>
        <w:fldChar w:fldCharType="end"/>
      </w:r>
    </w:p>
    <w:sectPr w:rsidR="000667AE">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B0604020202020204"/>
    <w:charset w:val="01"/>
    <w:family w:val="roman"/>
    <w:pitch w:val="variable"/>
  </w:font>
  <w:font w:name="Droid Sans Fallback">
    <w:panose1 w:val="020B0604020202020204"/>
    <w:charset w:val="00"/>
    <w:family w:val="roman"/>
    <w:notTrueType/>
    <w:pitch w:val="default"/>
  </w:font>
  <w:font w:name="FreeSans">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Segoe UI">
    <w:panose1 w:val="020B0604020202020204"/>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28"/>
    <w:rsid w:val="000667AE"/>
    <w:rsid w:val="00086ECC"/>
    <w:rsid w:val="00263919"/>
    <w:rsid w:val="004358F3"/>
    <w:rsid w:val="004C6DC5"/>
    <w:rsid w:val="00574325"/>
    <w:rsid w:val="00A17C28"/>
    <w:rsid w:val="00AF2571"/>
    <w:rsid w:val="00BA63CB"/>
    <w:rsid w:val="00BD39B3"/>
    <w:rsid w:val="00E907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F734"/>
  <w15:docId w15:val="{7847353E-4630-4B8E-A571-5B7D18C0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Droid Sans Fallback" w:hAnsi="Liberation Serif"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BalloonText">
    <w:name w:val="Balloon Text"/>
    <w:basedOn w:val="Normal"/>
    <w:link w:val="BalloonTextChar"/>
    <w:uiPriority w:val="99"/>
    <w:semiHidden/>
    <w:unhideWhenUsed/>
    <w:rsid w:val="00BA63CB"/>
    <w:rPr>
      <w:rFonts w:ascii="Segoe UI" w:hAnsi="Segoe UI" w:cs="Mangal"/>
      <w:sz w:val="18"/>
      <w:szCs w:val="16"/>
    </w:rPr>
  </w:style>
  <w:style w:type="character" w:customStyle="1" w:styleId="BalloonTextChar">
    <w:name w:val="Balloon Text Char"/>
    <w:basedOn w:val="DefaultParagraphFont"/>
    <w:link w:val="BalloonText"/>
    <w:uiPriority w:val="99"/>
    <w:semiHidden/>
    <w:rsid w:val="00BA63CB"/>
    <w:rPr>
      <w:rFonts w:ascii="Segoe UI" w:hAnsi="Segoe UI" w:cs="Mangal"/>
      <w:color w:val="00000A"/>
      <w:sz w:val="18"/>
      <w:szCs w:val="16"/>
    </w:rPr>
  </w:style>
  <w:style w:type="character" w:styleId="CommentReference">
    <w:name w:val="annotation reference"/>
    <w:basedOn w:val="DefaultParagraphFont"/>
    <w:uiPriority w:val="99"/>
    <w:semiHidden/>
    <w:unhideWhenUsed/>
    <w:rsid w:val="00BA63CB"/>
    <w:rPr>
      <w:sz w:val="16"/>
      <w:szCs w:val="16"/>
    </w:rPr>
  </w:style>
  <w:style w:type="paragraph" w:styleId="CommentText">
    <w:name w:val="annotation text"/>
    <w:basedOn w:val="Normal"/>
    <w:link w:val="CommentTextChar"/>
    <w:uiPriority w:val="99"/>
    <w:semiHidden/>
    <w:unhideWhenUsed/>
    <w:rsid w:val="00BA63CB"/>
    <w:rPr>
      <w:rFonts w:cs="Mangal"/>
      <w:sz w:val="20"/>
      <w:szCs w:val="18"/>
    </w:rPr>
  </w:style>
  <w:style w:type="character" w:customStyle="1" w:styleId="CommentTextChar">
    <w:name w:val="Comment Text Char"/>
    <w:basedOn w:val="DefaultParagraphFont"/>
    <w:link w:val="CommentText"/>
    <w:uiPriority w:val="99"/>
    <w:semiHidden/>
    <w:rsid w:val="00BA63CB"/>
    <w:rPr>
      <w:rFonts w:cs="Mangal"/>
      <w:color w:val="00000A"/>
      <w:szCs w:val="18"/>
    </w:rPr>
  </w:style>
  <w:style w:type="paragraph" w:styleId="CommentSubject">
    <w:name w:val="annotation subject"/>
    <w:basedOn w:val="CommentText"/>
    <w:next w:val="CommentText"/>
    <w:link w:val="CommentSubjectChar"/>
    <w:uiPriority w:val="99"/>
    <w:semiHidden/>
    <w:unhideWhenUsed/>
    <w:rsid w:val="00BA63CB"/>
    <w:rPr>
      <w:b/>
      <w:bCs/>
    </w:rPr>
  </w:style>
  <w:style w:type="character" w:customStyle="1" w:styleId="CommentSubjectChar">
    <w:name w:val="Comment Subject Char"/>
    <w:basedOn w:val="CommentTextChar"/>
    <w:link w:val="CommentSubject"/>
    <w:uiPriority w:val="99"/>
    <w:semiHidden/>
    <w:rsid w:val="00BA63CB"/>
    <w:rPr>
      <w:rFonts w:cs="Mangal"/>
      <w:b/>
      <w:bCs/>
      <w:color w:val="00000A"/>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tif"/><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Relationship Id="rId11" Type="http://schemas.openxmlformats.org/officeDocument/2006/relationships/theme" Target="theme/theme1.xml"/><Relationship Id="rId5" Type="http://schemas.openxmlformats.org/officeDocument/2006/relationships/image" Target="media/image1.t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40373-556C-4647-95EF-28114619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1471</Words>
  <Characters>8391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Carolina Tahira</dc:creator>
  <dc:description/>
  <cp:lastModifiedBy>fmarques@med.uminho.pt</cp:lastModifiedBy>
  <cp:revision>3</cp:revision>
  <dcterms:created xsi:type="dcterms:W3CDTF">2020-09-28T16:38:00Z</dcterms:created>
  <dcterms:modified xsi:type="dcterms:W3CDTF">2020-09-29T10:28:00Z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http://www.zotero.org/styles/bmc-biology</vt:lpwstr>
  </property>
  <property fmtid="{D5CDD505-2E9C-101B-9397-08002B2CF9AE}" pid="7" name="Mendeley Recent Style Name 2_1">
    <vt:lpwstr>BMC 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http://www.zotero.org/styles/frontiers-in-bioengineering-and-biotechnology</vt:lpwstr>
  </property>
  <property fmtid="{D5CDD505-2E9C-101B-9397-08002B2CF9AE}" pid="13" name="Mendeley Recent Style Name 5_1">
    <vt:lpwstr>Frontiers in Bioengineering and Biotechnology</vt:lpwstr>
  </property>
  <property fmtid="{D5CDD505-2E9C-101B-9397-08002B2CF9AE}" pid="14" name="Mendeley Recent Style Id 6_1">
    <vt:lpwstr>http://www.zotero.org/styles/genome-biology</vt:lpwstr>
  </property>
  <property fmtid="{D5CDD505-2E9C-101B-9397-08002B2CF9AE}" pid="15" name="Mendeley Recent Style Name 6_1">
    <vt:lpwstr>Genome Biology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http://www.zotero.org/styles/molecular-neurodegeneration</vt:lpwstr>
  </property>
  <property fmtid="{D5CDD505-2E9C-101B-9397-08002B2CF9AE}" pid="19" name="Mendeley Recent Style Name 8_1">
    <vt:lpwstr>Molecular Neurodegeneration</vt:lpwstr>
  </property>
  <property fmtid="{D5CDD505-2E9C-101B-9397-08002B2CF9AE}" pid="20" name="Mendeley Recent Style Id 9_1">
    <vt:lpwstr>http://www.zotero.org/styles/neuropsychopharmacology</vt:lpwstr>
  </property>
  <property fmtid="{D5CDD505-2E9C-101B-9397-08002B2CF9AE}" pid="21" name="Mendeley Recent Style Name 9_1">
    <vt:lpwstr>Neuropsychopharmacology</vt:lpwstr>
  </property>
  <property fmtid="{D5CDD505-2E9C-101B-9397-08002B2CF9AE}" pid="22" name="Mendeley Document_1">
    <vt:lpwstr>True</vt:lpwstr>
  </property>
  <property fmtid="{D5CDD505-2E9C-101B-9397-08002B2CF9AE}" pid="23" name="Mendeley Unique User Id_1">
    <vt:lpwstr>7dec4cc0-fccb-3918-b79b-d14bad535673</vt:lpwstr>
  </property>
  <property fmtid="{D5CDD505-2E9C-101B-9397-08002B2CF9AE}" pid="24" name="Mendeley Citation Style_1">
    <vt:lpwstr>http://www.zotero.org/styles/molecular-neurodegeneration</vt:lpwstr>
  </property>
</Properties>
</file>