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2AF6" w14:textId="77777777" w:rsidR="0009232B" w:rsidRDefault="009B6020">
      <w:pPr>
        <w:spacing w:line="276" w:lineRule="auto"/>
        <w:jc w:val="center"/>
      </w:pPr>
      <w:r>
        <w:t>Supplementary Materials</w:t>
      </w:r>
    </w:p>
    <w:p w14:paraId="3816C86E" w14:textId="77777777" w:rsidR="0009232B" w:rsidRDefault="009B6020">
      <w:pPr>
        <w:jc w:val="center"/>
        <w:rPr>
          <w:sz w:val="28"/>
          <w:szCs w:val="28"/>
          <w:highlight w:val="green"/>
        </w:rPr>
      </w:pPr>
      <w:r>
        <w:rPr>
          <w:b/>
          <w:sz w:val="32"/>
          <w:szCs w:val="32"/>
          <w:highlight w:val="white"/>
        </w:rPr>
        <w:t>Compound vulnerabilities exacerbate systemic risks of food security in Somalia</w:t>
      </w:r>
    </w:p>
    <w:p w14:paraId="5D13EC1E" w14:textId="77777777" w:rsidR="0009232B" w:rsidRDefault="0009232B"/>
    <w:p w14:paraId="605611AA" w14:textId="77777777" w:rsidR="0009232B" w:rsidRDefault="009B6020">
      <w:r>
        <w:t xml:space="preserve">This Supplementary Material contains </w:t>
      </w:r>
      <w:r>
        <w:t>2</w:t>
      </w:r>
      <w:r>
        <w:t xml:space="preserve"> sections: </w:t>
      </w:r>
    </w:p>
    <w:p w14:paraId="60F08DA2" w14:textId="77777777" w:rsidR="0009232B" w:rsidRDefault="0009232B"/>
    <w:sdt>
      <w:sdtPr>
        <w:id w:val="-547995349"/>
        <w:docPartObj>
          <w:docPartGallery w:val="Table of Contents"/>
          <w:docPartUnique/>
        </w:docPartObj>
      </w:sdtPr>
      <w:sdtEndPr/>
      <w:sdtContent>
        <w:p w14:paraId="178B7011" w14:textId="3D18A430" w:rsidR="00053720" w:rsidRDefault="009B6020">
          <w:pPr>
            <w:pStyle w:val="TOC1"/>
            <w:tabs>
              <w:tab w:val="left" w:pos="480"/>
              <w:tab w:val="right" w:pos="9016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82177943" w:history="1">
            <w:r w:rsidR="00053720" w:rsidRPr="008F0CDE">
              <w:rPr>
                <w:rStyle w:val="Hyperlink"/>
                <w:noProof/>
              </w:rPr>
              <w:t>A.</w:t>
            </w:r>
            <w:r w:rsidR="00053720">
              <w:rPr>
                <w:noProof/>
              </w:rPr>
              <w:tab/>
            </w:r>
            <w:r w:rsidR="00053720" w:rsidRPr="008F0CDE">
              <w:rPr>
                <w:rStyle w:val="Hyperlink"/>
                <w:noProof/>
              </w:rPr>
              <w:t>Definition of displacement</w:t>
            </w:r>
            <w:r w:rsidR="00053720">
              <w:rPr>
                <w:noProof/>
                <w:webHidden/>
              </w:rPr>
              <w:tab/>
            </w:r>
            <w:r w:rsidR="00053720">
              <w:rPr>
                <w:noProof/>
                <w:webHidden/>
              </w:rPr>
              <w:fldChar w:fldCharType="begin"/>
            </w:r>
            <w:r w:rsidR="00053720">
              <w:rPr>
                <w:noProof/>
                <w:webHidden/>
              </w:rPr>
              <w:instrText xml:space="preserve"> PAGEREF _Toc82177943 \h </w:instrText>
            </w:r>
            <w:r w:rsidR="00053720">
              <w:rPr>
                <w:noProof/>
                <w:webHidden/>
              </w:rPr>
            </w:r>
            <w:r w:rsidR="00053720">
              <w:rPr>
                <w:noProof/>
                <w:webHidden/>
              </w:rPr>
              <w:fldChar w:fldCharType="separate"/>
            </w:r>
            <w:r w:rsidR="00053720">
              <w:rPr>
                <w:noProof/>
                <w:webHidden/>
              </w:rPr>
              <w:t>1</w:t>
            </w:r>
            <w:r w:rsidR="00053720">
              <w:rPr>
                <w:noProof/>
                <w:webHidden/>
              </w:rPr>
              <w:fldChar w:fldCharType="end"/>
            </w:r>
          </w:hyperlink>
        </w:p>
        <w:p w14:paraId="5B57017C" w14:textId="1199F8E2" w:rsidR="00053720" w:rsidRDefault="00053720">
          <w:pPr>
            <w:pStyle w:val="TOC1"/>
            <w:tabs>
              <w:tab w:val="left" w:pos="480"/>
              <w:tab w:val="right" w:pos="9016"/>
            </w:tabs>
            <w:rPr>
              <w:noProof/>
            </w:rPr>
          </w:pPr>
          <w:hyperlink w:anchor="_Toc82177944" w:history="1">
            <w:r w:rsidRPr="008F0CDE">
              <w:rPr>
                <w:rStyle w:val="Hyperlink"/>
                <w:noProof/>
              </w:rPr>
              <w:t>B.</w:t>
            </w:r>
            <w:r>
              <w:rPr>
                <w:noProof/>
              </w:rPr>
              <w:tab/>
            </w:r>
            <w:r w:rsidRPr="008F0CDE">
              <w:rPr>
                <w:rStyle w:val="Hyperlink"/>
                <w:noProof/>
              </w:rPr>
              <w:t>E</w:t>
            </w:r>
            <w:r w:rsidRPr="008F0CDE">
              <w:rPr>
                <w:rStyle w:val="Hyperlink"/>
                <w:noProof/>
              </w:rPr>
              <w:t>xtreme weather as food insecurity trigger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_Toc82177944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0C9E0" w14:textId="5AEDA71A" w:rsidR="0009232B" w:rsidRPr="00053720" w:rsidRDefault="009B6020" w:rsidP="00053720">
          <w:pPr>
            <w:tabs>
              <w:tab w:val="right" w:pos="9025"/>
            </w:tabs>
            <w:spacing w:before="200" w:after="80"/>
            <w:rPr>
              <w:color w:val="0000FF"/>
              <w:sz w:val="22"/>
              <w:szCs w:val="22"/>
            </w:rPr>
          </w:pPr>
          <w:r>
            <w:fldChar w:fldCharType="end"/>
          </w:r>
        </w:p>
      </w:sdtContent>
    </w:sdt>
    <w:p w14:paraId="415D3CD0" w14:textId="77777777" w:rsidR="0009232B" w:rsidRDefault="009B6020">
      <w:pPr>
        <w:pStyle w:val="Heading1"/>
        <w:keepNext/>
        <w:keepLines/>
        <w:numPr>
          <w:ilvl w:val="0"/>
          <w:numId w:val="1"/>
        </w:numPr>
        <w:spacing w:before="480" w:line="276" w:lineRule="auto"/>
        <w:ind w:left="426" w:hanging="426"/>
        <w:jc w:val="both"/>
        <w:rPr>
          <w:b w:val="0"/>
        </w:rPr>
      </w:pPr>
      <w:bookmarkStart w:id="0" w:name="_Toc82177943"/>
      <w:r>
        <w:rPr>
          <w:b w:val="0"/>
        </w:rPr>
        <w:t>Definition of displacement</w:t>
      </w:r>
      <w:bookmarkEnd w:id="0"/>
    </w:p>
    <w:p w14:paraId="30F2D85F" w14:textId="17C069FD" w:rsidR="0009232B" w:rsidRDefault="009B6020">
      <w:r>
        <w:t>There are different types and fac</w:t>
      </w:r>
      <w:r>
        <w:t>tors contributing to human mobility, ranging from voluntary to forced migration or displacement and refugees. Situations of immobility can also occur, voluntary immobility and entrapment.</w:t>
      </w:r>
      <w:r w:rsidR="00053720">
        <w:fldChar w:fldCharType="begin"/>
      </w:r>
      <w:r w:rsidR="00053720">
        <w:instrText xml:space="preserve"> ADDIN ZOTERO_ITEM CSL_CITATION {"citationID":"aMOrRr2U","properties":{"formattedCitation":"\\super 1\\nosupersub{}","plainCitation":"1","noteIndex":0},"citationItems":[{"id":42,"uris":["http://zotero.org/users/6010233/items/3666YHLT"],"uri":["http://zotero.org/users/6010233/items/3666YHLT"],"itemData":{"id":42,"type":"article-journal","abstract":"There is growing international concern at the rise in the severity of impact and frequency of extreme environmental events, potentially as a manifestation of global environmental change. There is a widely held belief that this trend could be linked with a future rise in the migration or displacement of human populations. However, recent approaches to migration influenced by environmental change call into question the notion that migration can be ascribed in a singular way to particular environmental causes or events. This paper undertakes a systematic review of evidence on population movements associated with weather-related extreme events. The paper demonstrates that in the face of extreme environmental events, it is important to distinguish between three outcomes – migration, displacement, and immobility – each of which interact and respond to multiple drivers. It also proposes a further insight: that both those who move, and those who do not move, may find themselves trapped and vulnerable in the face of such extreme events. A review of evidence suggests that short-term displacement that goes hand-in-hand with loss of life, destruction of property and economic disruption poses significant risks not because it is environmental migration, but because it represents a failure of adaptation to environmental change.","collection-title":"Global environmental change, extreme environmental events and 'environmental migration': exploring the connections","container-title":"Environmental Science &amp; Policy","DOI":"10.1016/j.envsci.2012.09.001","ISSN":"1462-9011","journalAbbreviation":"Environmental Science &amp; Policy","page":"S32-S43","source":"ScienceDirect","title":"Migration, immobility and displacement outcomes following extreme events","volume":"27","author":[{"family":"Black","given":"Richard"},{"family":"Arnell","given":"Nigel W."},{"family":"Adger","given":"W. Neil"},{"family":"Thomas","given":"David"},{"family":"Geddes","given":"Andrew"}],"issued":{"date-parts":[["2013",3,1]]}}}],"schema":"https://github.com/citation-style-language/schema/raw/master/csl-citation.json"} </w:instrText>
      </w:r>
      <w:r w:rsidR="00053720">
        <w:fldChar w:fldCharType="separate"/>
      </w:r>
      <w:r w:rsidR="00053720" w:rsidRPr="00053720">
        <w:rPr>
          <w:vertAlign w:val="superscript"/>
        </w:rPr>
        <w:t>1</w:t>
      </w:r>
      <w:r w:rsidR="00053720">
        <w:fldChar w:fldCharType="end"/>
      </w:r>
      <w:r>
        <w:t xml:space="preserve"> This </w:t>
      </w:r>
      <w:r>
        <w:t>Analysis concerns internal displacement as a form of human mobility. Our definition includes involuntary movement by individuals or a collection of individuals from their community notably for reasons of armed conflict, civil unrest, extreme weather events</w:t>
      </w:r>
      <w:r>
        <w:t xml:space="preserve"> and food insecurity. </w:t>
      </w:r>
    </w:p>
    <w:p w14:paraId="6F63820F" w14:textId="77777777" w:rsidR="0009232B" w:rsidRDefault="009B6020">
      <w:pPr>
        <w:pStyle w:val="Heading1"/>
        <w:keepNext/>
        <w:keepLines/>
        <w:numPr>
          <w:ilvl w:val="0"/>
          <w:numId w:val="1"/>
        </w:numPr>
        <w:spacing w:before="480" w:line="276" w:lineRule="auto"/>
        <w:ind w:left="426" w:hanging="426"/>
        <w:jc w:val="both"/>
        <w:rPr>
          <w:b w:val="0"/>
        </w:rPr>
      </w:pPr>
      <w:bookmarkStart w:id="1" w:name="_Toc82177944"/>
      <w:r>
        <w:rPr>
          <w:b w:val="0"/>
        </w:rPr>
        <w:t>Extreme weather as food insecurity trigger</w:t>
      </w:r>
      <w:bookmarkEnd w:id="1"/>
    </w:p>
    <w:p w14:paraId="57817993" w14:textId="77777777" w:rsidR="0009232B" w:rsidRDefault="009B6020">
      <w:r>
        <w:t>In Somalia, extreme weather events are well-known, reoccurring climate-related phenomena. However, their impacts and intensity vary across the region and require further study. The impact of</w:t>
      </w:r>
      <w:r>
        <w:t xml:space="preserve"> climate on human wellbeing and livelihoods is further exacerbated by the absence of a central government coupled with poverty and civil conflict that can escalate to crisis-level food insecurity and large-scale displacement. After the 2016/17 drought acro</w:t>
      </w:r>
      <w:r>
        <w:t xml:space="preserve">ss Somalia, heavy rains during </w:t>
      </w:r>
      <w:r>
        <w:rPr>
          <w:i/>
        </w:rPr>
        <w:t>Gu</w:t>
      </w:r>
      <w:r>
        <w:t xml:space="preserve"> season of 2018 led to episodes of flash floods. The history of drought and flash flood displacement has continued to date along with severely food-insecure populations, adding yet another set of vulnerabilities to an alrea</w:t>
      </w:r>
      <w:r>
        <w:t>dy fragile country.</w:t>
      </w:r>
    </w:p>
    <w:p w14:paraId="1D21ED9F" w14:textId="77777777" w:rsidR="0009232B" w:rsidRDefault="0009232B"/>
    <w:p w14:paraId="39A5B1D9" w14:textId="77777777" w:rsidR="0009232B" w:rsidRDefault="009B6020">
      <w:pPr>
        <w:rPr>
          <w:i/>
        </w:rPr>
      </w:pPr>
      <w:r>
        <w:rPr>
          <w:i/>
        </w:rPr>
        <w:t>Food security data underlying food insecurity classifications</w:t>
      </w:r>
    </w:p>
    <w:p w14:paraId="24A49771" w14:textId="59BCE4CC" w:rsidR="0009232B" w:rsidRDefault="009B6020">
      <w:pPr>
        <w:jc w:val="both"/>
      </w:pPr>
      <w:r>
        <w:t>The food insecurity statistics are based on data from the Integrated Phase Classification (IPC). The dataset consists of seasonal records of food insecure populations at the</w:t>
      </w:r>
      <w:r>
        <w:t xml:space="preserve"> regional level. According to the IPC methodology, populations facing acute food insecurity are grouped in five categories: minimal (IPC1), stressed (IPC2), crisis (IPC3), emergency (IPC4) and famine (IPC5). A clear advantage of this dataset lies in its la</w:t>
      </w:r>
      <w:r>
        <w:t xml:space="preserve">rge spatial coverage and data points. In South and Central Somalia, the project is implemented in </w:t>
      </w:r>
      <w:proofErr w:type="spellStart"/>
      <w:r>
        <w:t>Banadir</w:t>
      </w:r>
      <w:proofErr w:type="spellEnd"/>
      <w:r>
        <w:t xml:space="preserve">, Bay, </w:t>
      </w:r>
      <w:proofErr w:type="spellStart"/>
      <w:r>
        <w:t>Bakool</w:t>
      </w:r>
      <w:proofErr w:type="spellEnd"/>
      <w:r>
        <w:t xml:space="preserve">, Gedo, Lower Jubba, </w:t>
      </w:r>
      <w:proofErr w:type="spellStart"/>
      <w:r>
        <w:t>Hiraan</w:t>
      </w:r>
      <w:proofErr w:type="spellEnd"/>
      <w:r>
        <w:t xml:space="preserve">, Lower Shabelle, Middle Shabelle, middle Juba and </w:t>
      </w:r>
      <w:proofErr w:type="spellStart"/>
      <w:r>
        <w:t>Galgaduud</w:t>
      </w:r>
      <w:proofErr w:type="spellEnd"/>
      <w:r>
        <w:t xml:space="preserve"> region. In Puntland, project operations focus on t</w:t>
      </w:r>
      <w:r>
        <w:t xml:space="preserve">he regions of </w:t>
      </w:r>
      <w:proofErr w:type="spellStart"/>
      <w:r>
        <w:t>Galmadug</w:t>
      </w:r>
      <w:proofErr w:type="spellEnd"/>
      <w:r>
        <w:t xml:space="preserve">, Mudug and Bari. In Somaliland, geographic coverage includes </w:t>
      </w:r>
      <w:proofErr w:type="spellStart"/>
      <w:r>
        <w:t>Woqooyi</w:t>
      </w:r>
      <w:proofErr w:type="spellEnd"/>
      <w:r>
        <w:t xml:space="preserve"> </w:t>
      </w:r>
      <w:proofErr w:type="spellStart"/>
      <w:r>
        <w:t>Galbeed</w:t>
      </w:r>
      <w:proofErr w:type="spellEnd"/>
      <w:r>
        <w:t xml:space="preserve">, </w:t>
      </w:r>
      <w:proofErr w:type="spellStart"/>
      <w:r>
        <w:t>Marodijeh</w:t>
      </w:r>
      <w:proofErr w:type="spellEnd"/>
      <w:r>
        <w:t xml:space="preserve">, </w:t>
      </w:r>
      <w:proofErr w:type="spellStart"/>
      <w:r>
        <w:t>Sool</w:t>
      </w:r>
      <w:proofErr w:type="spellEnd"/>
      <w:r>
        <w:t xml:space="preserve"> and </w:t>
      </w:r>
      <w:proofErr w:type="spellStart"/>
      <w:r>
        <w:t>Awdal</w:t>
      </w:r>
      <w:proofErr w:type="spellEnd"/>
      <w:r>
        <w:t xml:space="preserve"> regions. Somalia-specific data is available from 2012 to near today. Food security levels were adversely impacted in 2020 with th</w:t>
      </w:r>
      <w:r>
        <w:t>e onset of the COVID-19 pandemic, the locust crisis and floods.</w:t>
      </w:r>
      <w:r w:rsidR="00053720">
        <w:fldChar w:fldCharType="begin"/>
      </w:r>
      <w:r w:rsidR="00053720">
        <w:instrText xml:space="preserve"> ADDIN ZOTERO_ITEM CSL_CITATION {"citationID":"Nhaiu3uk","properties":{"formattedCitation":"\\super 2,3\\nosupersub{}","plainCitation":"2,3","noteIndex":0},"citationItems":[{"id":134,"uris":["http://zotero.org/users/6010233/items/5A6CXBVZ"],"uri":["http://zotero.org/users/6010233/items/5A6CXBVZ"],"itemData":{"id":134,"type":"webpage","title":"IPC Global Platform","URL":"http://www.ipcinfo.org/","author":[{"literal":"Integrated Food Security Phase Classification"}],"accessed":{"date-parts":[["2021",1,11]]},"issued":{"date-parts":[["2021"]]}}},{"id":133,"uris":["http://zotero.org/users/6010233/items/ATQNMAN7"],"uri":["http://zotero.org/users/6010233/items/ATQNMAN7"],"itemData":{"id":133,"type":"report","language":"en","title":"The IPC Famine factsheet","URL":"https://reliefweb.int/report/world/ipc-famine-factsheet-updated-december-2020","author":[{"literal":"Integrated Food Security Phase Classification"}],"accessed":{"date-parts":[["2021",1,11]]},"issued":{"date-parts":[["2020",12,11]]}}}],"schema":"https://github.com/citation-style-language/schema/raw/master/csl-citation.json"} </w:instrText>
      </w:r>
      <w:r w:rsidR="00053720">
        <w:fldChar w:fldCharType="separate"/>
      </w:r>
      <w:r w:rsidR="00053720" w:rsidRPr="00053720">
        <w:rPr>
          <w:vertAlign w:val="superscript"/>
        </w:rPr>
        <w:t>2,3</w:t>
      </w:r>
      <w:r w:rsidR="00053720">
        <w:fldChar w:fldCharType="end"/>
      </w:r>
      <w:r w:rsidR="00053720">
        <w:t xml:space="preserve"> </w:t>
      </w:r>
    </w:p>
    <w:p w14:paraId="59529A13" w14:textId="77777777" w:rsidR="0009232B" w:rsidRDefault="0009232B"/>
    <w:p w14:paraId="50EDA471" w14:textId="77777777" w:rsidR="0009232B" w:rsidRDefault="009B6020">
      <w:pPr>
        <w:keepNext/>
      </w:pPr>
      <w:r>
        <w:rPr>
          <w:noProof/>
        </w:rPr>
        <w:lastRenderedPageBreak/>
        <w:drawing>
          <wp:inline distT="0" distB="0" distL="0" distR="0" wp14:anchorId="467A873F" wp14:editId="65A355A6">
            <wp:extent cx="5017273" cy="29340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7273" cy="2934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A5F36" w14:textId="77777777" w:rsidR="0009232B" w:rsidRDefault="009B602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0"/>
          <w:szCs w:val="20"/>
        </w:rPr>
      </w:pPr>
      <w:r>
        <w:rPr>
          <w:color w:val="000000"/>
          <w:sz w:val="20"/>
          <w:szCs w:val="20"/>
        </w:rPr>
        <w:t>Figure S1: People in food insecurity between 2015 and 2019 by season.</w:t>
      </w:r>
    </w:p>
    <w:p w14:paraId="39B3847E" w14:textId="77777777" w:rsidR="0009232B" w:rsidRDefault="0009232B"/>
    <w:p w14:paraId="36EEA280" w14:textId="77777777" w:rsidR="0009232B" w:rsidRDefault="0009232B"/>
    <w:p w14:paraId="7BDCE256" w14:textId="77777777" w:rsidR="0009232B" w:rsidRDefault="0009232B"/>
    <w:p w14:paraId="63E3F547" w14:textId="77777777" w:rsidR="0009232B" w:rsidRDefault="009B6020">
      <w:r>
        <w:t>Supplementary Material References</w:t>
      </w:r>
    </w:p>
    <w:p w14:paraId="3B457E55" w14:textId="77777777" w:rsidR="0009232B" w:rsidRDefault="0009232B"/>
    <w:p w14:paraId="3525815C" w14:textId="77777777" w:rsidR="00053720" w:rsidRPr="00053720" w:rsidRDefault="00053720" w:rsidP="00053720">
      <w:pPr>
        <w:pStyle w:val="Bibliography"/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053720">
        <w:t>1.</w:t>
      </w:r>
      <w:r w:rsidRPr="00053720">
        <w:tab/>
        <w:t xml:space="preserve">Black, R., Arnell, N. W., </w:t>
      </w:r>
      <w:proofErr w:type="spellStart"/>
      <w:r w:rsidRPr="00053720">
        <w:t>Adger</w:t>
      </w:r>
      <w:proofErr w:type="spellEnd"/>
      <w:r w:rsidRPr="00053720">
        <w:t xml:space="preserve">, W. N., Thomas, D. &amp; Geddes, A. Migration, </w:t>
      </w:r>
      <w:proofErr w:type="gramStart"/>
      <w:r w:rsidRPr="00053720">
        <w:t>immobility</w:t>
      </w:r>
      <w:proofErr w:type="gramEnd"/>
      <w:r w:rsidRPr="00053720">
        <w:t xml:space="preserve"> and displacement outcomes following extreme events. </w:t>
      </w:r>
      <w:r w:rsidRPr="00053720">
        <w:rPr>
          <w:i/>
          <w:iCs/>
        </w:rPr>
        <w:t>Environmental Science &amp; Policy</w:t>
      </w:r>
      <w:r w:rsidRPr="00053720">
        <w:t xml:space="preserve"> </w:t>
      </w:r>
      <w:r w:rsidRPr="00053720">
        <w:rPr>
          <w:b/>
          <w:bCs/>
        </w:rPr>
        <w:t>27</w:t>
      </w:r>
      <w:r w:rsidRPr="00053720">
        <w:t>, S32–S43 (2013).</w:t>
      </w:r>
    </w:p>
    <w:p w14:paraId="7AE0746B" w14:textId="77777777" w:rsidR="00053720" w:rsidRPr="00053720" w:rsidRDefault="00053720" w:rsidP="00053720">
      <w:pPr>
        <w:pStyle w:val="Bibliography"/>
      </w:pPr>
      <w:r w:rsidRPr="00053720">
        <w:t>2.</w:t>
      </w:r>
      <w:r w:rsidRPr="00053720">
        <w:tab/>
        <w:t>Integrated Food Security Phase Classification. IPC Global Platform. http://www.ipcinfo.org/ (2021).</w:t>
      </w:r>
    </w:p>
    <w:p w14:paraId="0FDF3073" w14:textId="77777777" w:rsidR="00053720" w:rsidRPr="00053720" w:rsidRDefault="00053720" w:rsidP="00053720">
      <w:pPr>
        <w:pStyle w:val="Bibliography"/>
      </w:pPr>
      <w:r w:rsidRPr="00053720">
        <w:t>3.</w:t>
      </w:r>
      <w:r w:rsidRPr="00053720">
        <w:tab/>
        <w:t xml:space="preserve">Integrated Food Security Phase Classification. </w:t>
      </w:r>
      <w:r w:rsidRPr="00053720">
        <w:rPr>
          <w:i/>
          <w:iCs/>
        </w:rPr>
        <w:t>The IPC Famine factsheet</w:t>
      </w:r>
      <w:r w:rsidRPr="00053720">
        <w:t>. https://reliefweb.int/report/world/ipc-famine-factsheet-updated-december-2020 (2020).</w:t>
      </w:r>
    </w:p>
    <w:p w14:paraId="33CC0407" w14:textId="72E394DE" w:rsidR="0009232B" w:rsidRDefault="00053720" w:rsidP="00053720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20" w:line="480" w:lineRule="auto"/>
        <w:ind w:left="264" w:hanging="264"/>
      </w:pPr>
      <w:r>
        <w:fldChar w:fldCharType="end"/>
      </w:r>
    </w:p>
    <w:p w14:paraId="34C3615A" w14:textId="77777777" w:rsidR="0009232B" w:rsidRDefault="0009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09232B">
      <w:footerReference w:type="even" r:id="rId8"/>
      <w:footerReference w:type="default" r:id="rId9"/>
      <w:pgSz w:w="11906" w:h="16838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A74C" w14:textId="77777777" w:rsidR="00000000" w:rsidRDefault="009B6020">
      <w:r>
        <w:separator/>
      </w:r>
    </w:p>
  </w:endnote>
  <w:endnote w:type="continuationSeparator" w:id="0">
    <w:p w14:paraId="73BAEEBD" w14:textId="77777777" w:rsidR="00000000" w:rsidRDefault="009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D42D" w14:textId="77777777" w:rsidR="0009232B" w:rsidRDefault="000923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20" w:after="120" w:line="360" w:lineRule="auto"/>
      <w:jc w:val="center"/>
      <w:rPr>
        <w:color w:val="000000"/>
        <w:sz w:val="22"/>
        <w:szCs w:val="22"/>
      </w:rPr>
    </w:pPr>
  </w:p>
  <w:p w14:paraId="4C4368DC" w14:textId="77777777" w:rsidR="0009232B" w:rsidRDefault="009B60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20" w:after="120" w:line="360" w:lineRule="auto"/>
      <w:ind w:right="360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4776" w14:textId="4ABC04FD" w:rsidR="0009232B" w:rsidRDefault="009B60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20" w:after="120" w:line="36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053720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4DE22DA4" w14:textId="77777777" w:rsidR="0009232B" w:rsidRDefault="000923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20" w:after="120" w:line="360" w:lineRule="auto"/>
      <w:ind w:right="360"/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B25F" w14:textId="77777777" w:rsidR="00000000" w:rsidRDefault="009B6020">
      <w:r>
        <w:separator/>
      </w:r>
    </w:p>
  </w:footnote>
  <w:footnote w:type="continuationSeparator" w:id="0">
    <w:p w14:paraId="4A58E808" w14:textId="77777777" w:rsidR="00000000" w:rsidRDefault="009B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77F4"/>
    <w:multiLevelType w:val="multilevel"/>
    <w:tmpl w:val="5FF6CC6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2B"/>
    <w:rsid w:val="00053720"/>
    <w:rsid w:val="0009232B"/>
    <w:rsid w:val="009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FF8E3"/>
  <w15:docId w15:val="{B9FFCF2E-DBA5-EA47-ACDB-D3D89F17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360" w:after="120" w:line="360" w:lineRule="auto"/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20" w:line="360" w:lineRule="auto"/>
      <w:ind w:left="576" w:hanging="576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20" w:line="360" w:lineRule="auto"/>
      <w:ind w:left="720" w:hanging="720"/>
      <w:outlineLvl w:val="2"/>
    </w:pPr>
    <w:rPr>
      <w:i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360" w:lineRule="auto"/>
      <w:ind w:left="864" w:hanging="864"/>
      <w:outlineLvl w:val="3"/>
    </w:pPr>
    <w:rPr>
      <w:rFonts w:ascii="Calibri" w:eastAsia="Calibri" w:hAnsi="Calibri" w:cs="Calibri"/>
      <w:i/>
      <w:color w:val="2F5496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360" w:lineRule="auto"/>
      <w:ind w:left="1008" w:hanging="1008"/>
      <w:outlineLvl w:val="4"/>
    </w:pPr>
    <w:rPr>
      <w:rFonts w:ascii="Calibri" w:eastAsia="Calibri" w:hAnsi="Calibri" w:cs="Calibri"/>
      <w:color w:val="2F549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360" w:lineRule="auto"/>
      <w:ind w:left="1152" w:hanging="1152"/>
      <w:outlineLvl w:val="5"/>
    </w:pPr>
    <w:rPr>
      <w:rFonts w:ascii="Calibri" w:eastAsia="Calibri" w:hAnsi="Calibri" w:cs="Calibri"/>
      <w:color w:val="1F386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05372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53720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53720"/>
    <w:pPr>
      <w:tabs>
        <w:tab w:val="left" w:pos="260"/>
      </w:tabs>
      <w:spacing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Thalheimer</cp:lastModifiedBy>
  <cp:revision>2</cp:revision>
  <dcterms:created xsi:type="dcterms:W3CDTF">2021-09-10T12:55:00Z</dcterms:created>
  <dcterms:modified xsi:type="dcterms:W3CDTF">2021-09-10T12:55:00Z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id="bNYEaseo"/&gt;&lt;style id="http://www.zotero.org/styles/nature" hasBibliography="1" bibliographyStyleHasBeenSet="1"/&gt;&lt;prefs&gt;&lt;pref name="fieldType" value="Field"/&gt;&lt;/prefs&gt;&lt;/data&gt;</vt:lpwstr>
  </property>
</Properties>
</file>