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D3D2" w14:textId="77777777" w:rsidR="002840F9" w:rsidRPr="00E32937" w:rsidRDefault="002840F9" w:rsidP="002840F9">
      <w:pPr>
        <w:spacing w:after="160"/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>Appendix</w:t>
      </w:r>
    </w:p>
    <w:p w14:paraId="103F0259" w14:textId="77777777" w:rsidR="002840F9" w:rsidRPr="00E32937" w:rsidRDefault="002840F9" w:rsidP="002840F9">
      <w:pPr>
        <w:numPr>
          <w:ilvl w:val="0"/>
          <w:numId w:val="1"/>
        </w:numPr>
        <w:spacing w:after="160"/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>Question asked to participants about their routes of administration.</w:t>
      </w:r>
    </w:p>
    <w:p w14:paraId="5C49C8E7" w14:textId="77777777" w:rsidR="002840F9" w:rsidRPr="00E32937" w:rsidRDefault="002840F9" w:rsidP="002840F9">
      <w:pPr>
        <w:rPr>
          <w:color w:val="000000" w:themeColor="text1"/>
          <w:highlight w:val="white"/>
        </w:rPr>
      </w:pPr>
      <w:r w:rsidRPr="00E32937">
        <w:rPr>
          <w:color w:val="000000" w:themeColor="text1"/>
          <w:highlight w:val="white"/>
        </w:rPr>
        <w:t>Q4.8 In the past 6 months, how do you usually use street opioids, i.e. MAIN route of administration? (e.g. injection, snorting, smoking).</w:t>
      </w:r>
      <w:r w:rsidRPr="00E32937">
        <w:rPr>
          <w:color w:val="000000" w:themeColor="text1"/>
        </w:rPr>
        <w:t xml:space="preserve"> [Open text input]</w:t>
      </w:r>
    </w:p>
    <w:p w14:paraId="15AD2514" w14:textId="77777777" w:rsidR="002840F9" w:rsidRPr="00E32937" w:rsidRDefault="002840F9" w:rsidP="002840F9">
      <w:pPr>
        <w:spacing w:after="160"/>
        <w:rPr>
          <w:b/>
          <w:bCs/>
          <w:color w:val="000000" w:themeColor="text1"/>
          <w:highlight w:val="white"/>
        </w:rPr>
      </w:pPr>
    </w:p>
    <w:p w14:paraId="2E743DF8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>B. Fentanyl dosing terms and conversions.</w:t>
      </w:r>
    </w:p>
    <w:p w14:paraId="3C7A146F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 xml:space="preserve"> </w:t>
      </w:r>
    </w:p>
    <w:p w14:paraId="326EA8C9" w14:textId="77777777" w:rsidR="002840F9" w:rsidRPr="00E32937" w:rsidRDefault="002840F9" w:rsidP="002840F9">
      <w:pPr>
        <w:rPr>
          <w:color w:val="000000" w:themeColor="text1"/>
          <w:highlight w:val="white"/>
        </w:rPr>
      </w:pPr>
      <w:r w:rsidRPr="00E32937">
        <w:rPr>
          <w:color w:val="000000" w:themeColor="text1"/>
          <w:highlight w:val="white"/>
        </w:rPr>
        <w:t xml:space="preserve">Exploratively characterizing average fentanyl dosing and prices in the market, respondents were asked what the average amount of fentanyl consumed on a ‘using’ day is. Dosage conversions (Table B1) were sourced from a person with lived experience leading a harm reduction and overdose outreach volunteer group, with close connections with Vancouver Downtown </w:t>
      </w:r>
      <w:proofErr w:type="spellStart"/>
      <w:r w:rsidRPr="00E32937">
        <w:rPr>
          <w:color w:val="000000" w:themeColor="text1"/>
          <w:highlight w:val="white"/>
        </w:rPr>
        <w:t>Eastside</w:t>
      </w:r>
      <w:proofErr w:type="spellEnd"/>
      <w:r w:rsidRPr="00E32937">
        <w:rPr>
          <w:color w:val="000000" w:themeColor="text1"/>
          <w:highlight w:val="white"/>
        </w:rPr>
        <w:t xml:space="preserve"> community. Dosing distributions will be further explored in future analyses. </w:t>
      </w:r>
    </w:p>
    <w:p w14:paraId="5A4E0547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 xml:space="preserve"> </w:t>
      </w:r>
    </w:p>
    <w:p w14:paraId="7E2D61F6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>Table B. Conversions from fentanyl dosing terms in the street drug market to quantifications and typical prices.</w:t>
      </w:r>
    </w:p>
    <w:p w14:paraId="2E140D29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 xml:space="preserve"> </w:t>
      </w: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575"/>
      </w:tblGrid>
      <w:tr w:rsidR="002840F9" w:rsidRPr="00E32937" w14:paraId="614DBC28" w14:textId="77777777" w:rsidTr="0048013A">
        <w:trPr>
          <w:trHeight w:val="27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99BDC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Term</w:t>
            </w:r>
          </w:p>
        </w:tc>
        <w:tc>
          <w:tcPr>
            <w:tcW w:w="4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2913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Fentanyl dose conversion</w:t>
            </w:r>
          </w:p>
        </w:tc>
      </w:tr>
      <w:tr w:rsidR="002840F9" w:rsidRPr="00E32937" w14:paraId="05FE4EC0" w14:textId="77777777" w:rsidTr="0048013A">
        <w:trPr>
          <w:trHeight w:val="270"/>
        </w:trPr>
        <w:tc>
          <w:tcPr>
            <w:tcW w:w="4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826EA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1 ‘point’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9DDC9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0.1 g ($20)</w:t>
            </w:r>
          </w:p>
        </w:tc>
      </w:tr>
      <w:tr w:rsidR="002840F9" w:rsidRPr="00E32937" w14:paraId="673247C5" w14:textId="77777777" w:rsidTr="0048013A">
        <w:trPr>
          <w:trHeight w:val="510"/>
        </w:trPr>
        <w:tc>
          <w:tcPr>
            <w:tcW w:w="4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D05A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1 ‘ball’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8D3CD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3.5 g ($30-35; “ball” refers to an 8th ball = 1/8th of an ounce; ‘half ball’ = 1.75g)</w:t>
            </w:r>
          </w:p>
        </w:tc>
      </w:tr>
      <w:tr w:rsidR="002840F9" w:rsidRPr="00E32937" w14:paraId="1067514D" w14:textId="77777777" w:rsidTr="0048013A">
        <w:trPr>
          <w:trHeight w:val="270"/>
        </w:trPr>
        <w:tc>
          <w:tcPr>
            <w:tcW w:w="4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84AC7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1 ‘zip’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97195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28.3 g (1 oz)</w:t>
            </w:r>
          </w:p>
        </w:tc>
      </w:tr>
      <w:tr w:rsidR="002840F9" w:rsidRPr="00E32937" w14:paraId="5F807EDE" w14:textId="77777777" w:rsidTr="0048013A">
        <w:trPr>
          <w:trHeight w:val="270"/>
        </w:trPr>
        <w:tc>
          <w:tcPr>
            <w:tcW w:w="45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6A739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1 ‘paper’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A3503" w14:textId="77777777" w:rsidR="002840F9" w:rsidRPr="00E32937" w:rsidRDefault="002840F9" w:rsidP="0048013A">
            <w:pPr>
              <w:rPr>
                <w:b/>
                <w:bCs/>
                <w:color w:val="000000" w:themeColor="text1"/>
                <w:highlight w:val="white"/>
              </w:rPr>
            </w:pPr>
            <w:r w:rsidRPr="00E32937">
              <w:rPr>
                <w:b/>
                <w:bCs/>
                <w:color w:val="000000" w:themeColor="text1"/>
                <w:highlight w:val="white"/>
              </w:rPr>
              <w:t>0.05g ($10)</w:t>
            </w:r>
          </w:p>
        </w:tc>
      </w:tr>
    </w:tbl>
    <w:p w14:paraId="5F8FEF20" w14:textId="77777777" w:rsidR="002840F9" w:rsidRPr="00E32937" w:rsidRDefault="002840F9" w:rsidP="002840F9">
      <w:pPr>
        <w:rPr>
          <w:b/>
          <w:bCs/>
          <w:color w:val="000000" w:themeColor="text1"/>
          <w:highlight w:val="white"/>
        </w:rPr>
      </w:pPr>
      <w:r w:rsidRPr="00E32937">
        <w:rPr>
          <w:b/>
          <w:bCs/>
          <w:color w:val="000000" w:themeColor="text1"/>
          <w:highlight w:val="white"/>
        </w:rPr>
        <w:t xml:space="preserve"> </w:t>
      </w:r>
    </w:p>
    <w:p w14:paraId="2FD58EB8" w14:textId="77777777" w:rsidR="002840F9" w:rsidRPr="00E32937" w:rsidRDefault="002840F9" w:rsidP="002840F9">
      <w:pPr>
        <w:spacing w:after="160"/>
        <w:rPr>
          <w:b/>
          <w:bCs/>
          <w:color w:val="000000" w:themeColor="text1"/>
          <w:highlight w:val="white"/>
        </w:rPr>
      </w:pPr>
    </w:p>
    <w:p w14:paraId="613F1063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3735"/>
    <w:multiLevelType w:val="multilevel"/>
    <w:tmpl w:val="38A20E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262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F9"/>
    <w:rsid w:val="00066677"/>
    <w:rsid w:val="002840F9"/>
    <w:rsid w:val="003A4E89"/>
    <w:rsid w:val="00556784"/>
    <w:rsid w:val="008B07A6"/>
    <w:rsid w:val="00987B63"/>
    <w:rsid w:val="00D31E7D"/>
    <w:rsid w:val="00E6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1758"/>
  <w15:chartTrackingRefBased/>
  <w15:docId w15:val="{92D6CFCC-CA10-4787-932A-B55C865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F9"/>
    <w:pPr>
      <w:spacing w:after="0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0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2026-05-05T17:14:00Z</dcterms:created>
  <dcterms:modified xsi:type="dcterms:W3CDTF">2026-05-05T17:14:00Z</dcterms:modified>
</cp:coreProperties>
</file>