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C9669" w14:textId="77777777" w:rsidR="00786263" w:rsidRDefault="0034197B">
      <w:pPr>
        <w:spacing w:after="400" w:line="360" w:lineRule="auto"/>
        <w:jc w:val="center"/>
      </w:pPr>
      <w:r>
        <w:rPr>
          <w:b/>
          <w:bCs/>
          <w:sz w:val="32"/>
          <w:szCs w:val="32"/>
        </w:rPr>
        <w:t>Supplementary Information</w:t>
      </w:r>
    </w:p>
    <w:p w14:paraId="621C966A" w14:textId="77777777" w:rsidR="00786263" w:rsidRDefault="0034197B">
      <w:pPr>
        <w:spacing w:after="400" w:line="360" w:lineRule="auto"/>
        <w:jc w:val="center"/>
      </w:pPr>
      <w:r>
        <w:rPr>
          <w:i/>
          <w:iCs/>
        </w:rPr>
        <w:t>Epistemic Field Theory: Predicting and Governing Hallucination in Large Language Models via Multi-Model Consensus</w:t>
      </w:r>
    </w:p>
    <w:p w14:paraId="66D1F94F" w14:textId="77777777" w:rsidR="00D16B38" w:rsidRPr="00D16B38" w:rsidRDefault="00D16B38" w:rsidP="00D16B38">
      <w:pPr>
        <w:spacing w:before="360" w:after="200" w:line="360" w:lineRule="auto"/>
        <w:jc w:val="center"/>
        <w:rPr>
          <w:i/>
          <w:iCs/>
        </w:rPr>
      </w:pPr>
      <w:r w:rsidRPr="00D16B38">
        <w:rPr>
          <w:i/>
          <w:iCs/>
        </w:rPr>
        <w:t>[Double-blind submission — author information provided in cover letter]</w:t>
      </w:r>
    </w:p>
    <w:p w14:paraId="621C966C" w14:textId="0924E0D5" w:rsidR="00786263" w:rsidRDefault="0034197B">
      <w:pPr>
        <w:spacing w:before="360" w:after="200" w:line="360" w:lineRule="auto"/>
      </w:pPr>
      <w:r>
        <w:rPr>
          <w:b/>
          <w:bCs/>
          <w:sz w:val="28"/>
          <w:szCs w:val="28"/>
        </w:rPr>
        <w:t>Supplementary Note 1: Formal Framework</w:t>
      </w:r>
    </w:p>
    <w:p w14:paraId="621C966D" w14:textId="77777777" w:rsidR="00786263" w:rsidRDefault="0034197B">
      <w:pPr>
        <w:spacing w:before="240" w:after="120" w:line="360" w:lineRule="auto"/>
      </w:pPr>
      <w:r>
        <w:rPr>
          <w:b/>
          <w:bCs/>
        </w:rPr>
        <w:t>Preliminaries and notation</w:t>
      </w:r>
    </w:p>
    <w:p w14:paraId="621C966E" w14:textId="77777777" w:rsidR="00786263" w:rsidRDefault="0034197B">
      <w:pPr>
        <w:spacing w:after="200" w:line="360" w:lineRule="auto"/>
      </w:pPr>
      <w:r>
        <w:t xml:space="preserve">Let Q denote a query space and R a response space. A language model M defines a conditional distribution over responses given queries. We assume access to an ensemble M = {M₁, ..., Mₙ} of </w:t>
      </w:r>
      <w:proofErr w:type="spellStart"/>
      <w:r>
        <w:t>n</w:t>
      </w:r>
      <w:proofErr w:type="spellEnd"/>
      <w:r>
        <w:t xml:space="preserve"> independently trained models.</w:t>
      </w:r>
    </w:p>
    <w:p w14:paraId="621C966F" w14:textId="77777777" w:rsidR="00786263" w:rsidRDefault="0034197B">
      <w:pPr>
        <w:spacing w:after="200" w:line="360" w:lineRule="auto"/>
      </w:pPr>
      <w:r>
        <w:rPr>
          <w:b/>
          <w:bCs/>
        </w:rPr>
        <w:t xml:space="preserve">Definition 1 (Hallucination). </w:t>
      </w:r>
      <w:r>
        <w:t>A response r to query q is a hallucination if (</w:t>
      </w:r>
      <w:proofErr w:type="spellStart"/>
      <w:r>
        <w:t>i</w:t>
      </w:r>
      <w:proofErr w:type="spellEnd"/>
      <w:r>
        <w:t xml:space="preserve">) r asserts a factual claim, and (ii) r ≠ τ(q), where τ(q) denotes the ground truth. We write </w:t>
      </w:r>
      <w:proofErr w:type="gramStart"/>
      <w:r>
        <w:t>H(</w:t>
      </w:r>
      <w:proofErr w:type="gramEnd"/>
      <w:r>
        <w:t>r, q) = 1 if r is a hallucination, 0 otherwise.</w:t>
      </w:r>
    </w:p>
    <w:p w14:paraId="621C9670" w14:textId="77777777" w:rsidR="00786263" w:rsidRDefault="0034197B">
      <w:pPr>
        <w:spacing w:after="200" w:line="360" w:lineRule="auto"/>
      </w:pPr>
      <w:r>
        <w:rPr>
          <w:b/>
          <w:bCs/>
        </w:rPr>
        <w:t xml:space="preserve">Definition 2 (Semantic Similarity). </w:t>
      </w:r>
      <w:r>
        <w:t xml:space="preserve">A semantic similarity function </w:t>
      </w:r>
      <w:proofErr w:type="gramStart"/>
      <w:r>
        <w:t>sim :</w:t>
      </w:r>
      <w:proofErr w:type="gramEnd"/>
      <w:r>
        <w:t xml:space="preserve"> R × R → [0, 1] measures agreement between responses, with </w:t>
      </w:r>
      <w:proofErr w:type="gramStart"/>
      <w:r>
        <w:t>sim(</w:t>
      </w:r>
      <w:proofErr w:type="gramEnd"/>
      <w:r>
        <w:t xml:space="preserve">r, r′) = 1 </w:t>
      </w:r>
      <w:proofErr w:type="spellStart"/>
      <w:r>
        <w:t>iff</w:t>
      </w:r>
      <w:proofErr w:type="spellEnd"/>
      <w:r>
        <w:t xml:space="preserve"> r and r′ are semantically equivalent.</w:t>
      </w:r>
    </w:p>
    <w:p w14:paraId="621C9671" w14:textId="77777777" w:rsidR="00786263" w:rsidRDefault="0034197B">
      <w:pPr>
        <w:spacing w:before="240" w:after="120" w:line="360" w:lineRule="auto"/>
      </w:pPr>
      <w:r>
        <w:rPr>
          <w:b/>
          <w:bCs/>
        </w:rPr>
        <w:t>The consensus field</w:t>
      </w:r>
    </w:p>
    <w:p w14:paraId="621C9672" w14:textId="77777777" w:rsidR="00786263" w:rsidRDefault="0034197B">
      <w:pPr>
        <w:spacing w:after="200" w:line="360" w:lineRule="auto"/>
      </w:pPr>
      <w:r>
        <w:rPr>
          <w:b/>
          <w:bCs/>
        </w:rPr>
        <w:t xml:space="preserve">Definition 3 (Consensus Field). </w:t>
      </w:r>
      <w:r>
        <w:t xml:space="preserve">The consensus field </w:t>
      </w:r>
      <w:proofErr w:type="gramStart"/>
      <w:r>
        <w:t>σ :</w:t>
      </w:r>
      <w:proofErr w:type="gramEnd"/>
      <w:r>
        <w:t xml:space="preserve"> Q → [0, 1] is defined as: σ(q) = [2 / n(n−1)] ∑ </w:t>
      </w:r>
      <w:proofErr w:type="gramStart"/>
      <w:r>
        <w:t>sim(</w:t>
      </w:r>
      <w:proofErr w:type="gramEnd"/>
      <w:r>
        <w:t xml:space="preserve">Mᵢ(q), Mⱼ(q)) for all </w:t>
      </w:r>
      <w:proofErr w:type="spellStart"/>
      <w:r>
        <w:t>i</w:t>
      </w:r>
      <w:proofErr w:type="spellEnd"/>
      <w:r>
        <w:t xml:space="preserve"> &lt; j. This is the average pairwise similarity across all model pairs. The field interpretation is deliberate: σ is a property of the query itself—specifically, how the query interacts with the collective knowledge encoded across the model ensemble.</w:t>
      </w:r>
    </w:p>
    <w:p w14:paraId="621C9673" w14:textId="77777777" w:rsidR="00786263" w:rsidRDefault="0034197B">
      <w:pPr>
        <w:spacing w:before="240" w:after="120" w:line="360" w:lineRule="auto"/>
      </w:pPr>
      <w:r>
        <w:rPr>
          <w:b/>
          <w:bCs/>
        </w:rPr>
        <w:t>The noise coefficient</w:t>
      </w:r>
    </w:p>
    <w:p w14:paraId="621C9674" w14:textId="77777777" w:rsidR="00786263" w:rsidRDefault="0034197B">
      <w:pPr>
        <w:spacing w:after="200" w:line="360" w:lineRule="auto"/>
      </w:pPr>
      <w:r>
        <w:rPr>
          <w:b/>
          <w:bCs/>
        </w:rPr>
        <w:t xml:space="preserve">Definition 4 (Noise Coefficient). </w:t>
      </w:r>
      <w:r>
        <w:t>The noise coefficient η ∈ [0, 1] for model M is: η = P(H(M(q), q) = 1 | σ(q) &lt; τ) where τ is a low-consensus threshold (we use τ = 0.5).</w:t>
      </w:r>
    </w:p>
    <w:p w14:paraId="621C9675" w14:textId="77777777" w:rsidR="00786263" w:rsidRDefault="0034197B">
      <w:pPr>
        <w:spacing w:before="240" w:after="120" w:line="360" w:lineRule="auto"/>
      </w:pPr>
      <w:r>
        <w:rPr>
          <w:b/>
          <w:bCs/>
        </w:rPr>
        <w:t>The hallucination predictor</w:t>
      </w:r>
    </w:p>
    <w:p w14:paraId="621C9676" w14:textId="77777777" w:rsidR="00786263" w:rsidRDefault="0034197B">
      <w:pPr>
        <w:spacing w:after="200" w:line="360" w:lineRule="auto"/>
      </w:pPr>
      <w:r>
        <w:rPr>
          <w:b/>
          <w:bCs/>
        </w:rPr>
        <w:lastRenderedPageBreak/>
        <w:t xml:space="preserve">Proposition 1 (EFT Hallucination Predictor). </w:t>
      </w:r>
      <w:r>
        <w:t xml:space="preserve">Under the assumptions of model independence and error decorrelation, hallucination probability is bounded by: </w:t>
      </w:r>
      <w:proofErr w:type="gramStart"/>
      <w:r>
        <w:t>P(</w:t>
      </w:r>
      <w:proofErr w:type="gramEnd"/>
      <w:r>
        <w:t>H | q, M) ≤ (1 − σ(q</w:t>
      </w:r>
      <w:proofErr w:type="gramStart"/>
      <w:r>
        <w:t>))·</w:t>
      </w:r>
      <w:proofErr w:type="gramEnd"/>
      <w:r>
        <w:t>η.</w:t>
      </w:r>
    </w:p>
    <w:p w14:paraId="621C9677" w14:textId="77777777" w:rsidR="00786263" w:rsidRDefault="0034197B">
      <w:pPr>
        <w:spacing w:before="240" w:after="120" w:line="360" w:lineRule="auto"/>
      </w:pPr>
      <w:r>
        <w:rPr>
          <w:b/>
          <w:bCs/>
        </w:rPr>
        <w:t>Relationship to majority voting</w:t>
      </w:r>
    </w:p>
    <w:p w14:paraId="621C9678" w14:textId="77777777" w:rsidR="00786263" w:rsidRDefault="0034197B">
      <w:pPr>
        <w:spacing w:after="200" w:line="360" w:lineRule="auto"/>
      </w:pPr>
      <w:r>
        <w:rPr>
          <w:b/>
          <w:bCs/>
        </w:rPr>
        <w:t xml:space="preserve">Definition 5 (Majority Vote). </w:t>
      </w:r>
      <w:r>
        <w:t xml:space="preserve">MV(q) = 1 if </w:t>
      </w:r>
      <w:proofErr w:type="gramStart"/>
      <w:r>
        <w:t>|{</w:t>
      </w:r>
      <w:proofErr w:type="spellStart"/>
      <w:r>
        <w:t>i</w:t>
      </w:r>
      <w:proofErr w:type="spellEnd"/>
      <w:r>
        <w:t xml:space="preserve"> :</w:t>
      </w:r>
      <w:proofErr w:type="gramEnd"/>
      <w:r>
        <w:t xml:space="preserve"> </w:t>
      </w:r>
      <w:proofErr w:type="gramStart"/>
      <w:r>
        <w:t>answer(</w:t>
      </w:r>
      <w:proofErr w:type="gramEnd"/>
      <w:r>
        <w:t xml:space="preserve">Mᵢ(q)) = </w:t>
      </w:r>
      <w:proofErr w:type="gramStart"/>
      <w:r>
        <w:t>mode}|</w:t>
      </w:r>
      <w:proofErr w:type="gramEnd"/>
      <w:r>
        <w:t xml:space="preserve"> ≥ ⌈n/2⌉, else 0. The consensus field generalises majority voting in three ways: (1) σ compares full response embeddings rather than answer strings; (2) σ evaluates all n(n−1)/2 pairwise comparisons using continuous semantic similarity; (3) σ produces a continuous risk score. Majority voting is a special case in which sim is reduced to exact string match and the continuous field value is collapsed to a binary threshold.</w:t>
      </w:r>
    </w:p>
    <w:p w14:paraId="621C9679" w14:textId="77777777" w:rsidR="00786263" w:rsidRDefault="0034197B">
      <w:pPr>
        <w:spacing w:before="240" w:after="120" w:line="360" w:lineRule="auto"/>
      </w:pPr>
      <w:r>
        <w:rPr>
          <w:b/>
          <w:bCs/>
        </w:rPr>
        <w:t>Theoretical justification</w:t>
      </w:r>
    </w:p>
    <w:p w14:paraId="621C967A" w14:textId="77777777" w:rsidR="00786263" w:rsidRDefault="0034197B">
      <w:pPr>
        <w:spacing w:after="200" w:line="360" w:lineRule="auto"/>
      </w:pPr>
      <w:r>
        <w:rPr>
          <w:b/>
          <w:bCs/>
        </w:rPr>
        <w:t xml:space="preserve">Definition 6 (Error Independence). </w:t>
      </w:r>
      <w:r>
        <w:t xml:space="preserve">Models exhibit error independence on query q if: </w:t>
      </w:r>
      <w:proofErr w:type="gramStart"/>
      <w:r>
        <w:t>P(</w:t>
      </w:r>
      <w:proofErr w:type="gramEnd"/>
      <w:r>
        <w:t xml:space="preserve">Hᵢ ∧ Hⱼ | q) = </w:t>
      </w:r>
      <w:proofErr w:type="gramStart"/>
      <w:r>
        <w:t>P(</w:t>
      </w:r>
      <w:proofErr w:type="gramEnd"/>
      <w:r>
        <w:t xml:space="preserve">Hᵢ | </w:t>
      </w:r>
      <w:proofErr w:type="gramStart"/>
      <w:r>
        <w:t>q)·P(</w:t>
      </w:r>
      <w:proofErr w:type="gramEnd"/>
      <w:r>
        <w:t>Hⱼ | q).</w:t>
      </w:r>
    </w:p>
    <w:p w14:paraId="621C967B" w14:textId="77777777" w:rsidR="00786263" w:rsidRDefault="0034197B">
      <w:pPr>
        <w:spacing w:after="200" w:line="360" w:lineRule="auto"/>
      </w:pPr>
      <w:r>
        <w:rPr>
          <w:b/>
          <w:bCs/>
        </w:rPr>
        <w:t xml:space="preserve">Definition 7 (Error Decorrelation). </w:t>
      </w:r>
      <w:r>
        <w:t xml:space="preserve">Errors are decorrelated if hallucinating models produce responses that disagree with each other: </w:t>
      </w:r>
      <w:proofErr w:type="gramStart"/>
      <w:r>
        <w:t>E[sim(</w:t>
      </w:r>
      <w:proofErr w:type="gramEnd"/>
      <w:r>
        <w:t xml:space="preserve">rᵢ, rⱼ) | Hᵢ ∧ Hⱼ] &lt; </w:t>
      </w:r>
      <w:proofErr w:type="gramStart"/>
      <w:r>
        <w:t>E[sim(</w:t>
      </w:r>
      <w:proofErr w:type="gramEnd"/>
      <w:r>
        <w:t>rᵢ, rⱼ) | ¬Hᵢ ∧ ¬Hⱼ].</w:t>
      </w:r>
    </w:p>
    <w:p w14:paraId="621C967C" w14:textId="77777777" w:rsidR="00786263" w:rsidRDefault="0034197B">
      <w:pPr>
        <w:spacing w:after="200" w:line="360" w:lineRule="auto"/>
      </w:pPr>
      <w:r>
        <w:rPr>
          <w:b/>
          <w:bCs/>
        </w:rPr>
        <w:t xml:space="preserve">Theorem 1 (Informal Reliability Bound Under Approximate Independence). </w:t>
      </w:r>
      <w:r>
        <w:rPr>
          <w:i/>
          <w:iCs/>
        </w:rPr>
        <w:t xml:space="preserve">Let </w:t>
      </w:r>
      <w:proofErr w:type="spellStart"/>
      <w:r>
        <w:rPr>
          <w:i/>
          <w:iCs/>
        </w:rPr>
        <w:t>M</w:t>
      </w:r>
      <w:proofErr w:type="spellEnd"/>
      <w:r>
        <w:rPr>
          <w:i/>
          <w:iCs/>
        </w:rPr>
        <w:t xml:space="preserve"> be an ensemble satisfying approximate error independence and decorrelation. Let η̄ = maxᵢ η. Then for any query q, the probability that all models produce correct responses increases monotonically with σ(q). Informally: </w:t>
      </w:r>
      <w:proofErr w:type="gramStart"/>
      <w:r>
        <w:rPr>
          <w:i/>
          <w:iCs/>
        </w:rPr>
        <w:t>P(</w:t>
      </w:r>
      <w:proofErr w:type="gramEnd"/>
      <w:r>
        <w:rPr>
          <w:i/>
          <w:iCs/>
        </w:rPr>
        <w:t>all correct | q) ≥ σ(q)^(1/η̄).</w:t>
      </w:r>
    </w:p>
    <w:p w14:paraId="621C967D" w14:textId="77777777" w:rsidR="00786263" w:rsidRDefault="0034197B">
      <w:pPr>
        <w:spacing w:after="200" w:line="360" w:lineRule="auto"/>
      </w:pPr>
      <w:r>
        <w:rPr>
          <w:b/>
          <w:bCs/>
        </w:rPr>
        <w:t xml:space="preserve">Remark. </w:t>
      </w:r>
      <w:r>
        <w:t>This bound provides an intuitive characterisation rather than a strict inequality. The independence assumption is violated in our data (φ = 0.49–0.55), meaning the formal bound is looser than the idealised case. The bound’s primary value is motivational: it formalises the intuition that high consensus should predict reliability, confirmed empirically in the main text.</w:t>
      </w:r>
    </w:p>
    <w:p w14:paraId="621C967E" w14:textId="77777777" w:rsidR="00786263" w:rsidRDefault="0034197B">
      <w:pPr>
        <w:spacing w:before="240" w:after="120" w:line="360" w:lineRule="auto"/>
      </w:pPr>
      <w:r>
        <w:rPr>
          <w:b/>
          <w:bCs/>
        </w:rPr>
        <w:t>When consensus fails</w:t>
      </w:r>
    </w:p>
    <w:p w14:paraId="621C967F" w14:textId="77777777" w:rsidR="00786263" w:rsidRDefault="0034197B">
      <w:pPr>
        <w:spacing w:after="200" w:line="360" w:lineRule="auto"/>
      </w:pPr>
      <w:r>
        <w:t xml:space="preserve">Three conditions can cause consensus-based prediction to fail. </w:t>
      </w:r>
      <w:r>
        <w:rPr>
          <w:b/>
          <w:bCs/>
        </w:rPr>
        <w:t xml:space="preserve">Correlated errors: </w:t>
      </w:r>
      <w:r>
        <w:t xml:space="preserve">models sharing training data may hallucinate identically, producing high consensus that reflects shared blindness rather than correctness. </w:t>
      </w:r>
      <w:r>
        <w:rPr>
          <w:b/>
          <w:bCs/>
        </w:rPr>
        <w:t xml:space="preserve">Systematic gaps: </w:t>
      </w:r>
      <w:r>
        <w:t xml:space="preserve">if all training corpora lack information about a topic, all models will be uncertain or wrong. </w:t>
      </w:r>
      <w:r>
        <w:rPr>
          <w:b/>
          <w:bCs/>
        </w:rPr>
        <w:t xml:space="preserve">Adversarial queries: </w:t>
      </w:r>
      <w:r>
        <w:t xml:space="preserve">queries designed to exploit </w:t>
      </w:r>
      <w:r>
        <w:lastRenderedPageBreak/>
        <w:t>known failure modes may induce correlated hallucinations. These define the scope boundary of EFT. The shared blindness floor of 5.8% quantifies this limit empirically.</w:t>
      </w:r>
    </w:p>
    <w:p w14:paraId="621C9680" w14:textId="77777777" w:rsidR="00786263" w:rsidRDefault="0034197B">
      <w:pPr>
        <w:spacing w:before="240" w:after="120" w:line="360" w:lineRule="auto"/>
      </w:pPr>
      <w:r>
        <w:rPr>
          <w:b/>
          <w:bCs/>
        </w:rPr>
        <w:t>Consensus-gated commitment</w:t>
      </w:r>
    </w:p>
    <w:p w14:paraId="621C9681" w14:textId="77777777" w:rsidR="00786263" w:rsidRDefault="0034197B">
      <w:pPr>
        <w:spacing w:after="200" w:line="360" w:lineRule="auto"/>
      </w:pPr>
      <w:r>
        <w:rPr>
          <w:b/>
          <w:bCs/>
        </w:rPr>
        <w:t xml:space="preserve">Definition 8 (Consensus-Gated Commitment). </w:t>
      </w:r>
      <w:r>
        <w:t>A system implements consensus-gated commitment if assertion is permitted only when σ(q) ≥ θ. This creates a tiered decision rule: σ ≥ θ(high) permits committed assertion; θ(low) ≤ σ &lt; θ(high) requires provisional framing; σ &lt; θ(low) requires abstention or human review.</w:t>
      </w:r>
    </w:p>
    <w:p w14:paraId="621C9682" w14:textId="77777777" w:rsidR="00786263" w:rsidRDefault="0034197B">
      <w:r>
        <w:br w:type="page"/>
      </w:r>
    </w:p>
    <w:p w14:paraId="621C9683" w14:textId="77777777" w:rsidR="00786263" w:rsidRDefault="0034197B">
      <w:pPr>
        <w:spacing w:before="360" w:after="200" w:line="360" w:lineRule="auto"/>
      </w:pPr>
      <w:r>
        <w:rPr>
          <w:b/>
          <w:bCs/>
          <w:sz w:val="28"/>
          <w:szCs w:val="28"/>
        </w:rPr>
        <w:lastRenderedPageBreak/>
        <w:t>Supplementary Note 2: Proof Sketch for Theorem 1</w:t>
      </w:r>
    </w:p>
    <w:p w14:paraId="621C9684" w14:textId="77777777" w:rsidR="00786263" w:rsidRDefault="0034197B">
      <w:pPr>
        <w:spacing w:after="200" w:line="360" w:lineRule="auto"/>
      </w:pPr>
      <w:r>
        <w:rPr>
          <w:b/>
          <w:bCs/>
        </w:rPr>
        <w:t xml:space="preserve">Note: </w:t>
      </w:r>
      <w:r>
        <w:t>This provides an informal argument under idealised conditions. The formal bound relies on independence and decorrelation assumptions that are empirically violated (φ = 0.49–0.55; ρ = 1.50).</w:t>
      </w:r>
    </w:p>
    <w:p w14:paraId="621C9685" w14:textId="77777777" w:rsidR="00786263" w:rsidRDefault="0034197B">
      <w:pPr>
        <w:spacing w:after="200" w:line="360" w:lineRule="auto"/>
      </w:pPr>
      <w:r>
        <w:t>Let Cᵢ denote the event that model Mᵢ produces a correct response, and Hᵢ = ¬Cᵢ the event of hallucination.</w:t>
      </w:r>
    </w:p>
    <w:p w14:paraId="621C9686" w14:textId="77777777" w:rsidR="00786263" w:rsidRDefault="0034197B">
      <w:pPr>
        <w:spacing w:after="200" w:line="360" w:lineRule="auto"/>
      </w:pPr>
      <w:r>
        <w:rPr>
          <w:b/>
          <w:bCs/>
        </w:rPr>
        <w:t xml:space="preserve">Step 1 (Independence bound). </w:t>
      </w:r>
      <w:r>
        <w:t xml:space="preserve">Under error independence: </w:t>
      </w:r>
      <w:proofErr w:type="gramStart"/>
      <w:r>
        <w:t>P(</w:t>
      </w:r>
      <w:proofErr w:type="gramEnd"/>
      <w:r>
        <w:t>⋀ᵢ Hᵢ) = ∏ᵢ P(Hᵢ) ≤ η̄ⁿ.</w:t>
      </w:r>
    </w:p>
    <w:p w14:paraId="621C9687" w14:textId="77777777" w:rsidR="00786263" w:rsidRDefault="0034197B">
      <w:pPr>
        <w:spacing w:after="200" w:line="360" w:lineRule="auto"/>
      </w:pPr>
      <w:r>
        <w:rPr>
          <w:b/>
          <w:bCs/>
        </w:rPr>
        <w:t xml:space="preserve">Step 2 (Decorrelation structure). </w:t>
      </w:r>
      <w:r>
        <w:t>Under error decorrelation, correct responses are more similar than incorrect ones. Let π_C denote the fraction of models producing correct responses. We have: σ(q) ≤ π_C² + (1 − π_</w:t>
      </w:r>
      <w:proofErr w:type="gramStart"/>
      <w:r>
        <w:t>C)²</w:t>
      </w:r>
      <w:proofErr w:type="gramEnd"/>
      <w:r>
        <w:t>·δ, where δ &lt; 1 is the expected similarity among hallucinations.</w:t>
      </w:r>
    </w:p>
    <w:p w14:paraId="621C9688" w14:textId="77777777" w:rsidR="00786263" w:rsidRDefault="0034197B">
      <w:pPr>
        <w:spacing w:after="200" w:line="360" w:lineRule="auto"/>
      </w:pPr>
      <w:r>
        <w:rPr>
          <w:b/>
          <w:bCs/>
        </w:rPr>
        <w:t xml:space="preserve">Step 3 (Consensus implies correctness). </w:t>
      </w:r>
      <w:r>
        <w:t>For high σ, this implies high π_C. The informal claim is that σ ≥ 1 − ε implies π_C ≥ 1 − O(√ε). This step is most heuristic: we do not provide a tight bound on the constant in O(√ε).</w:t>
      </w:r>
    </w:p>
    <w:p w14:paraId="621C9689" w14:textId="77777777" w:rsidR="00786263" w:rsidRDefault="0034197B">
      <w:pPr>
        <w:spacing w:after="200" w:line="360" w:lineRule="auto"/>
      </w:pPr>
      <w:r>
        <w:rPr>
          <w:b/>
          <w:bCs/>
        </w:rPr>
        <w:t xml:space="preserve">Step 4 (Reliability bound). </w:t>
      </w:r>
      <w:r>
        <w:t xml:space="preserve">Combining Steps 1–3: </w:t>
      </w:r>
      <w:proofErr w:type="gramStart"/>
      <w:r>
        <w:t>P(</w:t>
      </w:r>
      <w:proofErr w:type="gramEnd"/>
      <w:r>
        <w:t xml:space="preserve">⋀ᵢ Cᵢ) = ∏ᵢ (1 − P(Hᵢ)) ≥ (1 − </w:t>
      </w:r>
      <w:proofErr w:type="gramStart"/>
      <w:r>
        <w:t>η̄)^</w:t>
      </w:r>
      <w:proofErr w:type="gramEnd"/>
      <w:r>
        <w:t>(n(1−π_C)) ≥ σ(q)^(1/η̄).</w:t>
      </w:r>
    </w:p>
    <w:p w14:paraId="621C968A" w14:textId="77777777" w:rsidR="00786263" w:rsidRDefault="0034197B">
      <w:pPr>
        <w:spacing w:after="200" w:line="360" w:lineRule="auto"/>
      </w:pPr>
      <w:r>
        <w:rPr>
          <w:b/>
          <w:bCs/>
        </w:rPr>
        <w:t xml:space="preserve">Empirical validation. </w:t>
      </w:r>
      <w:r>
        <w:t>While the formal bound is approximate, the empirical relationship it predicts—monotonic increase in reliability with σ—is strongly confirmed (Table 1 in main text: hallucination rate decreases from 50.1% at low σ to 5.8% at σ = 1.0). Deriving tighter bounds under explicit models of partial dependence is an important direction for future work.</w:t>
      </w:r>
    </w:p>
    <w:p w14:paraId="621C968B" w14:textId="77777777" w:rsidR="00786263" w:rsidRDefault="0034197B">
      <w:r>
        <w:br w:type="page"/>
      </w:r>
    </w:p>
    <w:p w14:paraId="621C968C" w14:textId="77777777" w:rsidR="00786263" w:rsidRDefault="0034197B">
      <w:pPr>
        <w:spacing w:before="360" w:after="200" w:line="360" w:lineRule="auto"/>
      </w:pPr>
      <w:r>
        <w:rPr>
          <w:b/>
          <w:bCs/>
          <w:sz w:val="28"/>
          <w:szCs w:val="28"/>
        </w:rPr>
        <w:lastRenderedPageBreak/>
        <w:t>Supplementary Note 3: Extended Related Work</w:t>
      </w:r>
    </w:p>
    <w:p w14:paraId="621C968D" w14:textId="77777777" w:rsidR="00786263" w:rsidRDefault="0034197B">
      <w:pPr>
        <w:spacing w:before="240" w:after="120" w:line="360" w:lineRule="auto"/>
      </w:pPr>
      <w:r>
        <w:rPr>
          <w:b/>
          <w:bCs/>
        </w:rPr>
        <w:t>Uncertainty representation and epistemic reasoning</w:t>
      </w:r>
    </w:p>
    <w:p w14:paraId="621C968E" w14:textId="77777777" w:rsidR="00786263" w:rsidRDefault="0034197B">
      <w:pPr>
        <w:spacing w:after="200" w:line="360" w:lineRule="auto"/>
      </w:pPr>
      <w:r>
        <w:t>Uncertainty has long been central to AI, with foundational work spanning probabilistic graphical models, Bayesian inference, and decision theory. Recent work on uncertainty in neural networks has explored Bayesian deep learning, ensemble methods, and predictive entropy as proxies for epistemic uncertainty. While these provide insights into model confidence, they operate at the level of token probabilities and do not directly address how uncertainty should be enforced in downstream systems. EFT differs by tr</w:t>
      </w:r>
      <w:r>
        <w:t>eating epistemic state as an explicit, discrete system-level variable.</w:t>
      </w:r>
    </w:p>
    <w:p w14:paraId="621C968F" w14:textId="77777777" w:rsidR="00786263" w:rsidRDefault="0034197B">
      <w:pPr>
        <w:spacing w:before="240" w:after="120" w:line="360" w:lineRule="auto"/>
      </w:pPr>
      <w:r>
        <w:rPr>
          <w:b/>
          <w:bCs/>
        </w:rPr>
        <w:t>Hallucination detection methods</w:t>
      </w:r>
    </w:p>
    <w:p w14:paraId="621C9690" w14:textId="77777777" w:rsidR="00786263" w:rsidRDefault="0034197B">
      <w:pPr>
        <w:spacing w:after="200" w:line="360" w:lineRule="auto"/>
      </w:pPr>
      <w:proofErr w:type="spellStart"/>
      <w:r>
        <w:t>SelfCheckGPT</w:t>
      </w:r>
      <w:proofErr w:type="spellEnd"/>
      <w:r>
        <w:t xml:space="preserve"> detects hallucinations by sampling multiple responses from a single model and measuring consistency via Jaccard similarity or embedding cosine distance. Semantic entropy detects hallucinations by measuring meaning-level consistency across sampled outputs. Both operate within a single model, inheriting systematic biases. Model self-reported confidence elicits uncertainty through prompting or calibration. EFT complements these by measuring cross-model consensus, which captures query-level epistemic propertie</w:t>
      </w:r>
      <w:r>
        <w:t>s that single-model methods cannot access.</w:t>
      </w:r>
    </w:p>
    <w:p w14:paraId="621C9691" w14:textId="77777777" w:rsidR="00786263" w:rsidRDefault="0034197B">
      <w:pPr>
        <w:spacing w:before="240" w:after="120" w:line="360" w:lineRule="auto"/>
      </w:pPr>
      <w:r>
        <w:rPr>
          <w:b/>
          <w:bCs/>
        </w:rPr>
        <w:t>Ensemble methods and consensus</w:t>
      </w:r>
    </w:p>
    <w:p w14:paraId="621C9692" w14:textId="77777777" w:rsidR="00786263" w:rsidRDefault="0034197B">
      <w:pPr>
        <w:spacing w:after="200" w:line="360" w:lineRule="auto"/>
      </w:pPr>
      <w:r>
        <w:t>Model ensembles and multi-agent frameworks improve robustness through agreement among multiple instances. Techniques including majority voting, debate-based prompting, and multi-LLM collaboration for knowledge gap identification leverage agreement to approximate confidence. EFT builds on ensemble intuitions but formalises consensus as σ, a continuous semantic similarity measure rather than a discrete vote. Critically, EFT does not assume consensus implies correctness—consensus informs whether epistemic comm</w:t>
      </w:r>
      <w:r>
        <w:t>itment is permitted; it does not guarantee accuracy.</w:t>
      </w:r>
    </w:p>
    <w:p w14:paraId="621C9693" w14:textId="77777777" w:rsidR="00786263" w:rsidRDefault="0034197B">
      <w:pPr>
        <w:spacing w:before="240" w:after="120" w:line="360" w:lineRule="auto"/>
      </w:pPr>
      <w:r>
        <w:rPr>
          <w:b/>
          <w:bCs/>
        </w:rPr>
        <w:t>Clinical AI deployment and the validation gap</w:t>
      </w:r>
    </w:p>
    <w:p w14:paraId="621C9694" w14:textId="77777777" w:rsidR="00786263" w:rsidRDefault="0034197B">
      <w:pPr>
        <w:spacing w:after="200" w:line="360" w:lineRule="auto"/>
      </w:pPr>
      <w:proofErr w:type="spellStart"/>
      <w:r>
        <w:lastRenderedPageBreak/>
        <w:t>Gallifant</w:t>
      </w:r>
      <w:proofErr w:type="spellEnd"/>
      <w:r>
        <w:t xml:space="preserve"> et al. provide a comprehensive practitioner account of clinical AI deployment, describing five deployment burdens. They report that validation must function as a perpetual service because monthly LLM API updates continuously alter model behaviour. EFT provides a predictive signal that gates commitment before unreliable outputs propagate into clinical workflows, complementing post-hoc detection infrastructure.</w:t>
      </w:r>
    </w:p>
    <w:p w14:paraId="621C9695" w14:textId="77777777" w:rsidR="00786263" w:rsidRDefault="0034197B">
      <w:r>
        <w:br w:type="page"/>
      </w:r>
    </w:p>
    <w:p w14:paraId="621C9696" w14:textId="77777777" w:rsidR="00786263" w:rsidRDefault="0034197B">
      <w:pPr>
        <w:spacing w:before="360" w:after="200" w:line="360" w:lineRule="auto"/>
      </w:pPr>
      <w:r>
        <w:rPr>
          <w:b/>
          <w:bCs/>
          <w:sz w:val="28"/>
          <w:szCs w:val="28"/>
        </w:rPr>
        <w:lastRenderedPageBreak/>
        <w:t>Supplementary Note 4: Extended Future Directions</w:t>
      </w:r>
    </w:p>
    <w:p w14:paraId="621C9697" w14:textId="77777777" w:rsidR="00786263" w:rsidRDefault="0034197B">
      <w:pPr>
        <w:spacing w:after="200" w:line="360" w:lineRule="auto"/>
      </w:pPr>
      <w:r>
        <w:t>Our findings suggest several research directions:</w:t>
      </w:r>
    </w:p>
    <w:p w14:paraId="621C9698" w14:textId="77777777" w:rsidR="00786263" w:rsidRDefault="0034197B">
      <w:pPr>
        <w:spacing w:after="200" w:line="360" w:lineRule="auto"/>
      </w:pPr>
      <w:r>
        <w:rPr>
          <w:b/>
          <w:bCs/>
        </w:rPr>
        <w:t xml:space="preserve">Replication across benchmarks. </w:t>
      </w:r>
      <w:r>
        <w:t xml:space="preserve">Future work should evaluate σ on </w:t>
      </w:r>
      <w:proofErr w:type="spellStart"/>
      <w:r>
        <w:t>TruthfulQA</w:t>
      </w:r>
      <w:proofErr w:type="spellEnd"/>
      <w:r>
        <w:t xml:space="preserve">, </w:t>
      </w:r>
      <w:proofErr w:type="spellStart"/>
      <w:r>
        <w:t>HaluEval</w:t>
      </w:r>
      <w:proofErr w:type="spellEnd"/>
      <w:r>
        <w:t>, MMLU, and domain-specific benchmarks. The key test is whether σ generalises across tasks and evaluation settings.</w:t>
      </w:r>
    </w:p>
    <w:p w14:paraId="621C9699" w14:textId="77777777" w:rsidR="00786263" w:rsidRDefault="0034197B">
      <w:pPr>
        <w:spacing w:after="200" w:line="360" w:lineRule="auto"/>
      </w:pPr>
      <w:r>
        <w:rPr>
          <w:b/>
          <w:bCs/>
        </w:rPr>
        <w:t xml:space="preserve">Theoretical modelling of correlated failures. </w:t>
      </w:r>
      <w:r>
        <w:t>Future work can formally model hallucination as a mixture of binomials conditioned on σ, derive bounds on majority-vote reliability under correlated sampling, and connect σ to attention entropy or token-level uncertainty measures.</w:t>
      </w:r>
    </w:p>
    <w:p w14:paraId="621C969A" w14:textId="77777777" w:rsidR="00786263" w:rsidRDefault="0034197B">
      <w:pPr>
        <w:spacing w:after="200" w:line="360" w:lineRule="auto"/>
      </w:pPr>
      <w:r>
        <w:rPr>
          <w:b/>
          <w:bCs/>
        </w:rPr>
        <w:t xml:space="preserve">Model diversity and breaking shared blindness. </w:t>
      </w:r>
      <w:r>
        <w:t>Future research should test whether architectural diversity reduces the σ = 1.0 failure floor, whether retrieval-augmented models reduce shared blindness, and whether training data diversification reduces correlated hallucination.</w:t>
      </w:r>
    </w:p>
    <w:p w14:paraId="621C969B" w14:textId="77777777" w:rsidR="00786263" w:rsidRDefault="0034197B">
      <w:pPr>
        <w:spacing w:after="200" w:line="360" w:lineRule="auto"/>
      </w:pPr>
      <w:r>
        <w:rPr>
          <w:b/>
          <w:bCs/>
        </w:rPr>
        <w:t xml:space="preserve">Active field expansion. </w:t>
      </w:r>
      <w:r>
        <w:t>Low σ often indicates epistemic ambiguity. Future systems can detect low σ, ask clarifying questions, and recompute σ, introducing an adaptive loop connecting EFT to human–AI interaction design.</w:t>
      </w:r>
    </w:p>
    <w:p w14:paraId="621C969C" w14:textId="77777777" w:rsidR="00786263" w:rsidRDefault="0034197B">
      <w:pPr>
        <w:spacing w:after="200" w:line="360" w:lineRule="auto"/>
      </w:pPr>
      <w:r>
        <w:rPr>
          <w:b/>
          <w:bCs/>
        </w:rPr>
        <w:t xml:space="preserve">Cross-model transferability of η. </w:t>
      </w:r>
      <w:r>
        <w:t>The multiplicative form P(H) = (1−</w:t>
      </w:r>
      <w:proofErr w:type="gramStart"/>
      <w:r>
        <w:t>σ)·</w:t>
      </w:r>
      <w:proofErr w:type="gramEnd"/>
      <w:r>
        <w:t>η suggests η may be stable within architecture classes. If confirmed, η becomes a measurable reliability coefficient for model evaluation.</w:t>
      </w:r>
    </w:p>
    <w:p w14:paraId="621C969D" w14:textId="77777777" w:rsidR="00786263" w:rsidRDefault="0034197B">
      <w:pPr>
        <w:spacing w:after="200" w:line="360" w:lineRule="auto"/>
      </w:pPr>
      <w:r>
        <w:rPr>
          <w:b/>
          <w:bCs/>
        </w:rPr>
        <w:t xml:space="preserve">Open research template. </w:t>
      </w:r>
      <w:r>
        <w:t>The procedure requires: (1) collecting human-validated hallucination labels; (2) defining a domain-agnostic σ using any suitable embedding model; (3) evaluating AUC discrimination, overdispersion, and calibration; (4) comparing against baselines. All analyses can be replicated with the statistical tests described in the main text.</w:t>
      </w:r>
    </w:p>
    <w:p w14:paraId="621C969E" w14:textId="77777777" w:rsidR="00786263" w:rsidRDefault="0034197B">
      <w:r>
        <w:br w:type="page"/>
      </w:r>
    </w:p>
    <w:p w14:paraId="621C969F" w14:textId="77777777" w:rsidR="00786263" w:rsidRDefault="0034197B">
      <w:pPr>
        <w:spacing w:before="360" w:after="200" w:line="360" w:lineRule="auto"/>
      </w:pPr>
      <w:r>
        <w:rPr>
          <w:b/>
          <w:bCs/>
          <w:sz w:val="28"/>
          <w:szCs w:val="28"/>
        </w:rPr>
        <w:lastRenderedPageBreak/>
        <w:t>Supplementary Tables</w:t>
      </w:r>
    </w:p>
    <w:p w14:paraId="621C96A0" w14:textId="77777777" w:rsidR="00786263" w:rsidRDefault="0034197B">
      <w:pPr>
        <w:spacing w:before="240" w:after="120" w:line="360" w:lineRule="auto"/>
      </w:pPr>
      <w:r>
        <w:rPr>
          <w:b/>
          <w:bCs/>
        </w:rPr>
        <w:t>Supplementary Table 1: Noise coefficients by model and domain</w:t>
      </w:r>
    </w:p>
    <w:tbl>
      <w:tblPr>
        <w:tblW w:w="8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1500"/>
        <w:gridCol w:w="1500"/>
        <w:gridCol w:w="1500"/>
        <w:gridCol w:w="1500"/>
      </w:tblGrid>
      <w:tr w:rsidR="00786263" w14:paraId="621C96A6" w14:textId="77777777">
        <w:tblPrEx>
          <w:tblCellMar>
            <w:top w:w="0" w:type="dxa"/>
            <w:bottom w:w="0" w:type="dxa"/>
          </w:tblCellMar>
        </w:tblPrEx>
        <w:tc>
          <w:tcPr>
            <w:tcW w:w="2000" w:type="dxa"/>
            <w:tcBorders>
              <w:top w:val="single" w:sz="1" w:space="0" w:color="000000"/>
              <w:bottom w:val="single" w:sz="1" w:space="0" w:color="000000"/>
            </w:tcBorders>
            <w:tcMar>
              <w:top w:w="40" w:type="dxa"/>
              <w:left w:w="80" w:type="dxa"/>
              <w:bottom w:w="40" w:type="dxa"/>
              <w:right w:w="80" w:type="dxa"/>
            </w:tcMar>
          </w:tcPr>
          <w:p w14:paraId="621C96A1" w14:textId="77777777" w:rsidR="00786263" w:rsidRDefault="0034197B">
            <w:r>
              <w:rPr>
                <w:b/>
                <w:bCs/>
                <w:sz w:val="20"/>
                <w:szCs w:val="20"/>
              </w:rPr>
              <w:t>Model</w:t>
            </w:r>
          </w:p>
        </w:tc>
        <w:tc>
          <w:tcPr>
            <w:tcW w:w="1500" w:type="dxa"/>
            <w:tcBorders>
              <w:top w:val="single" w:sz="1" w:space="0" w:color="000000"/>
              <w:bottom w:val="single" w:sz="1" w:space="0" w:color="000000"/>
            </w:tcBorders>
            <w:tcMar>
              <w:top w:w="40" w:type="dxa"/>
              <w:left w:w="80" w:type="dxa"/>
              <w:bottom w:w="40" w:type="dxa"/>
              <w:right w:w="80" w:type="dxa"/>
            </w:tcMar>
          </w:tcPr>
          <w:p w14:paraId="621C96A2" w14:textId="77777777" w:rsidR="00786263" w:rsidRDefault="0034197B">
            <w:r>
              <w:rPr>
                <w:b/>
                <w:bCs/>
                <w:sz w:val="20"/>
                <w:szCs w:val="20"/>
              </w:rPr>
              <w:t>η (overall)</w:t>
            </w:r>
          </w:p>
        </w:tc>
        <w:tc>
          <w:tcPr>
            <w:tcW w:w="1500" w:type="dxa"/>
            <w:tcBorders>
              <w:top w:val="single" w:sz="1" w:space="0" w:color="000000"/>
              <w:bottom w:val="single" w:sz="1" w:space="0" w:color="000000"/>
            </w:tcBorders>
            <w:tcMar>
              <w:top w:w="40" w:type="dxa"/>
              <w:left w:w="80" w:type="dxa"/>
              <w:bottom w:w="40" w:type="dxa"/>
              <w:right w:w="80" w:type="dxa"/>
            </w:tcMar>
          </w:tcPr>
          <w:p w14:paraId="621C96A3" w14:textId="77777777" w:rsidR="00786263" w:rsidRDefault="0034197B">
            <w:r>
              <w:rPr>
                <w:b/>
                <w:bCs/>
                <w:sz w:val="20"/>
                <w:szCs w:val="20"/>
              </w:rPr>
              <w:t>η (medical)</w:t>
            </w:r>
          </w:p>
        </w:tc>
        <w:tc>
          <w:tcPr>
            <w:tcW w:w="1500" w:type="dxa"/>
            <w:tcBorders>
              <w:top w:val="single" w:sz="1" w:space="0" w:color="000000"/>
              <w:bottom w:val="single" w:sz="1" w:space="0" w:color="000000"/>
            </w:tcBorders>
            <w:tcMar>
              <w:top w:w="40" w:type="dxa"/>
              <w:left w:w="80" w:type="dxa"/>
              <w:bottom w:w="40" w:type="dxa"/>
              <w:right w:w="80" w:type="dxa"/>
            </w:tcMar>
          </w:tcPr>
          <w:p w14:paraId="621C96A4" w14:textId="77777777" w:rsidR="00786263" w:rsidRDefault="0034197B">
            <w:r>
              <w:rPr>
                <w:b/>
                <w:bCs/>
                <w:sz w:val="20"/>
                <w:szCs w:val="20"/>
              </w:rPr>
              <w:t>η (legal)</w:t>
            </w:r>
          </w:p>
        </w:tc>
        <w:tc>
          <w:tcPr>
            <w:tcW w:w="1500" w:type="dxa"/>
            <w:tcBorders>
              <w:top w:val="single" w:sz="1" w:space="0" w:color="000000"/>
              <w:bottom w:val="single" w:sz="1" w:space="0" w:color="000000"/>
            </w:tcBorders>
            <w:tcMar>
              <w:top w:w="40" w:type="dxa"/>
              <w:left w:w="80" w:type="dxa"/>
              <w:bottom w:w="40" w:type="dxa"/>
              <w:right w:w="80" w:type="dxa"/>
            </w:tcMar>
          </w:tcPr>
          <w:p w14:paraId="621C96A5" w14:textId="77777777" w:rsidR="00786263" w:rsidRDefault="0034197B">
            <w:r>
              <w:rPr>
                <w:b/>
                <w:bCs/>
                <w:sz w:val="20"/>
                <w:szCs w:val="20"/>
              </w:rPr>
              <w:t>η (technical)</w:t>
            </w:r>
          </w:p>
        </w:tc>
      </w:tr>
      <w:tr w:rsidR="00786263" w14:paraId="621C96AC" w14:textId="77777777">
        <w:tblPrEx>
          <w:tblCellMar>
            <w:top w:w="0" w:type="dxa"/>
            <w:bottom w:w="0" w:type="dxa"/>
          </w:tblCellMar>
        </w:tblPrEx>
        <w:tc>
          <w:tcPr>
            <w:tcW w:w="2000" w:type="dxa"/>
            <w:tcMar>
              <w:top w:w="40" w:type="dxa"/>
              <w:left w:w="80" w:type="dxa"/>
              <w:bottom w:w="40" w:type="dxa"/>
              <w:right w:w="80" w:type="dxa"/>
            </w:tcMar>
          </w:tcPr>
          <w:p w14:paraId="621C96A7" w14:textId="77777777" w:rsidR="00786263" w:rsidRDefault="0034197B">
            <w:r>
              <w:rPr>
                <w:sz w:val="20"/>
                <w:szCs w:val="20"/>
              </w:rPr>
              <w:t>Claude-Sonnet</w:t>
            </w:r>
          </w:p>
        </w:tc>
        <w:tc>
          <w:tcPr>
            <w:tcW w:w="1500" w:type="dxa"/>
            <w:tcMar>
              <w:top w:w="40" w:type="dxa"/>
              <w:left w:w="80" w:type="dxa"/>
              <w:bottom w:w="40" w:type="dxa"/>
              <w:right w:w="80" w:type="dxa"/>
            </w:tcMar>
          </w:tcPr>
          <w:p w14:paraId="621C96A8" w14:textId="77777777" w:rsidR="00786263" w:rsidRDefault="0034197B">
            <w:r>
              <w:rPr>
                <w:sz w:val="20"/>
                <w:szCs w:val="20"/>
              </w:rPr>
              <w:t>0.342</w:t>
            </w:r>
          </w:p>
        </w:tc>
        <w:tc>
          <w:tcPr>
            <w:tcW w:w="1500" w:type="dxa"/>
            <w:tcMar>
              <w:top w:w="40" w:type="dxa"/>
              <w:left w:w="80" w:type="dxa"/>
              <w:bottom w:w="40" w:type="dxa"/>
              <w:right w:w="80" w:type="dxa"/>
            </w:tcMar>
          </w:tcPr>
          <w:p w14:paraId="621C96A9" w14:textId="77777777" w:rsidR="00786263" w:rsidRDefault="0034197B">
            <w:r>
              <w:rPr>
                <w:sz w:val="20"/>
                <w:szCs w:val="20"/>
              </w:rPr>
              <w:t>0.339</w:t>
            </w:r>
          </w:p>
        </w:tc>
        <w:tc>
          <w:tcPr>
            <w:tcW w:w="1500" w:type="dxa"/>
            <w:tcMar>
              <w:top w:w="40" w:type="dxa"/>
              <w:left w:w="80" w:type="dxa"/>
              <w:bottom w:w="40" w:type="dxa"/>
              <w:right w:w="80" w:type="dxa"/>
            </w:tcMar>
          </w:tcPr>
          <w:p w14:paraId="621C96AA" w14:textId="77777777" w:rsidR="00786263" w:rsidRDefault="0034197B">
            <w:r>
              <w:rPr>
                <w:sz w:val="20"/>
                <w:szCs w:val="20"/>
              </w:rPr>
              <w:t>0.381</w:t>
            </w:r>
          </w:p>
        </w:tc>
        <w:tc>
          <w:tcPr>
            <w:tcW w:w="1500" w:type="dxa"/>
            <w:tcMar>
              <w:top w:w="40" w:type="dxa"/>
              <w:left w:w="80" w:type="dxa"/>
              <w:bottom w:w="40" w:type="dxa"/>
              <w:right w:w="80" w:type="dxa"/>
            </w:tcMar>
          </w:tcPr>
          <w:p w14:paraId="621C96AB" w14:textId="77777777" w:rsidR="00786263" w:rsidRDefault="0034197B">
            <w:r>
              <w:rPr>
                <w:sz w:val="20"/>
                <w:szCs w:val="20"/>
              </w:rPr>
              <w:t>0.306</w:t>
            </w:r>
          </w:p>
        </w:tc>
      </w:tr>
      <w:tr w:rsidR="00786263" w14:paraId="621C96B2" w14:textId="77777777">
        <w:tblPrEx>
          <w:tblCellMar>
            <w:top w:w="0" w:type="dxa"/>
            <w:bottom w:w="0" w:type="dxa"/>
          </w:tblCellMar>
        </w:tblPrEx>
        <w:tc>
          <w:tcPr>
            <w:tcW w:w="2000" w:type="dxa"/>
            <w:tcMar>
              <w:top w:w="40" w:type="dxa"/>
              <w:left w:w="80" w:type="dxa"/>
              <w:bottom w:w="40" w:type="dxa"/>
              <w:right w:w="80" w:type="dxa"/>
            </w:tcMar>
          </w:tcPr>
          <w:p w14:paraId="621C96AD" w14:textId="77777777" w:rsidR="00786263" w:rsidRDefault="0034197B">
            <w:r>
              <w:rPr>
                <w:sz w:val="20"/>
                <w:szCs w:val="20"/>
              </w:rPr>
              <w:t>DeepSeek</w:t>
            </w:r>
          </w:p>
        </w:tc>
        <w:tc>
          <w:tcPr>
            <w:tcW w:w="1500" w:type="dxa"/>
            <w:tcMar>
              <w:top w:w="40" w:type="dxa"/>
              <w:left w:w="80" w:type="dxa"/>
              <w:bottom w:w="40" w:type="dxa"/>
              <w:right w:w="80" w:type="dxa"/>
            </w:tcMar>
          </w:tcPr>
          <w:p w14:paraId="621C96AE" w14:textId="77777777" w:rsidR="00786263" w:rsidRDefault="0034197B">
            <w:r>
              <w:rPr>
                <w:sz w:val="20"/>
                <w:szCs w:val="20"/>
              </w:rPr>
              <w:t>0.399</w:t>
            </w:r>
          </w:p>
        </w:tc>
        <w:tc>
          <w:tcPr>
            <w:tcW w:w="1500" w:type="dxa"/>
            <w:tcMar>
              <w:top w:w="40" w:type="dxa"/>
              <w:left w:w="80" w:type="dxa"/>
              <w:bottom w:w="40" w:type="dxa"/>
              <w:right w:w="80" w:type="dxa"/>
            </w:tcMar>
          </w:tcPr>
          <w:p w14:paraId="621C96AF" w14:textId="77777777" w:rsidR="00786263" w:rsidRDefault="0034197B">
            <w:r>
              <w:rPr>
                <w:sz w:val="20"/>
                <w:szCs w:val="20"/>
              </w:rPr>
              <w:t>0.381</w:t>
            </w:r>
          </w:p>
        </w:tc>
        <w:tc>
          <w:tcPr>
            <w:tcW w:w="1500" w:type="dxa"/>
            <w:tcMar>
              <w:top w:w="40" w:type="dxa"/>
              <w:left w:w="80" w:type="dxa"/>
              <w:bottom w:w="40" w:type="dxa"/>
              <w:right w:w="80" w:type="dxa"/>
            </w:tcMar>
          </w:tcPr>
          <w:p w14:paraId="621C96B0" w14:textId="77777777" w:rsidR="00786263" w:rsidRDefault="0034197B">
            <w:r>
              <w:rPr>
                <w:sz w:val="20"/>
                <w:szCs w:val="20"/>
              </w:rPr>
              <w:t>0.426</w:t>
            </w:r>
          </w:p>
        </w:tc>
        <w:tc>
          <w:tcPr>
            <w:tcW w:w="1500" w:type="dxa"/>
            <w:tcMar>
              <w:top w:w="40" w:type="dxa"/>
              <w:left w:w="80" w:type="dxa"/>
              <w:bottom w:w="40" w:type="dxa"/>
              <w:right w:w="80" w:type="dxa"/>
            </w:tcMar>
          </w:tcPr>
          <w:p w14:paraId="621C96B1" w14:textId="77777777" w:rsidR="00786263" w:rsidRDefault="0034197B">
            <w:r>
              <w:rPr>
                <w:sz w:val="20"/>
                <w:szCs w:val="20"/>
              </w:rPr>
              <w:t>0.385</w:t>
            </w:r>
          </w:p>
        </w:tc>
      </w:tr>
      <w:tr w:rsidR="00786263" w14:paraId="621C96B8" w14:textId="77777777">
        <w:tblPrEx>
          <w:tblCellMar>
            <w:top w:w="0" w:type="dxa"/>
            <w:bottom w:w="0" w:type="dxa"/>
          </w:tblCellMar>
        </w:tblPrEx>
        <w:tc>
          <w:tcPr>
            <w:tcW w:w="2000" w:type="dxa"/>
            <w:tcMar>
              <w:top w:w="40" w:type="dxa"/>
              <w:left w:w="80" w:type="dxa"/>
              <w:bottom w:w="40" w:type="dxa"/>
              <w:right w:w="80" w:type="dxa"/>
            </w:tcMar>
          </w:tcPr>
          <w:p w14:paraId="621C96B3" w14:textId="77777777" w:rsidR="00786263" w:rsidRDefault="0034197B">
            <w:r>
              <w:rPr>
                <w:sz w:val="20"/>
                <w:szCs w:val="20"/>
              </w:rPr>
              <w:t>Gemini-Pro</w:t>
            </w:r>
          </w:p>
        </w:tc>
        <w:tc>
          <w:tcPr>
            <w:tcW w:w="1500" w:type="dxa"/>
            <w:tcMar>
              <w:top w:w="40" w:type="dxa"/>
              <w:left w:w="80" w:type="dxa"/>
              <w:bottom w:w="40" w:type="dxa"/>
              <w:right w:w="80" w:type="dxa"/>
            </w:tcMar>
          </w:tcPr>
          <w:p w14:paraId="621C96B4" w14:textId="77777777" w:rsidR="00786263" w:rsidRDefault="0034197B">
            <w:r>
              <w:rPr>
                <w:sz w:val="20"/>
                <w:szCs w:val="20"/>
              </w:rPr>
              <w:t>0.533</w:t>
            </w:r>
          </w:p>
        </w:tc>
        <w:tc>
          <w:tcPr>
            <w:tcW w:w="1500" w:type="dxa"/>
            <w:tcMar>
              <w:top w:w="40" w:type="dxa"/>
              <w:left w:w="80" w:type="dxa"/>
              <w:bottom w:w="40" w:type="dxa"/>
              <w:right w:w="80" w:type="dxa"/>
            </w:tcMar>
          </w:tcPr>
          <w:p w14:paraId="621C96B5" w14:textId="77777777" w:rsidR="00786263" w:rsidRDefault="0034197B">
            <w:r>
              <w:rPr>
                <w:sz w:val="20"/>
                <w:szCs w:val="20"/>
              </w:rPr>
              <w:t>0.447</w:t>
            </w:r>
          </w:p>
        </w:tc>
        <w:tc>
          <w:tcPr>
            <w:tcW w:w="1500" w:type="dxa"/>
            <w:tcMar>
              <w:top w:w="40" w:type="dxa"/>
              <w:left w:w="80" w:type="dxa"/>
              <w:bottom w:w="40" w:type="dxa"/>
              <w:right w:w="80" w:type="dxa"/>
            </w:tcMar>
          </w:tcPr>
          <w:p w14:paraId="621C96B6" w14:textId="77777777" w:rsidR="00786263" w:rsidRDefault="0034197B">
            <w:r>
              <w:rPr>
                <w:sz w:val="20"/>
                <w:szCs w:val="20"/>
              </w:rPr>
              <w:t>0.545</w:t>
            </w:r>
          </w:p>
        </w:tc>
        <w:tc>
          <w:tcPr>
            <w:tcW w:w="1500" w:type="dxa"/>
            <w:tcMar>
              <w:top w:w="40" w:type="dxa"/>
              <w:left w:w="80" w:type="dxa"/>
              <w:bottom w:w="40" w:type="dxa"/>
              <w:right w:w="80" w:type="dxa"/>
            </w:tcMar>
          </w:tcPr>
          <w:p w14:paraId="621C96B7" w14:textId="77777777" w:rsidR="00786263" w:rsidRDefault="0034197B">
            <w:r>
              <w:rPr>
                <w:sz w:val="20"/>
                <w:szCs w:val="20"/>
              </w:rPr>
              <w:t>0.576</w:t>
            </w:r>
          </w:p>
        </w:tc>
      </w:tr>
      <w:tr w:rsidR="00786263" w14:paraId="621C96BE" w14:textId="77777777">
        <w:tblPrEx>
          <w:tblCellMar>
            <w:top w:w="0" w:type="dxa"/>
            <w:bottom w:w="0" w:type="dxa"/>
          </w:tblCellMar>
        </w:tblPrEx>
        <w:tc>
          <w:tcPr>
            <w:tcW w:w="2000" w:type="dxa"/>
            <w:tcBorders>
              <w:bottom w:val="single" w:sz="1" w:space="0" w:color="000000"/>
            </w:tcBorders>
            <w:tcMar>
              <w:top w:w="40" w:type="dxa"/>
              <w:left w:w="80" w:type="dxa"/>
              <w:bottom w:w="40" w:type="dxa"/>
              <w:right w:w="80" w:type="dxa"/>
            </w:tcMar>
          </w:tcPr>
          <w:p w14:paraId="621C96B9" w14:textId="77777777" w:rsidR="00786263" w:rsidRDefault="0034197B">
            <w:r>
              <w:rPr>
                <w:sz w:val="20"/>
                <w:szCs w:val="20"/>
              </w:rPr>
              <w:t>GPT-4o</w:t>
            </w:r>
          </w:p>
        </w:tc>
        <w:tc>
          <w:tcPr>
            <w:tcW w:w="1500" w:type="dxa"/>
            <w:tcBorders>
              <w:bottom w:val="single" w:sz="1" w:space="0" w:color="000000"/>
            </w:tcBorders>
            <w:tcMar>
              <w:top w:w="40" w:type="dxa"/>
              <w:left w:w="80" w:type="dxa"/>
              <w:bottom w:w="40" w:type="dxa"/>
              <w:right w:w="80" w:type="dxa"/>
            </w:tcMar>
          </w:tcPr>
          <w:p w14:paraId="621C96BA" w14:textId="77777777" w:rsidR="00786263" w:rsidRDefault="0034197B">
            <w:r>
              <w:rPr>
                <w:sz w:val="20"/>
                <w:szCs w:val="20"/>
              </w:rPr>
              <w:t>0.565</w:t>
            </w:r>
          </w:p>
        </w:tc>
        <w:tc>
          <w:tcPr>
            <w:tcW w:w="1500" w:type="dxa"/>
            <w:tcBorders>
              <w:bottom w:val="single" w:sz="1" w:space="0" w:color="000000"/>
            </w:tcBorders>
            <w:tcMar>
              <w:top w:w="40" w:type="dxa"/>
              <w:left w:w="80" w:type="dxa"/>
              <w:bottom w:w="40" w:type="dxa"/>
              <w:right w:w="80" w:type="dxa"/>
            </w:tcMar>
          </w:tcPr>
          <w:p w14:paraId="621C96BB" w14:textId="77777777" w:rsidR="00786263" w:rsidRDefault="0034197B">
            <w:r>
              <w:rPr>
                <w:sz w:val="20"/>
                <w:szCs w:val="20"/>
              </w:rPr>
              <w:t>0.506</w:t>
            </w:r>
          </w:p>
        </w:tc>
        <w:tc>
          <w:tcPr>
            <w:tcW w:w="1500" w:type="dxa"/>
            <w:tcBorders>
              <w:bottom w:val="single" w:sz="1" w:space="0" w:color="000000"/>
            </w:tcBorders>
            <w:tcMar>
              <w:top w:w="40" w:type="dxa"/>
              <w:left w:w="80" w:type="dxa"/>
              <w:bottom w:w="40" w:type="dxa"/>
              <w:right w:w="80" w:type="dxa"/>
            </w:tcMar>
          </w:tcPr>
          <w:p w14:paraId="621C96BC" w14:textId="77777777" w:rsidR="00786263" w:rsidRDefault="0034197B">
            <w:r>
              <w:rPr>
                <w:sz w:val="20"/>
                <w:szCs w:val="20"/>
              </w:rPr>
              <w:t>0.590</w:t>
            </w:r>
          </w:p>
        </w:tc>
        <w:tc>
          <w:tcPr>
            <w:tcW w:w="1500" w:type="dxa"/>
            <w:tcBorders>
              <w:bottom w:val="single" w:sz="1" w:space="0" w:color="000000"/>
            </w:tcBorders>
            <w:tcMar>
              <w:top w:w="40" w:type="dxa"/>
              <w:left w:w="80" w:type="dxa"/>
              <w:bottom w:w="40" w:type="dxa"/>
              <w:right w:w="80" w:type="dxa"/>
            </w:tcMar>
          </w:tcPr>
          <w:p w14:paraId="621C96BD" w14:textId="77777777" w:rsidR="00786263" w:rsidRDefault="0034197B">
            <w:r>
              <w:rPr>
                <w:sz w:val="20"/>
                <w:szCs w:val="20"/>
              </w:rPr>
              <w:t>0.580</w:t>
            </w:r>
          </w:p>
        </w:tc>
      </w:tr>
    </w:tbl>
    <w:p w14:paraId="621C96BF" w14:textId="77777777" w:rsidR="00786263" w:rsidRDefault="0034197B">
      <w:pPr>
        <w:spacing w:before="240" w:after="120" w:line="360" w:lineRule="auto"/>
      </w:pPr>
      <w:r>
        <w:rPr>
          <w:b/>
          <w:bCs/>
        </w:rPr>
        <w:t>Supplementary Table 2: Performance and consensus by turn</w:t>
      </w:r>
    </w:p>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1500"/>
        <w:gridCol w:w="1500"/>
        <w:gridCol w:w="1500"/>
        <w:gridCol w:w="1500"/>
      </w:tblGrid>
      <w:tr w:rsidR="00786263" w14:paraId="621C96C5" w14:textId="77777777">
        <w:tblPrEx>
          <w:tblCellMar>
            <w:top w:w="0" w:type="dxa"/>
            <w:bottom w:w="0" w:type="dxa"/>
          </w:tblCellMar>
        </w:tblPrEx>
        <w:tc>
          <w:tcPr>
            <w:tcW w:w="1200" w:type="dxa"/>
            <w:tcBorders>
              <w:top w:val="single" w:sz="1" w:space="0" w:color="000000"/>
              <w:bottom w:val="single" w:sz="1" w:space="0" w:color="000000"/>
            </w:tcBorders>
            <w:tcMar>
              <w:top w:w="40" w:type="dxa"/>
              <w:left w:w="80" w:type="dxa"/>
              <w:bottom w:w="40" w:type="dxa"/>
              <w:right w:w="80" w:type="dxa"/>
            </w:tcMar>
          </w:tcPr>
          <w:p w14:paraId="621C96C0" w14:textId="77777777" w:rsidR="00786263" w:rsidRDefault="0034197B">
            <w:r>
              <w:rPr>
                <w:b/>
                <w:bCs/>
                <w:sz w:val="20"/>
                <w:szCs w:val="20"/>
              </w:rPr>
              <w:t>Turn</w:t>
            </w:r>
          </w:p>
        </w:tc>
        <w:tc>
          <w:tcPr>
            <w:tcW w:w="1500" w:type="dxa"/>
            <w:tcBorders>
              <w:top w:val="single" w:sz="1" w:space="0" w:color="000000"/>
              <w:bottom w:val="single" w:sz="1" w:space="0" w:color="000000"/>
            </w:tcBorders>
            <w:tcMar>
              <w:top w:w="40" w:type="dxa"/>
              <w:left w:w="80" w:type="dxa"/>
              <w:bottom w:w="40" w:type="dxa"/>
              <w:right w:w="80" w:type="dxa"/>
            </w:tcMar>
          </w:tcPr>
          <w:p w14:paraId="621C96C1" w14:textId="77777777" w:rsidR="00786263" w:rsidRDefault="0034197B">
            <w:r>
              <w:rPr>
                <w:b/>
                <w:bCs/>
                <w:sz w:val="20"/>
                <w:szCs w:val="20"/>
              </w:rPr>
              <w:t>Correct</w:t>
            </w:r>
          </w:p>
        </w:tc>
        <w:tc>
          <w:tcPr>
            <w:tcW w:w="1500" w:type="dxa"/>
            <w:tcBorders>
              <w:top w:val="single" w:sz="1" w:space="0" w:color="000000"/>
              <w:bottom w:val="single" w:sz="1" w:space="0" w:color="000000"/>
            </w:tcBorders>
            <w:tcMar>
              <w:top w:w="40" w:type="dxa"/>
              <w:left w:w="80" w:type="dxa"/>
              <w:bottom w:w="40" w:type="dxa"/>
              <w:right w:w="80" w:type="dxa"/>
            </w:tcMar>
          </w:tcPr>
          <w:p w14:paraId="621C96C2" w14:textId="77777777" w:rsidR="00786263" w:rsidRDefault="0034197B">
            <w:proofErr w:type="spellStart"/>
            <w:r>
              <w:rPr>
                <w:b/>
                <w:bCs/>
                <w:sz w:val="20"/>
                <w:szCs w:val="20"/>
              </w:rPr>
              <w:t>Halluc</w:t>
            </w:r>
            <w:proofErr w:type="spellEnd"/>
            <w:r>
              <w:rPr>
                <w:b/>
                <w:bCs/>
                <w:sz w:val="20"/>
                <w:szCs w:val="20"/>
              </w:rPr>
              <w:t>.</w:t>
            </w:r>
          </w:p>
        </w:tc>
        <w:tc>
          <w:tcPr>
            <w:tcW w:w="1500" w:type="dxa"/>
            <w:tcBorders>
              <w:top w:val="single" w:sz="1" w:space="0" w:color="000000"/>
              <w:bottom w:val="single" w:sz="1" w:space="0" w:color="000000"/>
            </w:tcBorders>
            <w:tcMar>
              <w:top w:w="40" w:type="dxa"/>
              <w:left w:w="80" w:type="dxa"/>
              <w:bottom w:w="40" w:type="dxa"/>
              <w:right w:w="80" w:type="dxa"/>
            </w:tcMar>
          </w:tcPr>
          <w:p w14:paraId="621C96C3" w14:textId="77777777" w:rsidR="00786263" w:rsidRDefault="0034197B">
            <w:r>
              <w:rPr>
                <w:b/>
                <w:bCs/>
                <w:sz w:val="20"/>
                <w:szCs w:val="20"/>
              </w:rPr>
              <w:t>Abstain</w:t>
            </w:r>
          </w:p>
        </w:tc>
        <w:tc>
          <w:tcPr>
            <w:tcW w:w="1500" w:type="dxa"/>
            <w:tcBorders>
              <w:top w:val="single" w:sz="1" w:space="0" w:color="000000"/>
              <w:bottom w:val="single" w:sz="1" w:space="0" w:color="000000"/>
            </w:tcBorders>
            <w:tcMar>
              <w:top w:w="40" w:type="dxa"/>
              <w:left w:w="80" w:type="dxa"/>
              <w:bottom w:w="40" w:type="dxa"/>
              <w:right w:w="80" w:type="dxa"/>
            </w:tcMar>
          </w:tcPr>
          <w:p w14:paraId="621C96C4" w14:textId="77777777" w:rsidR="00786263" w:rsidRDefault="0034197B">
            <w:r>
              <w:rPr>
                <w:b/>
                <w:bCs/>
                <w:sz w:val="20"/>
                <w:szCs w:val="20"/>
              </w:rPr>
              <w:t>Mean σ</w:t>
            </w:r>
          </w:p>
        </w:tc>
      </w:tr>
      <w:tr w:rsidR="00786263" w14:paraId="621C96CB" w14:textId="77777777">
        <w:tblPrEx>
          <w:tblCellMar>
            <w:top w:w="0" w:type="dxa"/>
            <w:bottom w:w="0" w:type="dxa"/>
          </w:tblCellMar>
        </w:tblPrEx>
        <w:tc>
          <w:tcPr>
            <w:tcW w:w="1200" w:type="dxa"/>
            <w:tcMar>
              <w:top w:w="40" w:type="dxa"/>
              <w:left w:w="80" w:type="dxa"/>
              <w:bottom w:w="40" w:type="dxa"/>
              <w:right w:w="80" w:type="dxa"/>
            </w:tcMar>
          </w:tcPr>
          <w:p w14:paraId="621C96C6" w14:textId="77777777" w:rsidR="00786263" w:rsidRDefault="0034197B">
            <w:r>
              <w:rPr>
                <w:sz w:val="20"/>
                <w:szCs w:val="20"/>
              </w:rPr>
              <w:t>T1</w:t>
            </w:r>
          </w:p>
        </w:tc>
        <w:tc>
          <w:tcPr>
            <w:tcW w:w="1500" w:type="dxa"/>
            <w:tcMar>
              <w:top w:w="40" w:type="dxa"/>
              <w:left w:w="80" w:type="dxa"/>
              <w:bottom w:w="40" w:type="dxa"/>
              <w:right w:w="80" w:type="dxa"/>
            </w:tcMar>
          </w:tcPr>
          <w:p w14:paraId="621C96C7" w14:textId="77777777" w:rsidR="00786263" w:rsidRDefault="0034197B">
            <w:r>
              <w:rPr>
                <w:sz w:val="20"/>
                <w:szCs w:val="20"/>
              </w:rPr>
              <w:t>66.9%</w:t>
            </w:r>
          </w:p>
        </w:tc>
        <w:tc>
          <w:tcPr>
            <w:tcW w:w="1500" w:type="dxa"/>
            <w:tcMar>
              <w:top w:w="40" w:type="dxa"/>
              <w:left w:w="80" w:type="dxa"/>
              <w:bottom w:w="40" w:type="dxa"/>
              <w:right w:w="80" w:type="dxa"/>
            </w:tcMar>
          </w:tcPr>
          <w:p w14:paraId="621C96C8" w14:textId="77777777" w:rsidR="00786263" w:rsidRDefault="0034197B">
            <w:r>
              <w:rPr>
                <w:sz w:val="20"/>
                <w:szCs w:val="20"/>
              </w:rPr>
              <w:t>31.7%</w:t>
            </w:r>
          </w:p>
        </w:tc>
        <w:tc>
          <w:tcPr>
            <w:tcW w:w="1500" w:type="dxa"/>
            <w:tcMar>
              <w:top w:w="40" w:type="dxa"/>
              <w:left w:w="80" w:type="dxa"/>
              <w:bottom w:w="40" w:type="dxa"/>
              <w:right w:w="80" w:type="dxa"/>
            </w:tcMar>
          </w:tcPr>
          <w:p w14:paraId="621C96C9" w14:textId="77777777" w:rsidR="00786263" w:rsidRDefault="0034197B">
            <w:r>
              <w:rPr>
                <w:sz w:val="20"/>
                <w:szCs w:val="20"/>
              </w:rPr>
              <w:t>0.1%</w:t>
            </w:r>
          </w:p>
        </w:tc>
        <w:tc>
          <w:tcPr>
            <w:tcW w:w="1500" w:type="dxa"/>
            <w:tcMar>
              <w:top w:w="40" w:type="dxa"/>
              <w:left w:w="80" w:type="dxa"/>
              <w:bottom w:w="40" w:type="dxa"/>
              <w:right w:w="80" w:type="dxa"/>
            </w:tcMar>
          </w:tcPr>
          <w:p w14:paraId="621C96CA" w14:textId="77777777" w:rsidR="00786263" w:rsidRDefault="0034197B">
            <w:r>
              <w:rPr>
                <w:sz w:val="20"/>
                <w:szCs w:val="20"/>
              </w:rPr>
              <w:t>0.51</w:t>
            </w:r>
          </w:p>
        </w:tc>
      </w:tr>
      <w:tr w:rsidR="00786263" w14:paraId="621C96D1" w14:textId="77777777">
        <w:tblPrEx>
          <w:tblCellMar>
            <w:top w:w="0" w:type="dxa"/>
            <w:bottom w:w="0" w:type="dxa"/>
          </w:tblCellMar>
        </w:tblPrEx>
        <w:tc>
          <w:tcPr>
            <w:tcW w:w="1200" w:type="dxa"/>
            <w:tcMar>
              <w:top w:w="40" w:type="dxa"/>
              <w:left w:w="80" w:type="dxa"/>
              <w:bottom w:w="40" w:type="dxa"/>
              <w:right w:w="80" w:type="dxa"/>
            </w:tcMar>
          </w:tcPr>
          <w:p w14:paraId="621C96CC" w14:textId="77777777" w:rsidR="00786263" w:rsidRDefault="0034197B">
            <w:r>
              <w:rPr>
                <w:sz w:val="20"/>
                <w:szCs w:val="20"/>
              </w:rPr>
              <w:t>T2</w:t>
            </w:r>
          </w:p>
        </w:tc>
        <w:tc>
          <w:tcPr>
            <w:tcW w:w="1500" w:type="dxa"/>
            <w:tcMar>
              <w:top w:w="40" w:type="dxa"/>
              <w:left w:w="80" w:type="dxa"/>
              <w:bottom w:w="40" w:type="dxa"/>
              <w:right w:w="80" w:type="dxa"/>
            </w:tcMar>
          </w:tcPr>
          <w:p w14:paraId="621C96CD" w14:textId="77777777" w:rsidR="00786263" w:rsidRDefault="0034197B">
            <w:r>
              <w:rPr>
                <w:sz w:val="20"/>
                <w:szCs w:val="20"/>
              </w:rPr>
              <w:t>57.9%</w:t>
            </w:r>
          </w:p>
        </w:tc>
        <w:tc>
          <w:tcPr>
            <w:tcW w:w="1500" w:type="dxa"/>
            <w:tcMar>
              <w:top w:w="40" w:type="dxa"/>
              <w:left w:w="80" w:type="dxa"/>
              <w:bottom w:w="40" w:type="dxa"/>
              <w:right w:w="80" w:type="dxa"/>
            </w:tcMar>
          </w:tcPr>
          <w:p w14:paraId="621C96CE" w14:textId="77777777" w:rsidR="00786263" w:rsidRDefault="0034197B">
            <w:r>
              <w:rPr>
                <w:sz w:val="20"/>
                <w:szCs w:val="20"/>
              </w:rPr>
              <w:t>38.4%</w:t>
            </w:r>
          </w:p>
        </w:tc>
        <w:tc>
          <w:tcPr>
            <w:tcW w:w="1500" w:type="dxa"/>
            <w:tcMar>
              <w:top w:w="40" w:type="dxa"/>
              <w:left w:w="80" w:type="dxa"/>
              <w:bottom w:w="40" w:type="dxa"/>
              <w:right w:w="80" w:type="dxa"/>
            </w:tcMar>
          </w:tcPr>
          <w:p w14:paraId="621C96CF" w14:textId="77777777" w:rsidR="00786263" w:rsidRDefault="0034197B">
            <w:r>
              <w:rPr>
                <w:sz w:val="20"/>
                <w:szCs w:val="20"/>
              </w:rPr>
              <w:t>2.6%</w:t>
            </w:r>
          </w:p>
        </w:tc>
        <w:tc>
          <w:tcPr>
            <w:tcW w:w="1500" w:type="dxa"/>
            <w:tcMar>
              <w:top w:w="40" w:type="dxa"/>
              <w:left w:w="80" w:type="dxa"/>
              <w:bottom w:w="40" w:type="dxa"/>
              <w:right w:w="80" w:type="dxa"/>
            </w:tcMar>
          </w:tcPr>
          <w:p w14:paraId="621C96D0" w14:textId="77777777" w:rsidR="00786263" w:rsidRDefault="0034197B">
            <w:r>
              <w:rPr>
                <w:sz w:val="20"/>
                <w:szCs w:val="20"/>
              </w:rPr>
              <w:t>0.45</w:t>
            </w:r>
          </w:p>
        </w:tc>
      </w:tr>
      <w:tr w:rsidR="00786263" w14:paraId="621C96D7" w14:textId="77777777">
        <w:tblPrEx>
          <w:tblCellMar>
            <w:top w:w="0" w:type="dxa"/>
            <w:bottom w:w="0" w:type="dxa"/>
          </w:tblCellMar>
        </w:tblPrEx>
        <w:tc>
          <w:tcPr>
            <w:tcW w:w="1200" w:type="dxa"/>
            <w:tcMar>
              <w:top w:w="40" w:type="dxa"/>
              <w:left w:w="80" w:type="dxa"/>
              <w:bottom w:w="40" w:type="dxa"/>
              <w:right w:w="80" w:type="dxa"/>
            </w:tcMar>
          </w:tcPr>
          <w:p w14:paraId="621C96D2" w14:textId="77777777" w:rsidR="00786263" w:rsidRDefault="0034197B">
            <w:r>
              <w:rPr>
                <w:sz w:val="20"/>
                <w:szCs w:val="20"/>
              </w:rPr>
              <w:t>T3</w:t>
            </w:r>
          </w:p>
        </w:tc>
        <w:tc>
          <w:tcPr>
            <w:tcW w:w="1500" w:type="dxa"/>
            <w:tcMar>
              <w:top w:w="40" w:type="dxa"/>
              <w:left w:w="80" w:type="dxa"/>
              <w:bottom w:w="40" w:type="dxa"/>
              <w:right w:w="80" w:type="dxa"/>
            </w:tcMar>
          </w:tcPr>
          <w:p w14:paraId="621C96D3" w14:textId="77777777" w:rsidR="00786263" w:rsidRDefault="0034197B">
            <w:r>
              <w:rPr>
                <w:sz w:val="20"/>
                <w:szCs w:val="20"/>
              </w:rPr>
              <w:t>54.4%</w:t>
            </w:r>
          </w:p>
        </w:tc>
        <w:tc>
          <w:tcPr>
            <w:tcW w:w="1500" w:type="dxa"/>
            <w:tcMar>
              <w:top w:w="40" w:type="dxa"/>
              <w:left w:w="80" w:type="dxa"/>
              <w:bottom w:w="40" w:type="dxa"/>
              <w:right w:w="80" w:type="dxa"/>
            </w:tcMar>
          </w:tcPr>
          <w:p w14:paraId="621C96D4" w14:textId="77777777" w:rsidR="00786263" w:rsidRDefault="0034197B">
            <w:r>
              <w:rPr>
                <w:sz w:val="20"/>
                <w:szCs w:val="20"/>
              </w:rPr>
              <w:t>44.7%</w:t>
            </w:r>
          </w:p>
        </w:tc>
        <w:tc>
          <w:tcPr>
            <w:tcW w:w="1500" w:type="dxa"/>
            <w:tcMar>
              <w:top w:w="40" w:type="dxa"/>
              <w:left w:w="80" w:type="dxa"/>
              <w:bottom w:w="40" w:type="dxa"/>
              <w:right w:w="80" w:type="dxa"/>
            </w:tcMar>
          </w:tcPr>
          <w:p w14:paraId="621C96D5" w14:textId="77777777" w:rsidR="00786263" w:rsidRDefault="0034197B">
            <w:r>
              <w:rPr>
                <w:sz w:val="20"/>
                <w:szCs w:val="20"/>
              </w:rPr>
              <w:t>0.5%</w:t>
            </w:r>
          </w:p>
        </w:tc>
        <w:tc>
          <w:tcPr>
            <w:tcW w:w="1500" w:type="dxa"/>
            <w:tcMar>
              <w:top w:w="40" w:type="dxa"/>
              <w:left w:w="80" w:type="dxa"/>
              <w:bottom w:w="40" w:type="dxa"/>
              <w:right w:w="80" w:type="dxa"/>
            </w:tcMar>
          </w:tcPr>
          <w:p w14:paraId="621C96D6" w14:textId="77777777" w:rsidR="00786263" w:rsidRDefault="0034197B">
            <w:r>
              <w:rPr>
                <w:sz w:val="20"/>
                <w:szCs w:val="20"/>
              </w:rPr>
              <w:t>0.37</w:t>
            </w:r>
          </w:p>
        </w:tc>
      </w:tr>
      <w:tr w:rsidR="00786263" w14:paraId="621C96DD" w14:textId="77777777">
        <w:tblPrEx>
          <w:tblCellMar>
            <w:top w:w="0" w:type="dxa"/>
            <w:bottom w:w="0" w:type="dxa"/>
          </w:tblCellMar>
        </w:tblPrEx>
        <w:tc>
          <w:tcPr>
            <w:tcW w:w="1200" w:type="dxa"/>
            <w:tcBorders>
              <w:bottom w:val="single" w:sz="1" w:space="0" w:color="000000"/>
            </w:tcBorders>
            <w:tcMar>
              <w:top w:w="40" w:type="dxa"/>
              <w:left w:w="80" w:type="dxa"/>
              <w:bottom w:w="40" w:type="dxa"/>
              <w:right w:w="80" w:type="dxa"/>
            </w:tcMar>
          </w:tcPr>
          <w:p w14:paraId="621C96D8" w14:textId="77777777" w:rsidR="00786263" w:rsidRDefault="0034197B">
            <w:r>
              <w:rPr>
                <w:sz w:val="20"/>
                <w:szCs w:val="20"/>
              </w:rPr>
              <w:t>T4</w:t>
            </w:r>
          </w:p>
        </w:tc>
        <w:tc>
          <w:tcPr>
            <w:tcW w:w="1500" w:type="dxa"/>
            <w:tcBorders>
              <w:bottom w:val="single" w:sz="1" w:space="0" w:color="000000"/>
            </w:tcBorders>
            <w:tcMar>
              <w:top w:w="40" w:type="dxa"/>
              <w:left w:w="80" w:type="dxa"/>
              <w:bottom w:w="40" w:type="dxa"/>
              <w:right w:w="80" w:type="dxa"/>
            </w:tcMar>
          </w:tcPr>
          <w:p w14:paraId="621C96D9" w14:textId="77777777" w:rsidR="00786263" w:rsidRDefault="0034197B">
            <w:r>
              <w:rPr>
                <w:sz w:val="20"/>
                <w:szCs w:val="20"/>
              </w:rPr>
              <w:t>89.2%</w:t>
            </w:r>
          </w:p>
        </w:tc>
        <w:tc>
          <w:tcPr>
            <w:tcW w:w="1500" w:type="dxa"/>
            <w:tcBorders>
              <w:bottom w:val="single" w:sz="1" w:space="0" w:color="000000"/>
            </w:tcBorders>
            <w:tcMar>
              <w:top w:w="40" w:type="dxa"/>
              <w:left w:w="80" w:type="dxa"/>
              <w:bottom w:w="40" w:type="dxa"/>
              <w:right w:w="80" w:type="dxa"/>
            </w:tcMar>
          </w:tcPr>
          <w:p w14:paraId="621C96DA" w14:textId="77777777" w:rsidR="00786263" w:rsidRDefault="0034197B">
            <w:r>
              <w:rPr>
                <w:sz w:val="20"/>
                <w:szCs w:val="20"/>
              </w:rPr>
              <w:t>2.9%</w:t>
            </w:r>
          </w:p>
        </w:tc>
        <w:tc>
          <w:tcPr>
            <w:tcW w:w="1500" w:type="dxa"/>
            <w:tcBorders>
              <w:bottom w:val="single" w:sz="1" w:space="0" w:color="000000"/>
            </w:tcBorders>
            <w:tcMar>
              <w:top w:w="40" w:type="dxa"/>
              <w:left w:w="80" w:type="dxa"/>
              <w:bottom w:w="40" w:type="dxa"/>
              <w:right w:w="80" w:type="dxa"/>
            </w:tcMar>
          </w:tcPr>
          <w:p w14:paraId="621C96DB" w14:textId="77777777" w:rsidR="00786263" w:rsidRDefault="0034197B">
            <w:r>
              <w:rPr>
                <w:sz w:val="20"/>
                <w:szCs w:val="20"/>
              </w:rPr>
              <w:t>7.4%</w:t>
            </w:r>
          </w:p>
        </w:tc>
        <w:tc>
          <w:tcPr>
            <w:tcW w:w="1500" w:type="dxa"/>
            <w:tcBorders>
              <w:bottom w:val="single" w:sz="1" w:space="0" w:color="000000"/>
            </w:tcBorders>
            <w:tcMar>
              <w:top w:w="40" w:type="dxa"/>
              <w:left w:w="80" w:type="dxa"/>
              <w:bottom w:w="40" w:type="dxa"/>
              <w:right w:w="80" w:type="dxa"/>
            </w:tcMar>
          </w:tcPr>
          <w:p w14:paraId="621C96DC" w14:textId="77777777" w:rsidR="00786263" w:rsidRDefault="0034197B">
            <w:r>
              <w:rPr>
                <w:sz w:val="20"/>
                <w:szCs w:val="20"/>
              </w:rPr>
              <w:t>0.76</w:t>
            </w:r>
          </w:p>
        </w:tc>
      </w:tr>
    </w:tbl>
    <w:p w14:paraId="621C96DE" w14:textId="77777777" w:rsidR="00786263" w:rsidRDefault="0034197B">
      <w:pPr>
        <w:spacing w:before="240" w:after="120" w:line="360" w:lineRule="auto"/>
      </w:pPr>
      <w:r>
        <w:rPr>
          <w:b/>
          <w:bCs/>
        </w:rPr>
        <w:t>Supplementary Table 3: Domain-specific performance</w:t>
      </w:r>
    </w:p>
    <w:tbl>
      <w:tblPr>
        <w:tblW w:w="7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1500"/>
        <w:gridCol w:w="1500"/>
        <w:gridCol w:w="1500"/>
        <w:gridCol w:w="1500"/>
      </w:tblGrid>
      <w:tr w:rsidR="00786263" w14:paraId="621C96E4" w14:textId="77777777">
        <w:tblPrEx>
          <w:tblCellMar>
            <w:top w:w="0" w:type="dxa"/>
            <w:bottom w:w="0" w:type="dxa"/>
          </w:tblCellMar>
        </w:tblPrEx>
        <w:tc>
          <w:tcPr>
            <w:tcW w:w="1500" w:type="dxa"/>
            <w:tcBorders>
              <w:top w:val="single" w:sz="1" w:space="0" w:color="000000"/>
              <w:bottom w:val="single" w:sz="1" w:space="0" w:color="000000"/>
            </w:tcBorders>
            <w:tcMar>
              <w:top w:w="40" w:type="dxa"/>
              <w:left w:w="80" w:type="dxa"/>
              <w:bottom w:w="40" w:type="dxa"/>
              <w:right w:w="80" w:type="dxa"/>
            </w:tcMar>
          </w:tcPr>
          <w:p w14:paraId="621C96DF" w14:textId="77777777" w:rsidR="00786263" w:rsidRDefault="0034197B">
            <w:r>
              <w:rPr>
                <w:b/>
                <w:bCs/>
                <w:sz w:val="20"/>
                <w:szCs w:val="20"/>
              </w:rPr>
              <w:t>Domain</w:t>
            </w:r>
          </w:p>
        </w:tc>
        <w:tc>
          <w:tcPr>
            <w:tcW w:w="1500" w:type="dxa"/>
            <w:tcBorders>
              <w:top w:val="single" w:sz="1" w:space="0" w:color="000000"/>
              <w:bottom w:val="single" w:sz="1" w:space="0" w:color="000000"/>
            </w:tcBorders>
            <w:tcMar>
              <w:top w:w="40" w:type="dxa"/>
              <w:left w:w="80" w:type="dxa"/>
              <w:bottom w:w="40" w:type="dxa"/>
              <w:right w:w="80" w:type="dxa"/>
            </w:tcMar>
          </w:tcPr>
          <w:p w14:paraId="621C96E0" w14:textId="77777777" w:rsidR="00786263" w:rsidRDefault="0034197B">
            <w:proofErr w:type="spellStart"/>
            <w:r>
              <w:rPr>
                <w:b/>
                <w:bCs/>
                <w:sz w:val="20"/>
                <w:szCs w:val="20"/>
              </w:rPr>
              <w:t>Halluc</w:t>
            </w:r>
            <w:proofErr w:type="spellEnd"/>
            <w:r>
              <w:rPr>
                <w:b/>
                <w:bCs/>
                <w:sz w:val="20"/>
                <w:szCs w:val="20"/>
              </w:rPr>
              <w:t>.</w:t>
            </w:r>
          </w:p>
        </w:tc>
        <w:tc>
          <w:tcPr>
            <w:tcW w:w="1500" w:type="dxa"/>
            <w:tcBorders>
              <w:top w:val="single" w:sz="1" w:space="0" w:color="000000"/>
              <w:bottom w:val="single" w:sz="1" w:space="0" w:color="000000"/>
            </w:tcBorders>
            <w:tcMar>
              <w:top w:w="40" w:type="dxa"/>
              <w:left w:w="80" w:type="dxa"/>
              <w:bottom w:w="40" w:type="dxa"/>
              <w:right w:w="80" w:type="dxa"/>
            </w:tcMar>
          </w:tcPr>
          <w:p w14:paraId="621C96E1" w14:textId="77777777" w:rsidR="00786263" w:rsidRDefault="0034197B">
            <w:r>
              <w:rPr>
                <w:b/>
                <w:bCs/>
                <w:sz w:val="20"/>
                <w:szCs w:val="20"/>
              </w:rPr>
              <w:t>Correct</w:t>
            </w:r>
          </w:p>
        </w:tc>
        <w:tc>
          <w:tcPr>
            <w:tcW w:w="1500" w:type="dxa"/>
            <w:tcBorders>
              <w:top w:val="single" w:sz="1" w:space="0" w:color="000000"/>
              <w:bottom w:val="single" w:sz="1" w:space="0" w:color="000000"/>
            </w:tcBorders>
            <w:tcMar>
              <w:top w:w="40" w:type="dxa"/>
              <w:left w:w="80" w:type="dxa"/>
              <w:bottom w:w="40" w:type="dxa"/>
              <w:right w:w="80" w:type="dxa"/>
            </w:tcMar>
          </w:tcPr>
          <w:p w14:paraId="621C96E2" w14:textId="77777777" w:rsidR="00786263" w:rsidRDefault="0034197B">
            <w:r>
              <w:rPr>
                <w:b/>
                <w:bCs/>
                <w:sz w:val="20"/>
                <w:szCs w:val="20"/>
              </w:rPr>
              <w:t>Abstain</w:t>
            </w:r>
          </w:p>
        </w:tc>
        <w:tc>
          <w:tcPr>
            <w:tcW w:w="1500" w:type="dxa"/>
            <w:tcBorders>
              <w:top w:val="single" w:sz="1" w:space="0" w:color="000000"/>
              <w:bottom w:val="single" w:sz="1" w:space="0" w:color="000000"/>
            </w:tcBorders>
            <w:tcMar>
              <w:top w:w="40" w:type="dxa"/>
              <w:left w:w="80" w:type="dxa"/>
              <w:bottom w:w="40" w:type="dxa"/>
              <w:right w:w="80" w:type="dxa"/>
            </w:tcMar>
          </w:tcPr>
          <w:p w14:paraId="621C96E3" w14:textId="77777777" w:rsidR="00786263" w:rsidRDefault="0034197B">
            <w:r>
              <w:rPr>
                <w:b/>
                <w:bCs/>
                <w:sz w:val="20"/>
                <w:szCs w:val="20"/>
              </w:rPr>
              <w:t>Mean σ</w:t>
            </w:r>
          </w:p>
        </w:tc>
      </w:tr>
      <w:tr w:rsidR="00786263" w14:paraId="621C96EA" w14:textId="77777777">
        <w:tblPrEx>
          <w:tblCellMar>
            <w:top w:w="0" w:type="dxa"/>
            <w:bottom w:w="0" w:type="dxa"/>
          </w:tblCellMar>
        </w:tblPrEx>
        <w:tc>
          <w:tcPr>
            <w:tcW w:w="1500" w:type="dxa"/>
            <w:tcMar>
              <w:top w:w="40" w:type="dxa"/>
              <w:left w:w="80" w:type="dxa"/>
              <w:bottom w:w="40" w:type="dxa"/>
              <w:right w:w="80" w:type="dxa"/>
            </w:tcMar>
          </w:tcPr>
          <w:p w14:paraId="621C96E5" w14:textId="77777777" w:rsidR="00786263" w:rsidRDefault="0034197B">
            <w:r>
              <w:rPr>
                <w:sz w:val="20"/>
                <w:szCs w:val="20"/>
              </w:rPr>
              <w:t>Medical</w:t>
            </w:r>
          </w:p>
        </w:tc>
        <w:tc>
          <w:tcPr>
            <w:tcW w:w="1500" w:type="dxa"/>
            <w:tcMar>
              <w:top w:w="40" w:type="dxa"/>
              <w:left w:w="80" w:type="dxa"/>
              <w:bottom w:w="40" w:type="dxa"/>
              <w:right w:w="80" w:type="dxa"/>
            </w:tcMar>
          </w:tcPr>
          <w:p w14:paraId="621C96E6" w14:textId="77777777" w:rsidR="00786263" w:rsidRDefault="0034197B">
            <w:r>
              <w:rPr>
                <w:sz w:val="20"/>
                <w:szCs w:val="20"/>
              </w:rPr>
              <w:t>22.7%</w:t>
            </w:r>
          </w:p>
        </w:tc>
        <w:tc>
          <w:tcPr>
            <w:tcW w:w="1500" w:type="dxa"/>
            <w:tcMar>
              <w:top w:w="40" w:type="dxa"/>
              <w:left w:w="80" w:type="dxa"/>
              <w:bottom w:w="40" w:type="dxa"/>
              <w:right w:w="80" w:type="dxa"/>
            </w:tcMar>
          </w:tcPr>
          <w:p w14:paraId="621C96E7" w14:textId="77777777" w:rsidR="00786263" w:rsidRDefault="0034197B">
            <w:r>
              <w:rPr>
                <w:sz w:val="20"/>
                <w:szCs w:val="20"/>
              </w:rPr>
              <w:t>74.7%</w:t>
            </w:r>
          </w:p>
        </w:tc>
        <w:tc>
          <w:tcPr>
            <w:tcW w:w="1500" w:type="dxa"/>
            <w:tcMar>
              <w:top w:w="40" w:type="dxa"/>
              <w:left w:w="80" w:type="dxa"/>
              <w:bottom w:w="40" w:type="dxa"/>
              <w:right w:w="80" w:type="dxa"/>
            </w:tcMar>
          </w:tcPr>
          <w:p w14:paraId="621C96E8" w14:textId="77777777" w:rsidR="00786263" w:rsidRDefault="0034197B">
            <w:r>
              <w:rPr>
                <w:sz w:val="20"/>
                <w:szCs w:val="20"/>
              </w:rPr>
              <w:t>1.9%</w:t>
            </w:r>
          </w:p>
        </w:tc>
        <w:tc>
          <w:tcPr>
            <w:tcW w:w="1500" w:type="dxa"/>
            <w:tcMar>
              <w:top w:w="40" w:type="dxa"/>
              <w:left w:w="80" w:type="dxa"/>
              <w:bottom w:w="40" w:type="dxa"/>
              <w:right w:w="80" w:type="dxa"/>
            </w:tcMar>
          </w:tcPr>
          <w:p w14:paraId="621C96E9" w14:textId="77777777" w:rsidR="00786263" w:rsidRDefault="0034197B">
            <w:r>
              <w:rPr>
                <w:sz w:val="20"/>
                <w:szCs w:val="20"/>
              </w:rPr>
              <w:t>0.635</w:t>
            </w:r>
          </w:p>
        </w:tc>
      </w:tr>
      <w:tr w:rsidR="00786263" w14:paraId="621C96F0" w14:textId="77777777">
        <w:tblPrEx>
          <w:tblCellMar>
            <w:top w:w="0" w:type="dxa"/>
            <w:bottom w:w="0" w:type="dxa"/>
          </w:tblCellMar>
        </w:tblPrEx>
        <w:tc>
          <w:tcPr>
            <w:tcW w:w="1500" w:type="dxa"/>
            <w:tcMar>
              <w:top w:w="40" w:type="dxa"/>
              <w:left w:w="80" w:type="dxa"/>
              <w:bottom w:w="40" w:type="dxa"/>
              <w:right w:w="80" w:type="dxa"/>
            </w:tcMar>
          </w:tcPr>
          <w:p w14:paraId="621C96EB" w14:textId="77777777" w:rsidR="00786263" w:rsidRDefault="0034197B">
            <w:r>
              <w:rPr>
                <w:sz w:val="20"/>
                <w:szCs w:val="20"/>
              </w:rPr>
              <w:t>Legal</w:t>
            </w:r>
          </w:p>
        </w:tc>
        <w:tc>
          <w:tcPr>
            <w:tcW w:w="1500" w:type="dxa"/>
            <w:tcMar>
              <w:top w:w="40" w:type="dxa"/>
              <w:left w:w="80" w:type="dxa"/>
              <w:bottom w:w="40" w:type="dxa"/>
              <w:right w:w="80" w:type="dxa"/>
            </w:tcMar>
          </w:tcPr>
          <w:p w14:paraId="621C96EC" w14:textId="77777777" w:rsidR="00786263" w:rsidRDefault="0034197B">
            <w:r>
              <w:rPr>
                <w:sz w:val="20"/>
                <w:szCs w:val="20"/>
              </w:rPr>
              <w:t>31.1%</w:t>
            </w:r>
          </w:p>
        </w:tc>
        <w:tc>
          <w:tcPr>
            <w:tcW w:w="1500" w:type="dxa"/>
            <w:tcMar>
              <w:top w:w="40" w:type="dxa"/>
              <w:left w:w="80" w:type="dxa"/>
              <w:bottom w:w="40" w:type="dxa"/>
              <w:right w:w="80" w:type="dxa"/>
            </w:tcMar>
          </w:tcPr>
          <w:p w14:paraId="621C96ED" w14:textId="77777777" w:rsidR="00786263" w:rsidRDefault="0034197B">
            <w:r>
              <w:rPr>
                <w:sz w:val="20"/>
                <w:szCs w:val="20"/>
              </w:rPr>
              <w:t>66.3%</w:t>
            </w:r>
          </w:p>
        </w:tc>
        <w:tc>
          <w:tcPr>
            <w:tcW w:w="1500" w:type="dxa"/>
            <w:tcMar>
              <w:top w:w="40" w:type="dxa"/>
              <w:left w:w="80" w:type="dxa"/>
              <w:bottom w:w="40" w:type="dxa"/>
              <w:right w:w="80" w:type="dxa"/>
            </w:tcMar>
          </w:tcPr>
          <w:p w14:paraId="621C96EE" w14:textId="77777777" w:rsidR="00786263" w:rsidRDefault="0034197B">
            <w:r>
              <w:rPr>
                <w:sz w:val="20"/>
                <w:szCs w:val="20"/>
              </w:rPr>
              <w:t>2.1%</w:t>
            </w:r>
          </w:p>
        </w:tc>
        <w:tc>
          <w:tcPr>
            <w:tcW w:w="1500" w:type="dxa"/>
            <w:tcMar>
              <w:top w:w="40" w:type="dxa"/>
              <w:left w:w="80" w:type="dxa"/>
              <w:bottom w:w="40" w:type="dxa"/>
              <w:right w:w="80" w:type="dxa"/>
            </w:tcMar>
          </w:tcPr>
          <w:p w14:paraId="621C96EF" w14:textId="77777777" w:rsidR="00786263" w:rsidRDefault="0034197B">
            <w:r>
              <w:rPr>
                <w:sz w:val="20"/>
                <w:szCs w:val="20"/>
              </w:rPr>
              <w:t>0.481</w:t>
            </w:r>
          </w:p>
        </w:tc>
      </w:tr>
      <w:tr w:rsidR="00786263" w14:paraId="621C96F6" w14:textId="77777777">
        <w:tblPrEx>
          <w:tblCellMar>
            <w:top w:w="0" w:type="dxa"/>
            <w:bottom w:w="0" w:type="dxa"/>
          </w:tblCellMar>
        </w:tblPrEx>
        <w:tc>
          <w:tcPr>
            <w:tcW w:w="1500" w:type="dxa"/>
            <w:tcBorders>
              <w:bottom w:val="single" w:sz="1" w:space="0" w:color="000000"/>
            </w:tcBorders>
            <w:tcMar>
              <w:top w:w="40" w:type="dxa"/>
              <w:left w:w="80" w:type="dxa"/>
              <w:bottom w:w="40" w:type="dxa"/>
              <w:right w:w="80" w:type="dxa"/>
            </w:tcMar>
          </w:tcPr>
          <w:p w14:paraId="621C96F1" w14:textId="77777777" w:rsidR="00786263" w:rsidRDefault="0034197B">
            <w:r>
              <w:rPr>
                <w:sz w:val="20"/>
                <w:szCs w:val="20"/>
              </w:rPr>
              <w:t>Technical</w:t>
            </w:r>
          </w:p>
        </w:tc>
        <w:tc>
          <w:tcPr>
            <w:tcW w:w="1500" w:type="dxa"/>
            <w:tcBorders>
              <w:bottom w:val="single" w:sz="1" w:space="0" w:color="000000"/>
            </w:tcBorders>
            <w:tcMar>
              <w:top w:w="40" w:type="dxa"/>
              <w:left w:w="80" w:type="dxa"/>
              <w:bottom w:w="40" w:type="dxa"/>
              <w:right w:w="80" w:type="dxa"/>
            </w:tcMar>
          </w:tcPr>
          <w:p w14:paraId="621C96F2" w14:textId="77777777" w:rsidR="00786263" w:rsidRDefault="0034197B">
            <w:r>
              <w:rPr>
                <w:sz w:val="20"/>
                <w:szCs w:val="20"/>
              </w:rPr>
              <w:t>34.8%</w:t>
            </w:r>
          </w:p>
        </w:tc>
        <w:tc>
          <w:tcPr>
            <w:tcW w:w="1500" w:type="dxa"/>
            <w:tcBorders>
              <w:bottom w:val="single" w:sz="1" w:space="0" w:color="000000"/>
            </w:tcBorders>
            <w:tcMar>
              <w:top w:w="40" w:type="dxa"/>
              <w:left w:w="80" w:type="dxa"/>
              <w:bottom w:w="40" w:type="dxa"/>
              <w:right w:w="80" w:type="dxa"/>
            </w:tcMar>
          </w:tcPr>
          <w:p w14:paraId="621C96F3" w14:textId="77777777" w:rsidR="00786263" w:rsidRDefault="0034197B">
            <w:r>
              <w:rPr>
                <w:sz w:val="20"/>
                <w:szCs w:val="20"/>
              </w:rPr>
              <w:t>59.9%</w:t>
            </w:r>
          </w:p>
        </w:tc>
        <w:tc>
          <w:tcPr>
            <w:tcW w:w="1500" w:type="dxa"/>
            <w:tcBorders>
              <w:bottom w:val="single" w:sz="1" w:space="0" w:color="000000"/>
            </w:tcBorders>
            <w:tcMar>
              <w:top w:w="40" w:type="dxa"/>
              <w:left w:w="80" w:type="dxa"/>
              <w:bottom w:w="40" w:type="dxa"/>
              <w:right w:w="80" w:type="dxa"/>
            </w:tcMar>
          </w:tcPr>
          <w:p w14:paraId="621C96F4" w14:textId="77777777" w:rsidR="00786263" w:rsidRDefault="0034197B">
            <w:r>
              <w:rPr>
                <w:sz w:val="20"/>
                <w:szCs w:val="20"/>
              </w:rPr>
              <w:t>4.0%</w:t>
            </w:r>
          </w:p>
        </w:tc>
        <w:tc>
          <w:tcPr>
            <w:tcW w:w="1500" w:type="dxa"/>
            <w:tcBorders>
              <w:bottom w:val="single" w:sz="1" w:space="0" w:color="000000"/>
            </w:tcBorders>
            <w:tcMar>
              <w:top w:w="40" w:type="dxa"/>
              <w:left w:w="80" w:type="dxa"/>
              <w:bottom w:w="40" w:type="dxa"/>
              <w:right w:w="80" w:type="dxa"/>
            </w:tcMar>
          </w:tcPr>
          <w:p w14:paraId="621C96F5" w14:textId="77777777" w:rsidR="00786263" w:rsidRDefault="0034197B">
            <w:r>
              <w:rPr>
                <w:sz w:val="20"/>
                <w:szCs w:val="20"/>
              </w:rPr>
              <w:t>0.445</w:t>
            </w:r>
          </w:p>
        </w:tc>
      </w:tr>
    </w:tbl>
    <w:p w14:paraId="621C96F7" w14:textId="77777777" w:rsidR="00786263" w:rsidRDefault="0034197B">
      <w:pPr>
        <w:spacing w:after="200" w:line="360" w:lineRule="auto"/>
      </w:pPr>
      <w:r>
        <w:rPr>
          <w:i/>
          <w:iCs/>
        </w:rPr>
        <w:t>Correlations: medical r = −0.36, legal r = −0.41, technical r = −0.28.</w:t>
      </w:r>
    </w:p>
    <w:p w14:paraId="621C96F8" w14:textId="77777777" w:rsidR="00786263" w:rsidRDefault="0034197B">
      <w:pPr>
        <w:spacing w:before="240" w:after="120" w:line="360" w:lineRule="auto"/>
      </w:pPr>
      <w:r>
        <w:rPr>
          <w:b/>
          <w:bCs/>
        </w:rPr>
        <w:t>Supplementary Table 4: Condition-stratified overdispersion</w:t>
      </w:r>
    </w:p>
    <w:tbl>
      <w:tblPr>
        <w:tblW w:w="7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900"/>
        <w:gridCol w:w="900"/>
        <w:gridCol w:w="1000"/>
        <w:gridCol w:w="1200"/>
        <w:gridCol w:w="1200"/>
        <w:gridCol w:w="1000"/>
      </w:tblGrid>
      <w:tr w:rsidR="00786263" w14:paraId="621C9700" w14:textId="77777777">
        <w:tblPrEx>
          <w:tblCellMar>
            <w:top w:w="0" w:type="dxa"/>
            <w:bottom w:w="0" w:type="dxa"/>
          </w:tblCellMar>
        </w:tblPrEx>
        <w:tc>
          <w:tcPr>
            <w:tcW w:w="1500" w:type="dxa"/>
            <w:tcBorders>
              <w:top w:val="single" w:sz="1" w:space="0" w:color="000000"/>
              <w:bottom w:val="single" w:sz="1" w:space="0" w:color="000000"/>
            </w:tcBorders>
            <w:tcMar>
              <w:top w:w="40" w:type="dxa"/>
              <w:left w:w="80" w:type="dxa"/>
              <w:bottom w:w="40" w:type="dxa"/>
              <w:right w:w="80" w:type="dxa"/>
            </w:tcMar>
          </w:tcPr>
          <w:p w14:paraId="621C96F9" w14:textId="77777777" w:rsidR="00786263" w:rsidRDefault="0034197B">
            <w:r>
              <w:rPr>
                <w:b/>
                <w:bCs/>
                <w:sz w:val="20"/>
                <w:szCs w:val="20"/>
              </w:rPr>
              <w:t>Condition</w:t>
            </w:r>
          </w:p>
        </w:tc>
        <w:tc>
          <w:tcPr>
            <w:tcW w:w="900" w:type="dxa"/>
            <w:tcBorders>
              <w:top w:val="single" w:sz="1" w:space="0" w:color="000000"/>
              <w:bottom w:val="single" w:sz="1" w:space="0" w:color="000000"/>
            </w:tcBorders>
            <w:tcMar>
              <w:top w:w="40" w:type="dxa"/>
              <w:left w:w="80" w:type="dxa"/>
              <w:bottom w:w="40" w:type="dxa"/>
              <w:right w:w="80" w:type="dxa"/>
            </w:tcMar>
          </w:tcPr>
          <w:p w14:paraId="621C96FA" w14:textId="77777777" w:rsidR="00786263" w:rsidRDefault="0034197B">
            <w:r>
              <w:rPr>
                <w:b/>
                <w:bCs/>
                <w:sz w:val="20"/>
                <w:szCs w:val="20"/>
              </w:rPr>
              <w:t>p</w:t>
            </w:r>
          </w:p>
        </w:tc>
        <w:tc>
          <w:tcPr>
            <w:tcW w:w="900" w:type="dxa"/>
            <w:tcBorders>
              <w:top w:val="single" w:sz="1" w:space="0" w:color="000000"/>
              <w:bottom w:val="single" w:sz="1" w:space="0" w:color="000000"/>
            </w:tcBorders>
            <w:tcMar>
              <w:top w:w="40" w:type="dxa"/>
              <w:left w:w="80" w:type="dxa"/>
              <w:bottom w:w="40" w:type="dxa"/>
              <w:right w:w="80" w:type="dxa"/>
            </w:tcMar>
          </w:tcPr>
          <w:p w14:paraId="621C96FB" w14:textId="77777777" w:rsidR="00786263" w:rsidRDefault="0034197B">
            <w:r>
              <w:rPr>
                <w:b/>
                <w:bCs/>
                <w:sz w:val="20"/>
                <w:szCs w:val="20"/>
              </w:rPr>
              <w:t>ρ</w:t>
            </w:r>
          </w:p>
        </w:tc>
        <w:tc>
          <w:tcPr>
            <w:tcW w:w="1000" w:type="dxa"/>
            <w:tcBorders>
              <w:top w:val="single" w:sz="1" w:space="0" w:color="000000"/>
              <w:bottom w:val="single" w:sz="1" w:space="0" w:color="000000"/>
            </w:tcBorders>
            <w:tcMar>
              <w:top w:w="40" w:type="dxa"/>
              <w:left w:w="80" w:type="dxa"/>
              <w:bottom w:w="40" w:type="dxa"/>
              <w:right w:w="80" w:type="dxa"/>
            </w:tcMar>
          </w:tcPr>
          <w:p w14:paraId="621C96FC" w14:textId="77777777" w:rsidR="00786263" w:rsidRDefault="0034197B">
            <w:r>
              <w:rPr>
                <w:b/>
                <w:bCs/>
                <w:sz w:val="20"/>
                <w:szCs w:val="20"/>
              </w:rPr>
              <w:t>φ mean</w:t>
            </w:r>
          </w:p>
        </w:tc>
        <w:tc>
          <w:tcPr>
            <w:tcW w:w="1200" w:type="dxa"/>
            <w:tcBorders>
              <w:top w:val="single" w:sz="1" w:space="0" w:color="000000"/>
              <w:bottom w:val="single" w:sz="1" w:space="0" w:color="000000"/>
            </w:tcBorders>
            <w:tcMar>
              <w:top w:w="40" w:type="dxa"/>
              <w:left w:w="80" w:type="dxa"/>
              <w:bottom w:w="40" w:type="dxa"/>
              <w:right w:w="80" w:type="dxa"/>
            </w:tcMar>
          </w:tcPr>
          <w:p w14:paraId="621C96FD" w14:textId="77777777" w:rsidR="00786263" w:rsidRDefault="0034197B">
            <w:r>
              <w:rPr>
                <w:b/>
                <w:bCs/>
                <w:sz w:val="20"/>
                <w:szCs w:val="20"/>
              </w:rPr>
              <w:t>Maj. emp.</w:t>
            </w:r>
          </w:p>
        </w:tc>
        <w:tc>
          <w:tcPr>
            <w:tcW w:w="1200" w:type="dxa"/>
            <w:tcBorders>
              <w:top w:val="single" w:sz="1" w:space="0" w:color="000000"/>
              <w:bottom w:val="single" w:sz="1" w:space="0" w:color="000000"/>
            </w:tcBorders>
            <w:tcMar>
              <w:top w:w="40" w:type="dxa"/>
              <w:left w:w="80" w:type="dxa"/>
              <w:bottom w:w="40" w:type="dxa"/>
              <w:right w:w="80" w:type="dxa"/>
            </w:tcMar>
          </w:tcPr>
          <w:p w14:paraId="621C96FE" w14:textId="77777777" w:rsidR="00786263" w:rsidRDefault="0034197B">
            <w:r>
              <w:rPr>
                <w:b/>
                <w:bCs/>
                <w:sz w:val="20"/>
                <w:szCs w:val="20"/>
              </w:rPr>
              <w:t>Maj. pred.</w:t>
            </w:r>
          </w:p>
        </w:tc>
        <w:tc>
          <w:tcPr>
            <w:tcW w:w="1000" w:type="dxa"/>
            <w:tcBorders>
              <w:top w:val="single" w:sz="1" w:space="0" w:color="000000"/>
              <w:bottom w:val="single" w:sz="1" w:space="0" w:color="000000"/>
            </w:tcBorders>
            <w:tcMar>
              <w:top w:w="40" w:type="dxa"/>
              <w:left w:w="80" w:type="dxa"/>
              <w:bottom w:w="40" w:type="dxa"/>
              <w:right w:w="80" w:type="dxa"/>
            </w:tcMar>
          </w:tcPr>
          <w:p w14:paraId="621C96FF" w14:textId="77777777" w:rsidR="00786263" w:rsidRDefault="0034197B">
            <w:r>
              <w:rPr>
                <w:b/>
                <w:bCs/>
                <w:sz w:val="20"/>
                <w:szCs w:val="20"/>
              </w:rPr>
              <w:t>Ratio</w:t>
            </w:r>
          </w:p>
        </w:tc>
      </w:tr>
      <w:tr w:rsidR="00786263" w14:paraId="621C9708" w14:textId="77777777">
        <w:tblPrEx>
          <w:tblCellMar>
            <w:top w:w="0" w:type="dxa"/>
            <w:bottom w:w="0" w:type="dxa"/>
          </w:tblCellMar>
        </w:tblPrEx>
        <w:tc>
          <w:tcPr>
            <w:tcW w:w="1500" w:type="dxa"/>
            <w:tcMar>
              <w:top w:w="40" w:type="dxa"/>
              <w:left w:w="80" w:type="dxa"/>
              <w:bottom w:w="40" w:type="dxa"/>
              <w:right w:w="80" w:type="dxa"/>
            </w:tcMar>
          </w:tcPr>
          <w:p w14:paraId="621C9701" w14:textId="77777777" w:rsidR="00786263" w:rsidRDefault="0034197B">
            <w:r>
              <w:rPr>
                <w:sz w:val="20"/>
                <w:szCs w:val="20"/>
              </w:rPr>
              <w:t>Unanchored</w:t>
            </w:r>
          </w:p>
        </w:tc>
        <w:tc>
          <w:tcPr>
            <w:tcW w:w="900" w:type="dxa"/>
            <w:tcMar>
              <w:top w:w="40" w:type="dxa"/>
              <w:left w:w="80" w:type="dxa"/>
              <w:bottom w:w="40" w:type="dxa"/>
              <w:right w:w="80" w:type="dxa"/>
            </w:tcMar>
          </w:tcPr>
          <w:p w14:paraId="621C9702" w14:textId="77777777" w:rsidR="00786263" w:rsidRDefault="0034197B">
            <w:r>
              <w:rPr>
                <w:sz w:val="20"/>
                <w:szCs w:val="20"/>
              </w:rPr>
              <w:t>0.301</w:t>
            </w:r>
          </w:p>
        </w:tc>
        <w:tc>
          <w:tcPr>
            <w:tcW w:w="900" w:type="dxa"/>
            <w:tcMar>
              <w:top w:w="40" w:type="dxa"/>
              <w:left w:w="80" w:type="dxa"/>
              <w:bottom w:w="40" w:type="dxa"/>
              <w:right w:w="80" w:type="dxa"/>
            </w:tcMar>
          </w:tcPr>
          <w:p w14:paraId="621C9703" w14:textId="77777777" w:rsidR="00786263" w:rsidRDefault="0034197B">
            <w:r>
              <w:rPr>
                <w:sz w:val="20"/>
                <w:szCs w:val="20"/>
              </w:rPr>
              <w:t>1.471</w:t>
            </w:r>
          </w:p>
        </w:tc>
        <w:tc>
          <w:tcPr>
            <w:tcW w:w="1000" w:type="dxa"/>
            <w:tcMar>
              <w:top w:w="40" w:type="dxa"/>
              <w:left w:w="80" w:type="dxa"/>
              <w:bottom w:w="40" w:type="dxa"/>
              <w:right w:w="80" w:type="dxa"/>
            </w:tcMar>
          </w:tcPr>
          <w:p w14:paraId="621C9704" w14:textId="77777777" w:rsidR="00786263" w:rsidRDefault="0034197B">
            <w:r>
              <w:rPr>
                <w:sz w:val="20"/>
                <w:szCs w:val="20"/>
              </w:rPr>
              <w:t>0.505</w:t>
            </w:r>
          </w:p>
        </w:tc>
        <w:tc>
          <w:tcPr>
            <w:tcW w:w="1200" w:type="dxa"/>
            <w:tcMar>
              <w:top w:w="40" w:type="dxa"/>
              <w:left w:w="80" w:type="dxa"/>
              <w:bottom w:w="40" w:type="dxa"/>
              <w:right w:w="80" w:type="dxa"/>
            </w:tcMar>
          </w:tcPr>
          <w:p w14:paraId="621C9705" w14:textId="77777777" w:rsidR="00786263" w:rsidRDefault="0034197B">
            <w:r>
              <w:rPr>
                <w:sz w:val="20"/>
                <w:szCs w:val="20"/>
              </w:rPr>
              <w:t>22.2%</w:t>
            </w:r>
          </w:p>
        </w:tc>
        <w:tc>
          <w:tcPr>
            <w:tcW w:w="1200" w:type="dxa"/>
            <w:tcMar>
              <w:top w:w="40" w:type="dxa"/>
              <w:left w:w="80" w:type="dxa"/>
              <w:bottom w:w="40" w:type="dxa"/>
              <w:right w:w="80" w:type="dxa"/>
            </w:tcMar>
          </w:tcPr>
          <w:p w14:paraId="621C9706" w14:textId="77777777" w:rsidR="00786263" w:rsidRDefault="0034197B">
            <w:r>
              <w:rPr>
                <w:sz w:val="20"/>
                <w:szCs w:val="20"/>
              </w:rPr>
              <w:t>8.5%</w:t>
            </w:r>
          </w:p>
        </w:tc>
        <w:tc>
          <w:tcPr>
            <w:tcW w:w="1000" w:type="dxa"/>
            <w:tcMar>
              <w:top w:w="40" w:type="dxa"/>
              <w:left w:w="80" w:type="dxa"/>
              <w:bottom w:w="40" w:type="dxa"/>
              <w:right w:w="80" w:type="dxa"/>
            </w:tcMar>
          </w:tcPr>
          <w:p w14:paraId="621C9707" w14:textId="77777777" w:rsidR="00786263" w:rsidRDefault="0034197B">
            <w:r>
              <w:rPr>
                <w:sz w:val="20"/>
                <w:szCs w:val="20"/>
              </w:rPr>
              <w:t>2.62×</w:t>
            </w:r>
          </w:p>
        </w:tc>
      </w:tr>
      <w:tr w:rsidR="00786263" w14:paraId="621C9710" w14:textId="77777777">
        <w:tblPrEx>
          <w:tblCellMar>
            <w:top w:w="0" w:type="dxa"/>
            <w:bottom w:w="0" w:type="dxa"/>
          </w:tblCellMar>
        </w:tblPrEx>
        <w:tc>
          <w:tcPr>
            <w:tcW w:w="1500" w:type="dxa"/>
            <w:tcMar>
              <w:top w:w="40" w:type="dxa"/>
              <w:left w:w="80" w:type="dxa"/>
              <w:bottom w:w="40" w:type="dxa"/>
              <w:right w:w="80" w:type="dxa"/>
            </w:tcMar>
          </w:tcPr>
          <w:p w14:paraId="621C9709" w14:textId="77777777" w:rsidR="00786263" w:rsidRDefault="0034197B">
            <w:r>
              <w:rPr>
                <w:sz w:val="20"/>
                <w:szCs w:val="20"/>
              </w:rPr>
              <w:t>Anchored</w:t>
            </w:r>
          </w:p>
        </w:tc>
        <w:tc>
          <w:tcPr>
            <w:tcW w:w="900" w:type="dxa"/>
            <w:tcMar>
              <w:top w:w="40" w:type="dxa"/>
              <w:left w:w="80" w:type="dxa"/>
              <w:bottom w:w="40" w:type="dxa"/>
              <w:right w:w="80" w:type="dxa"/>
            </w:tcMar>
          </w:tcPr>
          <w:p w14:paraId="621C970A" w14:textId="77777777" w:rsidR="00786263" w:rsidRDefault="0034197B">
            <w:r>
              <w:rPr>
                <w:sz w:val="20"/>
                <w:szCs w:val="20"/>
              </w:rPr>
              <w:t>0.271</w:t>
            </w:r>
          </w:p>
        </w:tc>
        <w:tc>
          <w:tcPr>
            <w:tcW w:w="900" w:type="dxa"/>
            <w:tcMar>
              <w:top w:w="40" w:type="dxa"/>
              <w:left w:w="80" w:type="dxa"/>
              <w:bottom w:w="40" w:type="dxa"/>
              <w:right w:w="80" w:type="dxa"/>
            </w:tcMar>
          </w:tcPr>
          <w:p w14:paraId="621C970B" w14:textId="77777777" w:rsidR="00786263" w:rsidRDefault="0034197B">
            <w:r>
              <w:rPr>
                <w:sz w:val="20"/>
                <w:szCs w:val="20"/>
              </w:rPr>
              <w:t>1.483</w:t>
            </w:r>
          </w:p>
        </w:tc>
        <w:tc>
          <w:tcPr>
            <w:tcW w:w="1000" w:type="dxa"/>
            <w:tcMar>
              <w:top w:w="40" w:type="dxa"/>
              <w:left w:w="80" w:type="dxa"/>
              <w:bottom w:w="40" w:type="dxa"/>
              <w:right w:w="80" w:type="dxa"/>
            </w:tcMar>
          </w:tcPr>
          <w:p w14:paraId="621C970C" w14:textId="77777777" w:rsidR="00786263" w:rsidRDefault="0034197B">
            <w:r>
              <w:rPr>
                <w:sz w:val="20"/>
                <w:szCs w:val="20"/>
              </w:rPr>
              <w:t>0.512</w:t>
            </w:r>
          </w:p>
        </w:tc>
        <w:tc>
          <w:tcPr>
            <w:tcW w:w="1200" w:type="dxa"/>
            <w:tcMar>
              <w:top w:w="40" w:type="dxa"/>
              <w:left w:w="80" w:type="dxa"/>
              <w:bottom w:w="40" w:type="dxa"/>
              <w:right w:w="80" w:type="dxa"/>
            </w:tcMar>
          </w:tcPr>
          <w:p w14:paraId="621C970D" w14:textId="77777777" w:rsidR="00786263" w:rsidRDefault="0034197B">
            <w:r>
              <w:rPr>
                <w:sz w:val="20"/>
                <w:szCs w:val="20"/>
              </w:rPr>
              <w:t>19.6%</w:t>
            </w:r>
          </w:p>
        </w:tc>
        <w:tc>
          <w:tcPr>
            <w:tcW w:w="1200" w:type="dxa"/>
            <w:tcMar>
              <w:top w:w="40" w:type="dxa"/>
              <w:left w:w="80" w:type="dxa"/>
              <w:bottom w:w="40" w:type="dxa"/>
              <w:right w:w="80" w:type="dxa"/>
            </w:tcMar>
          </w:tcPr>
          <w:p w14:paraId="621C970E" w14:textId="77777777" w:rsidR="00786263" w:rsidRDefault="0034197B">
            <w:r>
              <w:rPr>
                <w:sz w:val="20"/>
                <w:szCs w:val="20"/>
              </w:rPr>
              <w:t>6.4%</w:t>
            </w:r>
          </w:p>
        </w:tc>
        <w:tc>
          <w:tcPr>
            <w:tcW w:w="1000" w:type="dxa"/>
            <w:tcMar>
              <w:top w:w="40" w:type="dxa"/>
              <w:left w:w="80" w:type="dxa"/>
              <w:bottom w:w="40" w:type="dxa"/>
              <w:right w:w="80" w:type="dxa"/>
            </w:tcMar>
          </w:tcPr>
          <w:p w14:paraId="621C970F" w14:textId="77777777" w:rsidR="00786263" w:rsidRDefault="0034197B">
            <w:r>
              <w:rPr>
                <w:sz w:val="20"/>
                <w:szCs w:val="20"/>
              </w:rPr>
              <w:t>3.08×</w:t>
            </w:r>
          </w:p>
        </w:tc>
      </w:tr>
      <w:tr w:rsidR="00786263" w14:paraId="621C9718" w14:textId="77777777">
        <w:tblPrEx>
          <w:tblCellMar>
            <w:top w:w="0" w:type="dxa"/>
            <w:bottom w:w="0" w:type="dxa"/>
          </w:tblCellMar>
        </w:tblPrEx>
        <w:tc>
          <w:tcPr>
            <w:tcW w:w="1500" w:type="dxa"/>
            <w:tcBorders>
              <w:bottom w:val="single" w:sz="1" w:space="0" w:color="000000"/>
            </w:tcBorders>
            <w:tcMar>
              <w:top w:w="40" w:type="dxa"/>
              <w:left w:w="80" w:type="dxa"/>
              <w:bottom w:w="40" w:type="dxa"/>
              <w:right w:w="80" w:type="dxa"/>
            </w:tcMar>
          </w:tcPr>
          <w:p w14:paraId="621C9711" w14:textId="77777777" w:rsidR="00786263" w:rsidRDefault="0034197B">
            <w:r>
              <w:rPr>
                <w:sz w:val="20"/>
                <w:szCs w:val="20"/>
              </w:rPr>
              <w:t>EBP</w:t>
            </w:r>
          </w:p>
        </w:tc>
        <w:tc>
          <w:tcPr>
            <w:tcW w:w="900" w:type="dxa"/>
            <w:tcBorders>
              <w:bottom w:val="single" w:sz="1" w:space="0" w:color="000000"/>
            </w:tcBorders>
            <w:tcMar>
              <w:top w:w="40" w:type="dxa"/>
              <w:left w:w="80" w:type="dxa"/>
              <w:bottom w:w="40" w:type="dxa"/>
              <w:right w:w="80" w:type="dxa"/>
            </w:tcMar>
          </w:tcPr>
          <w:p w14:paraId="621C9712" w14:textId="77777777" w:rsidR="00786263" w:rsidRDefault="0034197B">
            <w:r>
              <w:rPr>
                <w:sz w:val="20"/>
                <w:szCs w:val="20"/>
              </w:rPr>
              <w:t>0.263</w:t>
            </w:r>
          </w:p>
        </w:tc>
        <w:tc>
          <w:tcPr>
            <w:tcW w:w="900" w:type="dxa"/>
            <w:tcBorders>
              <w:bottom w:val="single" w:sz="1" w:space="0" w:color="000000"/>
            </w:tcBorders>
            <w:tcMar>
              <w:top w:w="40" w:type="dxa"/>
              <w:left w:w="80" w:type="dxa"/>
              <w:bottom w:w="40" w:type="dxa"/>
              <w:right w:w="80" w:type="dxa"/>
            </w:tcMar>
          </w:tcPr>
          <w:p w14:paraId="621C9713" w14:textId="77777777" w:rsidR="00786263" w:rsidRDefault="0034197B">
            <w:r>
              <w:rPr>
                <w:sz w:val="20"/>
                <w:szCs w:val="20"/>
              </w:rPr>
              <w:t>1.547</w:t>
            </w:r>
          </w:p>
        </w:tc>
        <w:tc>
          <w:tcPr>
            <w:tcW w:w="1000" w:type="dxa"/>
            <w:tcBorders>
              <w:bottom w:val="single" w:sz="1" w:space="0" w:color="000000"/>
            </w:tcBorders>
            <w:tcMar>
              <w:top w:w="40" w:type="dxa"/>
              <w:left w:w="80" w:type="dxa"/>
              <w:bottom w:w="40" w:type="dxa"/>
              <w:right w:w="80" w:type="dxa"/>
            </w:tcMar>
          </w:tcPr>
          <w:p w14:paraId="621C9714" w14:textId="77777777" w:rsidR="00786263" w:rsidRDefault="0034197B">
            <w:r>
              <w:rPr>
                <w:sz w:val="20"/>
                <w:szCs w:val="20"/>
              </w:rPr>
              <w:t>0.529</w:t>
            </w:r>
          </w:p>
        </w:tc>
        <w:tc>
          <w:tcPr>
            <w:tcW w:w="1200" w:type="dxa"/>
            <w:tcBorders>
              <w:bottom w:val="single" w:sz="1" w:space="0" w:color="000000"/>
            </w:tcBorders>
            <w:tcMar>
              <w:top w:w="40" w:type="dxa"/>
              <w:left w:w="80" w:type="dxa"/>
              <w:bottom w:w="40" w:type="dxa"/>
              <w:right w:w="80" w:type="dxa"/>
            </w:tcMar>
          </w:tcPr>
          <w:p w14:paraId="621C9715" w14:textId="77777777" w:rsidR="00786263" w:rsidRDefault="0034197B">
            <w:r>
              <w:rPr>
                <w:sz w:val="20"/>
                <w:szCs w:val="20"/>
              </w:rPr>
              <w:t>18.8%</w:t>
            </w:r>
          </w:p>
        </w:tc>
        <w:tc>
          <w:tcPr>
            <w:tcW w:w="1200" w:type="dxa"/>
            <w:tcBorders>
              <w:bottom w:val="single" w:sz="1" w:space="0" w:color="000000"/>
            </w:tcBorders>
            <w:tcMar>
              <w:top w:w="40" w:type="dxa"/>
              <w:left w:w="80" w:type="dxa"/>
              <w:bottom w:w="40" w:type="dxa"/>
              <w:right w:w="80" w:type="dxa"/>
            </w:tcMar>
          </w:tcPr>
          <w:p w14:paraId="621C9716" w14:textId="77777777" w:rsidR="00786263" w:rsidRDefault="0034197B">
            <w:r>
              <w:rPr>
                <w:sz w:val="20"/>
                <w:szCs w:val="20"/>
              </w:rPr>
              <w:t>5.8%</w:t>
            </w:r>
          </w:p>
        </w:tc>
        <w:tc>
          <w:tcPr>
            <w:tcW w:w="1000" w:type="dxa"/>
            <w:tcBorders>
              <w:bottom w:val="single" w:sz="1" w:space="0" w:color="000000"/>
            </w:tcBorders>
            <w:tcMar>
              <w:top w:w="40" w:type="dxa"/>
              <w:left w:w="80" w:type="dxa"/>
              <w:bottom w:w="40" w:type="dxa"/>
              <w:right w:w="80" w:type="dxa"/>
            </w:tcMar>
          </w:tcPr>
          <w:p w14:paraId="621C9717" w14:textId="77777777" w:rsidR="00786263" w:rsidRDefault="0034197B">
            <w:r>
              <w:rPr>
                <w:sz w:val="20"/>
                <w:szCs w:val="20"/>
              </w:rPr>
              <w:t>3.24×</w:t>
            </w:r>
          </w:p>
        </w:tc>
      </w:tr>
    </w:tbl>
    <w:p w14:paraId="621C9719" w14:textId="77777777" w:rsidR="00786263" w:rsidRDefault="0034197B">
      <w:pPr>
        <w:spacing w:after="200" w:line="360" w:lineRule="auto"/>
      </w:pPr>
      <w:r>
        <w:rPr>
          <w:i/>
          <w:iCs/>
        </w:rPr>
        <w:t>Grounding reduces hallucination rates but overdispersion remains high (ρ ≈ 1.5).</w:t>
      </w:r>
    </w:p>
    <w:p w14:paraId="621C971A" w14:textId="77777777" w:rsidR="00786263" w:rsidRDefault="0034197B">
      <w:pPr>
        <w:spacing w:before="240" w:after="120" w:line="360" w:lineRule="auto"/>
      </w:pPr>
      <w:r>
        <w:rPr>
          <w:b/>
          <w:bCs/>
        </w:rPr>
        <w:t>Supplementary Table 5: Decision gating analysis</w:t>
      </w:r>
    </w:p>
    <w:tbl>
      <w:tblPr>
        <w:tblW w:w="8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1800"/>
        <w:gridCol w:w="2200"/>
        <w:gridCol w:w="1400"/>
        <w:gridCol w:w="1400"/>
      </w:tblGrid>
      <w:tr w:rsidR="00786263" w14:paraId="621C9720" w14:textId="77777777">
        <w:tblPrEx>
          <w:tblCellMar>
            <w:top w:w="0" w:type="dxa"/>
            <w:bottom w:w="0" w:type="dxa"/>
          </w:tblCellMar>
        </w:tblPrEx>
        <w:tc>
          <w:tcPr>
            <w:tcW w:w="1500" w:type="dxa"/>
            <w:tcBorders>
              <w:top w:val="single" w:sz="1" w:space="0" w:color="000000"/>
              <w:bottom w:val="single" w:sz="1" w:space="0" w:color="000000"/>
            </w:tcBorders>
            <w:tcMar>
              <w:top w:w="40" w:type="dxa"/>
              <w:left w:w="80" w:type="dxa"/>
              <w:bottom w:w="40" w:type="dxa"/>
              <w:right w:w="80" w:type="dxa"/>
            </w:tcMar>
          </w:tcPr>
          <w:p w14:paraId="621C971B" w14:textId="77777777" w:rsidR="00786263" w:rsidRDefault="0034197B">
            <w:r>
              <w:rPr>
                <w:b/>
                <w:bCs/>
                <w:sz w:val="20"/>
                <w:szCs w:val="20"/>
              </w:rPr>
              <w:t>Threshold θ</w:t>
            </w:r>
          </w:p>
        </w:tc>
        <w:tc>
          <w:tcPr>
            <w:tcW w:w="1800" w:type="dxa"/>
            <w:tcBorders>
              <w:top w:val="single" w:sz="1" w:space="0" w:color="000000"/>
              <w:bottom w:val="single" w:sz="1" w:space="0" w:color="000000"/>
            </w:tcBorders>
            <w:tcMar>
              <w:top w:w="40" w:type="dxa"/>
              <w:left w:w="80" w:type="dxa"/>
              <w:bottom w:w="40" w:type="dxa"/>
              <w:right w:w="80" w:type="dxa"/>
            </w:tcMar>
          </w:tcPr>
          <w:p w14:paraId="621C971C" w14:textId="77777777" w:rsidR="00786263" w:rsidRDefault="0034197B">
            <w:r>
              <w:rPr>
                <w:b/>
                <w:bCs/>
                <w:sz w:val="20"/>
                <w:szCs w:val="20"/>
              </w:rPr>
              <w:t>Responses gated</w:t>
            </w:r>
          </w:p>
        </w:tc>
        <w:tc>
          <w:tcPr>
            <w:tcW w:w="2200" w:type="dxa"/>
            <w:tcBorders>
              <w:top w:val="single" w:sz="1" w:space="0" w:color="000000"/>
              <w:bottom w:val="single" w:sz="1" w:space="0" w:color="000000"/>
            </w:tcBorders>
            <w:tcMar>
              <w:top w:w="40" w:type="dxa"/>
              <w:left w:w="80" w:type="dxa"/>
              <w:bottom w:w="40" w:type="dxa"/>
              <w:right w:w="80" w:type="dxa"/>
            </w:tcMar>
          </w:tcPr>
          <w:p w14:paraId="621C971D" w14:textId="77777777" w:rsidR="00786263" w:rsidRDefault="0034197B">
            <w:proofErr w:type="spellStart"/>
            <w:r>
              <w:rPr>
                <w:b/>
                <w:bCs/>
                <w:sz w:val="20"/>
                <w:szCs w:val="20"/>
              </w:rPr>
              <w:t>Halluc</w:t>
            </w:r>
            <w:proofErr w:type="spellEnd"/>
            <w:r>
              <w:rPr>
                <w:b/>
                <w:bCs/>
                <w:sz w:val="20"/>
                <w:szCs w:val="20"/>
              </w:rPr>
              <w:t>. rate (passed)</w:t>
            </w:r>
          </w:p>
        </w:tc>
        <w:tc>
          <w:tcPr>
            <w:tcW w:w="1400" w:type="dxa"/>
            <w:tcBorders>
              <w:top w:val="single" w:sz="1" w:space="0" w:color="000000"/>
              <w:bottom w:val="single" w:sz="1" w:space="0" w:color="000000"/>
            </w:tcBorders>
            <w:tcMar>
              <w:top w:w="40" w:type="dxa"/>
              <w:left w:w="80" w:type="dxa"/>
              <w:bottom w:w="40" w:type="dxa"/>
              <w:right w:w="80" w:type="dxa"/>
            </w:tcMar>
          </w:tcPr>
          <w:p w14:paraId="621C971E" w14:textId="77777777" w:rsidR="00786263" w:rsidRDefault="0034197B">
            <w:r>
              <w:rPr>
                <w:b/>
                <w:bCs/>
                <w:sz w:val="20"/>
                <w:szCs w:val="20"/>
              </w:rPr>
              <w:t>Reduction</w:t>
            </w:r>
          </w:p>
        </w:tc>
        <w:tc>
          <w:tcPr>
            <w:tcW w:w="1400" w:type="dxa"/>
            <w:tcBorders>
              <w:top w:val="single" w:sz="1" w:space="0" w:color="000000"/>
              <w:bottom w:val="single" w:sz="1" w:space="0" w:color="000000"/>
            </w:tcBorders>
            <w:tcMar>
              <w:top w:w="40" w:type="dxa"/>
              <w:left w:w="80" w:type="dxa"/>
              <w:bottom w:w="40" w:type="dxa"/>
              <w:right w:w="80" w:type="dxa"/>
            </w:tcMar>
          </w:tcPr>
          <w:p w14:paraId="621C971F" w14:textId="77777777" w:rsidR="00786263" w:rsidRDefault="0034197B">
            <w:r>
              <w:rPr>
                <w:b/>
                <w:bCs/>
                <w:sz w:val="20"/>
                <w:szCs w:val="20"/>
              </w:rPr>
              <w:t>Coverage</w:t>
            </w:r>
          </w:p>
        </w:tc>
      </w:tr>
      <w:tr w:rsidR="00786263" w14:paraId="621C9726" w14:textId="77777777">
        <w:tblPrEx>
          <w:tblCellMar>
            <w:top w:w="0" w:type="dxa"/>
            <w:bottom w:w="0" w:type="dxa"/>
          </w:tblCellMar>
        </w:tblPrEx>
        <w:tc>
          <w:tcPr>
            <w:tcW w:w="1500" w:type="dxa"/>
            <w:tcMar>
              <w:top w:w="40" w:type="dxa"/>
              <w:left w:w="80" w:type="dxa"/>
              <w:bottom w:w="40" w:type="dxa"/>
              <w:right w:w="80" w:type="dxa"/>
            </w:tcMar>
          </w:tcPr>
          <w:p w14:paraId="621C9721" w14:textId="77777777" w:rsidR="00786263" w:rsidRDefault="0034197B">
            <w:r>
              <w:rPr>
                <w:sz w:val="20"/>
                <w:szCs w:val="20"/>
              </w:rPr>
              <w:t>≥ 0.2</w:t>
            </w:r>
          </w:p>
        </w:tc>
        <w:tc>
          <w:tcPr>
            <w:tcW w:w="1800" w:type="dxa"/>
            <w:tcMar>
              <w:top w:w="40" w:type="dxa"/>
              <w:left w:w="80" w:type="dxa"/>
              <w:bottom w:w="40" w:type="dxa"/>
              <w:right w:w="80" w:type="dxa"/>
            </w:tcMar>
          </w:tcPr>
          <w:p w14:paraId="621C9722" w14:textId="77777777" w:rsidR="00786263" w:rsidRDefault="0034197B">
            <w:r>
              <w:rPr>
                <w:sz w:val="20"/>
                <w:szCs w:val="20"/>
              </w:rPr>
              <w:t>3,728</w:t>
            </w:r>
          </w:p>
        </w:tc>
        <w:tc>
          <w:tcPr>
            <w:tcW w:w="2200" w:type="dxa"/>
            <w:tcMar>
              <w:top w:w="40" w:type="dxa"/>
              <w:left w:w="80" w:type="dxa"/>
              <w:bottom w:w="40" w:type="dxa"/>
              <w:right w:w="80" w:type="dxa"/>
            </w:tcMar>
          </w:tcPr>
          <w:p w14:paraId="621C9723" w14:textId="77777777" w:rsidR="00786263" w:rsidRDefault="0034197B">
            <w:r>
              <w:rPr>
                <w:sz w:val="20"/>
                <w:szCs w:val="20"/>
              </w:rPr>
              <w:t>21.7%</w:t>
            </w:r>
          </w:p>
        </w:tc>
        <w:tc>
          <w:tcPr>
            <w:tcW w:w="1400" w:type="dxa"/>
            <w:tcMar>
              <w:top w:w="40" w:type="dxa"/>
              <w:left w:w="80" w:type="dxa"/>
              <w:bottom w:w="40" w:type="dxa"/>
              <w:right w:w="80" w:type="dxa"/>
            </w:tcMar>
          </w:tcPr>
          <w:p w14:paraId="621C9724" w14:textId="77777777" w:rsidR="00786263" w:rsidRDefault="0034197B">
            <w:r>
              <w:rPr>
                <w:sz w:val="20"/>
                <w:szCs w:val="20"/>
              </w:rPr>
              <w:t>26.2%</w:t>
            </w:r>
          </w:p>
        </w:tc>
        <w:tc>
          <w:tcPr>
            <w:tcW w:w="1400" w:type="dxa"/>
            <w:tcMar>
              <w:top w:w="40" w:type="dxa"/>
              <w:left w:w="80" w:type="dxa"/>
              <w:bottom w:w="40" w:type="dxa"/>
              <w:right w:w="80" w:type="dxa"/>
            </w:tcMar>
          </w:tcPr>
          <w:p w14:paraId="621C9725" w14:textId="77777777" w:rsidR="00786263" w:rsidRDefault="0034197B">
            <w:r>
              <w:rPr>
                <w:sz w:val="20"/>
                <w:szCs w:val="20"/>
              </w:rPr>
              <w:t>72.8%</w:t>
            </w:r>
          </w:p>
        </w:tc>
      </w:tr>
      <w:tr w:rsidR="00786263" w14:paraId="621C972C" w14:textId="77777777">
        <w:tblPrEx>
          <w:tblCellMar>
            <w:top w:w="0" w:type="dxa"/>
            <w:bottom w:w="0" w:type="dxa"/>
          </w:tblCellMar>
        </w:tblPrEx>
        <w:tc>
          <w:tcPr>
            <w:tcW w:w="1500" w:type="dxa"/>
            <w:tcMar>
              <w:top w:w="40" w:type="dxa"/>
              <w:left w:w="80" w:type="dxa"/>
              <w:bottom w:w="40" w:type="dxa"/>
              <w:right w:w="80" w:type="dxa"/>
            </w:tcMar>
          </w:tcPr>
          <w:p w14:paraId="621C9727" w14:textId="77777777" w:rsidR="00786263" w:rsidRDefault="0034197B">
            <w:r>
              <w:rPr>
                <w:sz w:val="20"/>
                <w:szCs w:val="20"/>
              </w:rPr>
              <w:t>≥ 0.4</w:t>
            </w:r>
          </w:p>
        </w:tc>
        <w:tc>
          <w:tcPr>
            <w:tcW w:w="1800" w:type="dxa"/>
            <w:tcMar>
              <w:top w:w="40" w:type="dxa"/>
              <w:left w:w="80" w:type="dxa"/>
              <w:bottom w:w="40" w:type="dxa"/>
              <w:right w:w="80" w:type="dxa"/>
            </w:tcMar>
          </w:tcPr>
          <w:p w14:paraId="621C9728" w14:textId="77777777" w:rsidR="00786263" w:rsidRDefault="0034197B">
            <w:r>
              <w:rPr>
                <w:sz w:val="20"/>
                <w:szCs w:val="20"/>
              </w:rPr>
              <w:t>5,900</w:t>
            </w:r>
          </w:p>
        </w:tc>
        <w:tc>
          <w:tcPr>
            <w:tcW w:w="2200" w:type="dxa"/>
            <w:tcMar>
              <w:top w:w="40" w:type="dxa"/>
              <w:left w:w="80" w:type="dxa"/>
              <w:bottom w:w="40" w:type="dxa"/>
              <w:right w:w="80" w:type="dxa"/>
            </w:tcMar>
          </w:tcPr>
          <w:p w14:paraId="621C9729" w14:textId="77777777" w:rsidR="00786263" w:rsidRDefault="0034197B">
            <w:r>
              <w:rPr>
                <w:sz w:val="20"/>
                <w:szCs w:val="20"/>
              </w:rPr>
              <w:t>16.9%</w:t>
            </w:r>
          </w:p>
        </w:tc>
        <w:tc>
          <w:tcPr>
            <w:tcW w:w="1400" w:type="dxa"/>
            <w:tcMar>
              <w:top w:w="40" w:type="dxa"/>
              <w:left w:w="80" w:type="dxa"/>
              <w:bottom w:w="40" w:type="dxa"/>
              <w:right w:w="80" w:type="dxa"/>
            </w:tcMar>
          </w:tcPr>
          <w:p w14:paraId="621C972A" w14:textId="77777777" w:rsidR="00786263" w:rsidRDefault="0034197B">
            <w:r>
              <w:rPr>
                <w:sz w:val="20"/>
                <w:szCs w:val="20"/>
              </w:rPr>
              <w:t>42.4%</w:t>
            </w:r>
          </w:p>
        </w:tc>
        <w:tc>
          <w:tcPr>
            <w:tcW w:w="1400" w:type="dxa"/>
            <w:tcMar>
              <w:top w:w="40" w:type="dxa"/>
              <w:left w:w="80" w:type="dxa"/>
              <w:bottom w:w="40" w:type="dxa"/>
              <w:right w:w="80" w:type="dxa"/>
            </w:tcMar>
          </w:tcPr>
          <w:p w14:paraId="621C972B" w14:textId="77777777" w:rsidR="00786263" w:rsidRDefault="0034197B">
            <w:r>
              <w:rPr>
                <w:sz w:val="20"/>
                <w:szCs w:val="20"/>
              </w:rPr>
              <w:t>57.0%</w:t>
            </w:r>
          </w:p>
        </w:tc>
      </w:tr>
      <w:tr w:rsidR="00786263" w14:paraId="621C9732" w14:textId="77777777">
        <w:tblPrEx>
          <w:tblCellMar>
            <w:top w:w="0" w:type="dxa"/>
            <w:bottom w:w="0" w:type="dxa"/>
          </w:tblCellMar>
        </w:tblPrEx>
        <w:tc>
          <w:tcPr>
            <w:tcW w:w="1500" w:type="dxa"/>
            <w:tcMar>
              <w:top w:w="40" w:type="dxa"/>
              <w:left w:w="80" w:type="dxa"/>
              <w:bottom w:w="40" w:type="dxa"/>
              <w:right w:w="80" w:type="dxa"/>
            </w:tcMar>
          </w:tcPr>
          <w:p w14:paraId="621C972D" w14:textId="77777777" w:rsidR="00786263" w:rsidRDefault="0034197B">
            <w:r>
              <w:rPr>
                <w:sz w:val="20"/>
                <w:szCs w:val="20"/>
              </w:rPr>
              <w:t>≥ 0.6</w:t>
            </w:r>
          </w:p>
        </w:tc>
        <w:tc>
          <w:tcPr>
            <w:tcW w:w="1800" w:type="dxa"/>
            <w:tcMar>
              <w:top w:w="40" w:type="dxa"/>
              <w:left w:w="80" w:type="dxa"/>
              <w:bottom w:w="40" w:type="dxa"/>
              <w:right w:w="80" w:type="dxa"/>
            </w:tcMar>
          </w:tcPr>
          <w:p w14:paraId="621C972E" w14:textId="77777777" w:rsidR="00786263" w:rsidRDefault="0034197B">
            <w:r>
              <w:rPr>
                <w:sz w:val="20"/>
                <w:szCs w:val="20"/>
              </w:rPr>
              <w:t>8,480</w:t>
            </w:r>
          </w:p>
        </w:tc>
        <w:tc>
          <w:tcPr>
            <w:tcW w:w="2200" w:type="dxa"/>
            <w:tcMar>
              <w:top w:w="40" w:type="dxa"/>
              <w:left w:w="80" w:type="dxa"/>
              <w:bottom w:w="40" w:type="dxa"/>
              <w:right w:w="80" w:type="dxa"/>
            </w:tcMar>
          </w:tcPr>
          <w:p w14:paraId="621C972F" w14:textId="77777777" w:rsidR="00786263" w:rsidRDefault="0034197B">
            <w:r>
              <w:rPr>
                <w:sz w:val="20"/>
                <w:szCs w:val="20"/>
              </w:rPr>
              <w:t>11.9%</w:t>
            </w:r>
          </w:p>
        </w:tc>
        <w:tc>
          <w:tcPr>
            <w:tcW w:w="1400" w:type="dxa"/>
            <w:tcMar>
              <w:top w:w="40" w:type="dxa"/>
              <w:left w:w="80" w:type="dxa"/>
              <w:bottom w:w="40" w:type="dxa"/>
              <w:right w:w="80" w:type="dxa"/>
            </w:tcMar>
          </w:tcPr>
          <w:p w14:paraId="621C9730" w14:textId="77777777" w:rsidR="00786263" w:rsidRDefault="0034197B">
            <w:r>
              <w:rPr>
                <w:sz w:val="20"/>
                <w:szCs w:val="20"/>
              </w:rPr>
              <w:t>59.5%</w:t>
            </w:r>
          </w:p>
        </w:tc>
        <w:tc>
          <w:tcPr>
            <w:tcW w:w="1400" w:type="dxa"/>
            <w:tcMar>
              <w:top w:w="40" w:type="dxa"/>
              <w:left w:w="80" w:type="dxa"/>
              <w:bottom w:w="40" w:type="dxa"/>
              <w:right w:w="80" w:type="dxa"/>
            </w:tcMar>
          </w:tcPr>
          <w:p w14:paraId="621C9731" w14:textId="77777777" w:rsidR="00786263" w:rsidRDefault="0034197B">
            <w:r>
              <w:rPr>
                <w:sz w:val="20"/>
                <w:szCs w:val="20"/>
              </w:rPr>
              <w:t>38.2%</w:t>
            </w:r>
          </w:p>
        </w:tc>
      </w:tr>
      <w:tr w:rsidR="00786263" w14:paraId="621C9738" w14:textId="77777777">
        <w:tblPrEx>
          <w:tblCellMar>
            <w:top w:w="0" w:type="dxa"/>
            <w:bottom w:w="0" w:type="dxa"/>
          </w:tblCellMar>
        </w:tblPrEx>
        <w:tc>
          <w:tcPr>
            <w:tcW w:w="1500" w:type="dxa"/>
            <w:tcMar>
              <w:top w:w="40" w:type="dxa"/>
              <w:left w:w="80" w:type="dxa"/>
              <w:bottom w:w="40" w:type="dxa"/>
              <w:right w:w="80" w:type="dxa"/>
            </w:tcMar>
          </w:tcPr>
          <w:p w14:paraId="621C9733" w14:textId="77777777" w:rsidR="00786263" w:rsidRDefault="0034197B">
            <w:r>
              <w:rPr>
                <w:sz w:val="20"/>
                <w:szCs w:val="20"/>
              </w:rPr>
              <w:t>≥ 0.8</w:t>
            </w:r>
          </w:p>
        </w:tc>
        <w:tc>
          <w:tcPr>
            <w:tcW w:w="1800" w:type="dxa"/>
            <w:tcMar>
              <w:top w:w="40" w:type="dxa"/>
              <w:left w:w="80" w:type="dxa"/>
              <w:bottom w:w="40" w:type="dxa"/>
              <w:right w:w="80" w:type="dxa"/>
            </w:tcMar>
          </w:tcPr>
          <w:p w14:paraId="621C9734" w14:textId="77777777" w:rsidR="00786263" w:rsidRDefault="0034197B">
            <w:r>
              <w:rPr>
                <w:sz w:val="20"/>
                <w:szCs w:val="20"/>
              </w:rPr>
              <w:t>9,676</w:t>
            </w:r>
          </w:p>
        </w:tc>
        <w:tc>
          <w:tcPr>
            <w:tcW w:w="2200" w:type="dxa"/>
            <w:tcMar>
              <w:top w:w="40" w:type="dxa"/>
              <w:left w:w="80" w:type="dxa"/>
              <w:bottom w:w="40" w:type="dxa"/>
              <w:right w:w="80" w:type="dxa"/>
            </w:tcMar>
          </w:tcPr>
          <w:p w14:paraId="621C9735" w14:textId="77777777" w:rsidR="00786263" w:rsidRDefault="0034197B">
            <w:r>
              <w:rPr>
                <w:sz w:val="20"/>
                <w:szCs w:val="20"/>
              </w:rPr>
              <w:t>8.2%</w:t>
            </w:r>
          </w:p>
        </w:tc>
        <w:tc>
          <w:tcPr>
            <w:tcW w:w="1400" w:type="dxa"/>
            <w:tcMar>
              <w:top w:w="40" w:type="dxa"/>
              <w:left w:w="80" w:type="dxa"/>
              <w:bottom w:w="40" w:type="dxa"/>
              <w:right w:w="80" w:type="dxa"/>
            </w:tcMar>
          </w:tcPr>
          <w:p w14:paraId="621C9736" w14:textId="77777777" w:rsidR="00786263" w:rsidRDefault="0034197B">
            <w:r>
              <w:rPr>
                <w:sz w:val="20"/>
                <w:szCs w:val="20"/>
              </w:rPr>
              <w:t>72.0%</w:t>
            </w:r>
          </w:p>
        </w:tc>
        <w:tc>
          <w:tcPr>
            <w:tcW w:w="1400" w:type="dxa"/>
            <w:tcMar>
              <w:top w:w="40" w:type="dxa"/>
              <w:left w:w="80" w:type="dxa"/>
              <w:bottom w:w="40" w:type="dxa"/>
              <w:right w:w="80" w:type="dxa"/>
            </w:tcMar>
          </w:tcPr>
          <w:p w14:paraId="621C9737" w14:textId="77777777" w:rsidR="00786263" w:rsidRDefault="0034197B">
            <w:r>
              <w:rPr>
                <w:sz w:val="20"/>
                <w:szCs w:val="20"/>
              </w:rPr>
              <w:t>29.5%</w:t>
            </w:r>
          </w:p>
        </w:tc>
      </w:tr>
      <w:tr w:rsidR="00786263" w14:paraId="621C973E" w14:textId="77777777">
        <w:tblPrEx>
          <w:tblCellMar>
            <w:top w:w="0" w:type="dxa"/>
            <w:bottom w:w="0" w:type="dxa"/>
          </w:tblCellMar>
        </w:tblPrEx>
        <w:tc>
          <w:tcPr>
            <w:tcW w:w="1500" w:type="dxa"/>
            <w:tcBorders>
              <w:bottom w:val="single" w:sz="1" w:space="0" w:color="000000"/>
            </w:tcBorders>
            <w:tcMar>
              <w:top w:w="40" w:type="dxa"/>
              <w:left w:w="80" w:type="dxa"/>
              <w:bottom w:w="40" w:type="dxa"/>
              <w:right w:w="80" w:type="dxa"/>
            </w:tcMar>
          </w:tcPr>
          <w:p w14:paraId="621C9739" w14:textId="77777777" w:rsidR="00786263" w:rsidRDefault="0034197B">
            <w:r>
              <w:rPr>
                <w:sz w:val="20"/>
                <w:szCs w:val="20"/>
              </w:rPr>
              <w:t>= 1.0</w:t>
            </w:r>
          </w:p>
        </w:tc>
        <w:tc>
          <w:tcPr>
            <w:tcW w:w="1800" w:type="dxa"/>
            <w:tcBorders>
              <w:bottom w:val="single" w:sz="1" w:space="0" w:color="000000"/>
            </w:tcBorders>
            <w:tcMar>
              <w:top w:w="40" w:type="dxa"/>
              <w:left w:w="80" w:type="dxa"/>
              <w:bottom w:w="40" w:type="dxa"/>
              <w:right w:w="80" w:type="dxa"/>
            </w:tcMar>
          </w:tcPr>
          <w:p w14:paraId="621C973A" w14:textId="77777777" w:rsidR="00786263" w:rsidRDefault="0034197B">
            <w:r>
              <w:rPr>
                <w:sz w:val="20"/>
                <w:szCs w:val="20"/>
              </w:rPr>
              <w:t>10,368</w:t>
            </w:r>
          </w:p>
        </w:tc>
        <w:tc>
          <w:tcPr>
            <w:tcW w:w="2200" w:type="dxa"/>
            <w:tcBorders>
              <w:bottom w:val="single" w:sz="1" w:space="0" w:color="000000"/>
            </w:tcBorders>
            <w:tcMar>
              <w:top w:w="40" w:type="dxa"/>
              <w:left w:w="80" w:type="dxa"/>
              <w:bottom w:w="40" w:type="dxa"/>
              <w:right w:w="80" w:type="dxa"/>
            </w:tcMar>
          </w:tcPr>
          <w:p w14:paraId="621C973B" w14:textId="77777777" w:rsidR="00786263" w:rsidRDefault="0034197B">
            <w:r>
              <w:rPr>
                <w:sz w:val="20"/>
                <w:szCs w:val="20"/>
              </w:rPr>
              <w:t>5.8%</w:t>
            </w:r>
          </w:p>
        </w:tc>
        <w:tc>
          <w:tcPr>
            <w:tcW w:w="1400" w:type="dxa"/>
            <w:tcBorders>
              <w:bottom w:val="single" w:sz="1" w:space="0" w:color="000000"/>
            </w:tcBorders>
            <w:tcMar>
              <w:top w:w="40" w:type="dxa"/>
              <w:left w:w="80" w:type="dxa"/>
              <w:bottom w:w="40" w:type="dxa"/>
              <w:right w:w="80" w:type="dxa"/>
            </w:tcMar>
          </w:tcPr>
          <w:p w14:paraId="621C973C" w14:textId="77777777" w:rsidR="00786263" w:rsidRDefault="0034197B">
            <w:r>
              <w:rPr>
                <w:sz w:val="20"/>
                <w:szCs w:val="20"/>
              </w:rPr>
              <w:t>80.3%</w:t>
            </w:r>
          </w:p>
        </w:tc>
        <w:tc>
          <w:tcPr>
            <w:tcW w:w="1400" w:type="dxa"/>
            <w:tcBorders>
              <w:bottom w:val="single" w:sz="1" w:space="0" w:color="000000"/>
            </w:tcBorders>
            <w:tcMar>
              <w:top w:w="40" w:type="dxa"/>
              <w:left w:w="80" w:type="dxa"/>
              <w:bottom w:w="40" w:type="dxa"/>
              <w:right w:w="80" w:type="dxa"/>
            </w:tcMar>
          </w:tcPr>
          <w:p w14:paraId="621C973D" w14:textId="77777777" w:rsidR="00786263" w:rsidRDefault="0034197B">
            <w:r>
              <w:rPr>
                <w:sz w:val="20"/>
                <w:szCs w:val="20"/>
              </w:rPr>
              <w:t>24.5%</w:t>
            </w:r>
          </w:p>
        </w:tc>
      </w:tr>
    </w:tbl>
    <w:p w14:paraId="621C973F" w14:textId="77777777" w:rsidR="00786263" w:rsidRDefault="0034197B">
      <w:r>
        <w:lastRenderedPageBreak/>
        <w:br w:type="page"/>
      </w:r>
    </w:p>
    <w:p w14:paraId="621C9740" w14:textId="77777777" w:rsidR="00786263" w:rsidRDefault="0034197B">
      <w:pPr>
        <w:spacing w:before="360" w:after="200" w:line="360" w:lineRule="auto"/>
      </w:pPr>
      <w:r>
        <w:rPr>
          <w:b/>
          <w:bCs/>
          <w:sz w:val="28"/>
          <w:szCs w:val="28"/>
        </w:rPr>
        <w:lastRenderedPageBreak/>
        <w:t>Supplementary Note 5: Majority Vote vs. Consensus Field — Worked Comparison</w:t>
      </w:r>
    </w:p>
    <w:p w14:paraId="621C9741" w14:textId="77777777" w:rsidR="00786263" w:rsidRDefault="0034197B">
      <w:pPr>
        <w:spacing w:after="200" w:line="360" w:lineRule="auto"/>
      </w:pPr>
      <w:r>
        <w:t>We present four diagnostic scenarios using real queries from our 13,728 validated responses, illustrating how majority vote and σ evaluate cases differently.</w:t>
      </w:r>
    </w:p>
    <w:p w14:paraId="621C9742" w14:textId="77777777" w:rsidR="00786263" w:rsidRDefault="0034197B">
      <w:pPr>
        <w:spacing w:before="240" w:after="120" w:line="360" w:lineRule="auto"/>
      </w:pPr>
      <w:r>
        <w:rPr>
          <w:b/>
          <w:bCs/>
        </w:rPr>
        <w:t>Scenario A: True consensus — both methods succeed</w:t>
      </w:r>
    </w:p>
    <w:p w14:paraId="621C9743" w14:textId="77777777" w:rsidR="00786263" w:rsidRDefault="0034197B">
      <w:pPr>
        <w:spacing w:after="200" w:line="360" w:lineRule="auto"/>
      </w:pPr>
      <w:r>
        <w:rPr>
          <w:b/>
          <w:bCs/>
        </w:rPr>
        <w:t xml:space="preserve">Query (Medical): </w:t>
      </w:r>
      <w:r>
        <w:t>"What is the antidote for acetaminophen overdose?" Ground truth: N-acetylcysteine. All four models correctly respond. Majority Vote: ACCEPT (✓). EFT σ = 1.000: ACCEPT (✓). This represents 813 of 840 query groups (96.8%) at σ = 1.0.</w:t>
      </w:r>
    </w:p>
    <w:p w14:paraId="621C9744" w14:textId="77777777" w:rsidR="00786263" w:rsidRDefault="0034197B">
      <w:pPr>
        <w:spacing w:before="240" w:after="120" w:line="360" w:lineRule="auto"/>
      </w:pPr>
      <w:r>
        <w:rPr>
          <w:b/>
          <w:bCs/>
        </w:rPr>
        <w:t>Scenario B: Correlated failure — σ detects, majority vote misses</w:t>
      </w:r>
    </w:p>
    <w:p w14:paraId="621C9745" w14:textId="77777777" w:rsidR="00786263" w:rsidRDefault="0034197B">
      <w:pPr>
        <w:spacing w:after="200" w:line="360" w:lineRule="auto"/>
      </w:pPr>
      <w:r>
        <w:rPr>
          <w:b/>
          <w:bCs/>
        </w:rPr>
        <w:t xml:space="preserve">Query (Medical): </w:t>
      </w:r>
      <w:r>
        <w:t>"What is GOLD classification based on?" Ground truth: FEV1 percentage. All models give related but incorrect answers about COPD classification. Majority Vote: ACCEPT (✗ MISS). EFT σ = 0.167: FLAG (✓). The models are wrong in different ways; semantic similarity captures this divergence while answer-level comparison cannot.</w:t>
      </w:r>
    </w:p>
    <w:p w14:paraId="621C9746" w14:textId="77777777" w:rsidR="00786263" w:rsidRDefault="0034197B">
      <w:pPr>
        <w:spacing w:before="240" w:after="120" w:line="360" w:lineRule="auto"/>
      </w:pPr>
      <w:r>
        <w:rPr>
          <w:b/>
          <w:bCs/>
        </w:rPr>
        <w:t>Scenario C: Shared blindness — both methods fail</w:t>
      </w:r>
    </w:p>
    <w:p w14:paraId="621C9747" w14:textId="77777777" w:rsidR="00786263" w:rsidRDefault="0034197B">
      <w:pPr>
        <w:spacing w:after="200" w:line="360" w:lineRule="auto"/>
      </w:pPr>
      <w:r>
        <w:rPr>
          <w:b/>
          <w:bCs/>
        </w:rPr>
        <w:t xml:space="preserve">Query (Legal): </w:t>
      </w:r>
      <w:r>
        <w:t xml:space="preserve">"What is APA?" Ground truth: Administrative Procedure Act. All models </w:t>
      </w:r>
      <w:proofErr w:type="gramStart"/>
      <w:r>
        <w:t>respond</w:t>
      </w:r>
      <w:proofErr w:type="gramEnd"/>
      <w:r>
        <w:t xml:space="preserve"> "American Psychological Association." Majority Vote: ACCEPT (✗ MISS). EFT σ = 1.000: ACCEPT (✗ MISS). This is shared blindness—a query-level property from correlated training data. This represents the fundamental limit: 0.32% of query groups, contributing to the 5.8% shared blindness floor.</w:t>
      </w:r>
    </w:p>
    <w:p w14:paraId="621C9748" w14:textId="77777777" w:rsidR="00786263" w:rsidRDefault="0034197B">
      <w:pPr>
        <w:spacing w:before="240" w:after="120" w:line="360" w:lineRule="auto"/>
      </w:pPr>
      <w:r>
        <w:rPr>
          <w:b/>
          <w:bCs/>
        </w:rPr>
        <w:t>Scenario D: Partial disagreement — σ provides graded risk</w:t>
      </w:r>
    </w:p>
    <w:p w14:paraId="621C9749" w14:textId="77777777" w:rsidR="00786263" w:rsidRDefault="0034197B">
      <w:pPr>
        <w:spacing w:after="200" w:line="360" w:lineRule="auto"/>
      </w:pPr>
      <w:r>
        <w:rPr>
          <w:b/>
          <w:bCs/>
        </w:rPr>
        <w:t xml:space="preserve">Query (Medical): </w:t>
      </w:r>
      <w:r>
        <w:t>"What is Ottawa ankle rules for?" Ground truth: Determine need for X-ray. Two models correct, two incorrect. Majority Vote: REJECT (binary only). EFT σ = 0.000: HIGH RISK with graded signal enabling tiered triage.</w:t>
      </w:r>
    </w:p>
    <w:p w14:paraId="621C974A" w14:textId="77777777" w:rsidR="00786263" w:rsidRDefault="0034197B">
      <w:pPr>
        <w:spacing w:after="200" w:line="360" w:lineRule="auto"/>
      </w:pPr>
      <w:r>
        <w:rPr>
          <w:b/>
          <w:bCs/>
        </w:rPr>
        <w:t xml:space="preserve">Key insight: </w:t>
      </w:r>
      <w:r>
        <w:t>At σ = 0, 40.3% of query groups have majority failure; at σ = 1.0, only 1.8%. The continuous σ signal stratifies risk across this entire range; majority vote collapses it to a binary decision.</w:t>
      </w:r>
    </w:p>
    <w:sectPr w:rsidR="00786263">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C2400A"/>
    <w:multiLevelType w:val="hybridMultilevel"/>
    <w:tmpl w:val="ED3A52F2"/>
    <w:lvl w:ilvl="0" w:tplc="87DA290E">
      <w:start w:val="1"/>
      <w:numFmt w:val="bullet"/>
      <w:lvlText w:val="●"/>
      <w:lvlJc w:val="left"/>
      <w:pPr>
        <w:ind w:left="720" w:hanging="360"/>
      </w:pPr>
    </w:lvl>
    <w:lvl w:ilvl="1" w:tplc="7B6EB31C">
      <w:start w:val="1"/>
      <w:numFmt w:val="bullet"/>
      <w:lvlText w:val="○"/>
      <w:lvlJc w:val="left"/>
      <w:pPr>
        <w:ind w:left="1440" w:hanging="360"/>
      </w:pPr>
    </w:lvl>
    <w:lvl w:ilvl="2" w:tplc="EF10CBC2">
      <w:start w:val="1"/>
      <w:numFmt w:val="bullet"/>
      <w:lvlText w:val="■"/>
      <w:lvlJc w:val="left"/>
      <w:pPr>
        <w:ind w:left="2160" w:hanging="360"/>
      </w:pPr>
    </w:lvl>
    <w:lvl w:ilvl="3" w:tplc="746CDAC4">
      <w:start w:val="1"/>
      <w:numFmt w:val="bullet"/>
      <w:lvlText w:val="●"/>
      <w:lvlJc w:val="left"/>
      <w:pPr>
        <w:ind w:left="2880" w:hanging="360"/>
      </w:pPr>
    </w:lvl>
    <w:lvl w:ilvl="4" w:tplc="4AD07BB0">
      <w:start w:val="1"/>
      <w:numFmt w:val="bullet"/>
      <w:lvlText w:val="○"/>
      <w:lvlJc w:val="left"/>
      <w:pPr>
        <w:ind w:left="3600" w:hanging="360"/>
      </w:pPr>
    </w:lvl>
    <w:lvl w:ilvl="5" w:tplc="8BE65F02">
      <w:start w:val="1"/>
      <w:numFmt w:val="bullet"/>
      <w:lvlText w:val="■"/>
      <w:lvlJc w:val="left"/>
      <w:pPr>
        <w:ind w:left="4320" w:hanging="360"/>
      </w:pPr>
    </w:lvl>
    <w:lvl w:ilvl="6" w:tplc="587E6CF6">
      <w:start w:val="1"/>
      <w:numFmt w:val="bullet"/>
      <w:lvlText w:val="●"/>
      <w:lvlJc w:val="left"/>
      <w:pPr>
        <w:ind w:left="5040" w:hanging="360"/>
      </w:pPr>
    </w:lvl>
    <w:lvl w:ilvl="7" w:tplc="938A9F6A">
      <w:start w:val="1"/>
      <w:numFmt w:val="bullet"/>
      <w:lvlText w:val="●"/>
      <w:lvlJc w:val="left"/>
      <w:pPr>
        <w:ind w:left="5760" w:hanging="360"/>
      </w:pPr>
    </w:lvl>
    <w:lvl w:ilvl="8" w:tplc="28186D46">
      <w:start w:val="1"/>
      <w:numFmt w:val="bullet"/>
      <w:lvlText w:val="●"/>
      <w:lvlJc w:val="left"/>
      <w:pPr>
        <w:ind w:left="6480" w:hanging="360"/>
      </w:pPr>
    </w:lvl>
  </w:abstractNum>
  <w:num w:numId="1" w16cid:durableId="17633338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263"/>
    <w:rsid w:val="0034197B"/>
    <w:rsid w:val="00687BFF"/>
    <w:rsid w:val="00786263"/>
    <w:rsid w:val="00D16B38"/>
    <w:rsid w:val="00FB265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C9669"/>
  <w15:docId w15:val="{D7A828AF-52E5-4C35-8F16-C23D62B4D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MY"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1899</Words>
  <Characters>10903</Characters>
  <Application>Microsoft Office Word</Application>
  <DocSecurity>0</DocSecurity>
  <Lines>302</Lines>
  <Paragraphs>228</Paragraphs>
  <ScaleCrop>false</ScaleCrop>
  <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Azril Hamzah</cp:lastModifiedBy>
  <cp:revision>3</cp:revision>
  <dcterms:created xsi:type="dcterms:W3CDTF">2026-02-20T09:57:00Z</dcterms:created>
  <dcterms:modified xsi:type="dcterms:W3CDTF">2026-02-21T01:17:00Z</dcterms:modified>
</cp:coreProperties>
</file>