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2545D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</w:pPr>
      <w:r w:rsidRPr="00186539"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  <w:t>Supplementary Materials</w:t>
      </w:r>
    </w:p>
    <w:p w14:paraId="63EB4F1F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</w:pPr>
      <w:r w:rsidRPr="00186539"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  <w:t>Supplementary Material S1: Mentorship Guide</w:t>
      </w:r>
    </w:p>
    <w:p w14:paraId="55474236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</w:pP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br/>
        <w:t>The mentorship protocol provided a structured 5-point framework to ensure consistency while allowing flexibility for resident needs. Sessions occurred biweekly in a quiet meeting room, with mentors trained in a 1-hour preparatory workshop. The guide was used during 30-minute sessions pairing residents with senior surgeons and anesthesiologists. Below is the detailed framework:</w:t>
      </w:r>
    </w:p>
    <w:p w14:paraId="29C3E550" w14:textId="77777777" w:rsidR="00544B2B" w:rsidRPr="00186539" w:rsidRDefault="00544B2B" w:rsidP="00544B2B">
      <w:pPr>
        <w:numPr>
          <w:ilvl w:val="0"/>
          <w:numId w:val="1"/>
        </w:numPr>
        <w:suppressAutoHyphens/>
        <w:autoSpaceDN w:val="0"/>
        <w:spacing w:before="100" w:after="100" w:line="360" w:lineRule="auto"/>
        <w:jc w:val="both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  <w:t>Review Recent SSC Experiences (10 minutes)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: Discuss specific cases where the SSC was used, focusing on successes (e.g., “SSC prevented a missed step”) and challenges (e.g., “Team skipped the timeout”).</w:t>
      </w:r>
    </w:p>
    <w:p w14:paraId="5B4103C7" w14:textId="77777777" w:rsidR="00544B2B" w:rsidRPr="00186539" w:rsidRDefault="00544B2B" w:rsidP="00544B2B">
      <w:pPr>
        <w:numPr>
          <w:ilvl w:val="0"/>
          <w:numId w:val="1"/>
        </w:numPr>
        <w:suppressAutoHyphens/>
        <w:autoSpaceDN w:val="0"/>
        <w:spacing w:before="100" w:after="100" w:line="360" w:lineRule="auto"/>
        <w:jc w:val="both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  <w:t>Discuss Feedback Form Themes (10 minutes)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: Review anonymized feedback summaries (e.g., “28% cited time constraints”) and explore solutions (e.g., streamlining checklist items).</w:t>
      </w:r>
    </w:p>
    <w:p w14:paraId="683AE1B3" w14:textId="77777777" w:rsidR="00544B2B" w:rsidRPr="00186539" w:rsidRDefault="00544B2B" w:rsidP="00544B2B">
      <w:pPr>
        <w:numPr>
          <w:ilvl w:val="0"/>
          <w:numId w:val="1"/>
        </w:numPr>
        <w:suppressAutoHyphens/>
        <w:autoSpaceDN w:val="0"/>
        <w:spacing w:before="100" w:after="100" w:line="360" w:lineRule="auto"/>
        <w:jc w:val="both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  <w:t>Address Interdisciplinary Challenges (5 minutes)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: Facilitate dialogue on surgeon-anesthesiologist communication, emphasizing strategies to reduce hierarchical barriers (e.g., “Encourage junior staff to speak up”).</w:t>
      </w:r>
    </w:p>
    <w:p w14:paraId="35F18C42" w14:textId="77777777" w:rsidR="00544B2B" w:rsidRPr="00186539" w:rsidRDefault="00544B2B" w:rsidP="00544B2B">
      <w:pPr>
        <w:numPr>
          <w:ilvl w:val="0"/>
          <w:numId w:val="1"/>
        </w:numPr>
        <w:suppressAutoHyphens/>
        <w:autoSpaceDN w:val="0"/>
        <w:spacing w:before="100" w:after="100" w:line="360" w:lineRule="auto"/>
        <w:jc w:val="both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  <w:t>Set Personal Goals (3 minutes)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: Encourage residents to define actionable objectives (e.g., “Lead the SSC in my next shift”).</w:t>
      </w:r>
    </w:p>
    <w:p w14:paraId="0E9E9FF7" w14:textId="77777777" w:rsidR="00544B2B" w:rsidRPr="00186539" w:rsidRDefault="00544B2B" w:rsidP="00544B2B">
      <w:pPr>
        <w:numPr>
          <w:ilvl w:val="0"/>
          <w:numId w:val="1"/>
        </w:numPr>
        <w:suppressAutoHyphens/>
        <w:autoSpaceDN w:val="0"/>
        <w:spacing w:before="100" w:after="100" w:line="360" w:lineRule="auto"/>
        <w:jc w:val="both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  <w:t>Offer Practical Tips (2 minutes)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: Provide mentor-driven advice (e.g., “Use the SSC to de-escalate tension during high-stress cases”).</w:t>
      </w:r>
    </w:p>
    <w:p w14:paraId="766B6DFD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</w:pP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Mentors documented key discussion points anonymously to track recurring themes, which informed monthly intervention adjustments (e.g., additional training on timeout procedures).</w:t>
      </w:r>
    </w:p>
    <w:p w14:paraId="12678A02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</w:pPr>
    </w:p>
    <w:p w14:paraId="29263563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  <w:t>Supplementary Material S2: Sample Feedback Form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br/>
        <w:t xml:space="preserve">The 3-item feedback form was designed for rapid completion (under 10 minutes) and printed on single-sheet paper. Questions were open-ended to capture nuanced 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lastRenderedPageBreak/>
        <w:t>responses, and forms were anonymized to minimize social desirability bias. Responses were collected in a secure box in the operating theatre and summarized weekly by a study coordinator. Below is an example of the form’s structure:</w:t>
      </w:r>
    </w:p>
    <w:p w14:paraId="39DAD575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  <w:t>Feedback Form: Surgical Safety Checklist (SSC)</w:t>
      </w:r>
    </w:p>
    <w:p w14:paraId="1B3BAFB7" w14:textId="77777777" w:rsidR="00544B2B" w:rsidRPr="00186539" w:rsidRDefault="00544B2B" w:rsidP="00544B2B">
      <w:pPr>
        <w:numPr>
          <w:ilvl w:val="0"/>
          <w:numId w:val="2"/>
        </w:numPr>
        <w:suppressAutoHyphens/>
        <w:autoSpaceDN w:val="0"/>
        <w:spacing w:before="100" w:after="100" w:line="360" w:lineRule="auto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How did the SSC help during the procedure?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br/>
      </w:r>
      <w:r w:rsidRPr="00186539">
        <w:rPr>
          <w:rFonts w:ascii="Arial" w:eastAsia="Times New Roman" w:hAnsi="Arial" w:cs="Arial"/>
          <w:i/>
          <w:iCs/>
          <w:kern w:val="0"/>
          <w:sz w:val="24"/>
          <w:szCs w:val="24"/>
          <w:lang w:eastAsia="ro-RO"/>
          <w14:ligatures w14:val="none"/>
        </w:rPr>
        <w:t>Example response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: “Clarified antibiotic administration timing.”</w:t>
      </w:r>
    </w:p>
    <w:p w14:paraId="5BD0BA86" w14:textId="77777777" w:rsidR="00544B2B" w:rsidRPr="00186539" w:rsidRDefault="00544B2B" w:rsidP="00544B2B">
      <w:pPr>
        <w:numPr>
          <w:ilvl w:val="0"/>
          <w:numId w:val="2"/>
        </w:numPr>
        <w:suppressAutoHyphens/>
        <w:autoSpaceDN w:val="0"/>
        <w:spacing w:before="100" w:after="100" w:line="360" w:lineRule="auto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What barriers did you face in using the SSC?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br/>
      </w:r>
      <w:r w:rsidRPr="00186539">
        <w:rPr>
          <w:rFonts w:ascii="Arial" w:eastAsia="Times New Roman" w:hAnsi="Arial" w:cs="Arial"/>
          <w:i/>
          <w:iCs/>
          <w:kern w:val="0"/>
          <w:sz w:val="24"/>
          <w:szCs w:val="24"/>
          <w:lang w:eastAsia="ro-RO"/>
          <w14:ligatures w14:val="none"/>
        </w:rPr>
        <w:t>Example response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: “Rushed timing during an emergency case.”</w:t>
      </w:r>
    </w:p>
    <w:p w14:paraId="7190859C" w14:textId="77777777" w:rsidR="00544B2B" w:rsidRPr="00186539" w:rsidRDefault="00544B2B" w:rsidP="00544B2B">
      <w:pPr>
        <w:numPr>
          <w:ilvl w:val="0"/>
          <w:numId w:val="2"/>
        </w:numPr>
        <w:suppressAutoHyphens/>
        <w:autoSpaceDN w:val="0"/>
        <w:spacing w:before="100" w:after="100" w:line="360" w:lineRule="auto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Suggestions for improving SSC implementation?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br/>
      </w:r>
      <w:r w:rsidRPr="00186539">
        <w:rPr>
          <w:rFonts w:ascii="Arial" w:eastAsia="Times New Roman" w:hAnsi="Arial" w:cs="Arial"/>
          <w:i/>
          <w:iCs/>
          <w:kern w:val="0"/>
          <w:sz w:val="24"/>
          <w:szCs w:val="24"/>
          <w:lang w:eastAsia="ro-RO"/>
          <w14:ligatures w14:val="none"/>
        </w:rPr>
        <w:t>Example response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: “Add a mandatory pause to confirm equipment availability.”</w:t>
      </w:r>
    </w:p>
    <w:p w14:paraId="5062B732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</w:pP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Forms were collected for 714 of 840 procedures (85% return rate). Weekly  summaries (e.g., “65% of responses noted improved role clarity”) were posted in the staff room to encourage dialogue and iterative improvements.</w:t>
      </w:r>
    </w:p>
    <w:p w14:paraId="761AC703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</w:pPr>
    </w:p>
    <w:p w14:paraId="7C51B3B9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</w:pPr>
      <w:r w:rsidRPr="00186539"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  <w:t>Supplementary Material S3: Key Themes from Feedback Form Responses</w:t>
      </w:r>
    </w:p>
    <w:p w14:paraId="6568C74D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</w:pP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Open-ended responses from 714 feedback forms were analyzed using inductive thematic coding by two independent researchers (inter-rater reliability: Cohen’s kappa = 0.90). The table below quantifies the most frequent themes, providing insight into resident perceptions and implementation barriers.</w:t>
      </w:r>
    </w:p>
    <w:tbl>
      <w:tblPr>
        <w:tblW w:w="902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7"/>
        <w:gridCol w:w="1510"/>
        <w:gridCol w:w="4999"/>
      </w:tblGrid>
      <w:tr w:rsidR="00544B2B" w:rsidRPr="00186539" w14:paraId="0F031951" w14:textId="77777777" w:rsidTr="007B0859">
        <w:trPr>
          <w:tblHeader/>
        </w:trPr>
        <w:tc>
          <w:tcPr>
            <w:tcW w:w="25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B2C1FD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  <w:t>Theme</w:t>
            </w:r>
          </w:p>
        </w:tc>
        <w:tc>
          <w:tcPr>
            <w:tcW w:w="15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C91221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  <w:t>Frequency (%)</w:t>
            </w:r>
          </w:p>
        </w:tc>
        <w:tc>
          <w:tcPr>
            <w:tcW w:w="499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C94259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  <w:t>Example Quote</w:t>
            </w:r>
          </w:p>
        </w:tc>
      </w:tr>
      <w:tr w:rsidR="00544B2B" w:rsidRPr="00186539" w14:paraId="50042698" w14:textId="77777777" w:rsidTr="007B0859">
        <w:tc>
          <w:tcPr>
            <w:tcW w:w="25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EEE8C2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Improved Role Clarity</w:t>
            </w:r>
          </w:p>
        </w:tc>
        <w:tc>
          <w:tcPr>
            <w:tcW w:w="15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641405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65%</w:t>
            </w:r>
          </w:p>
        </w:tc>
        <w:tc>
          <w:tcPr>
            <w:tcW w:w="499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60F0D7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“SSC clarified who checks the patient’s identity and site.”</w:t>
            </w:r>
          </w:p>
        </w:tc>
      </w:tr>
      <w:tr w:rsidR="00544B2B" w:rsidRPr="00186539" w14:paraId="1E437197" w14:textId="77777777" w:rsidTr="007B0859">
        <w:tc>
          <w:tcPr>
            <w:tcW w:w="25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4981CA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Reduced Hierarchy</w:t>
            </w:r>
          </w:p>
        </w:tc>
        <w:tc>
          <w:tcPr>
            <w:tcW w:w="15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0503CB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45%</w:t>
            </w:r>
          </w:p>
        </w:tc>
        <w:tc>
          <w:tcPr>
            <w:tcW w:w="499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6F3B51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“Mentors encouraged open discussion, making it easier to raise concerns.”</w:t>
            </w:r>
          </w:p>
        </w:tc>
      </w:tr>
      <w:tr w:rsidR="00544B2B" w:rsidRPr="00186539" w14:paraId="4FA6B86F" w14:textId="77777777" w:rsidTr="007B0859">
        <w:tc>
          <w:tcPr>
            <w:tcW w:w="25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6960A9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Time Constraints</w:t>
            </w:r>
          </w:p>
        </w:tc>
        <w:tc>
          <w:tcPr>
            <w:tcW w:w="15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ADECB8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28%</w:t>
            </w:r>
          </w:p>
        </w:tc>
        <w:tc>
          <w:tcPr>
            <w:tcW w:w="499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5F0098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“Rushed during emergencies, hard to complete all checklist items.”</w:t>
            </w:r>
          </w:p>
        </w:tc>
      </w:tr>
      <w:tr w:rsidR="00544B2B" w:rsidRPr="00186539" w14:paraId="57915012" w14:textId="77777777" w:rsidTr="007B0859">
        <w:tc>
          <w:tcPr>
            <w:tcW w:w="25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FE65C5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Enhanced Communication</w:t>
            </w:r>
          </w:p>
        </w:tc>
        <w:tc>
          <w:tcPr>
            <w:tcW w:w="15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93228A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38%</w:t>
            </w:r>
          </w:p>
        </w:tc>
        <w:tc>
          <w:tcPr>
            <w:tcW w:w="499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A0D829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“SSC ensured all team members were aligned before incision.”</w:t>
            </w:r>
          </w:p>
        </w:tc>
      </w:tr>
      <w:tr w:rsidR="00544B2B" w:rsidRPr="00186539" w14:paraId="1E2CA7BA" w14:textId="77777777" w:rsidTr="007B0859">
        <w:tc>
          <w:tcPr>
            <w:tcW w:w="25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B99EB3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Checklist Fatigue</w:t>
            </w:r>
          </w:p>
        </w:tc>
        <w:tc>
          <w:tcPr>
            <w:tcW w:w="15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0A22E6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15%</w:t>
            </w:r>
          </w:p>
        </w:tc>
        <w:tc>
          <w:tcPr>
            <w:tcW w:w="499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E9C4B8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“Repetitive completion felt redundant in routine cases.”</w:t>
            </w:r>
          </w:p>
        </w:tc>
      </w:tr>
      <w:tr w:rsidR="00544B2B" w:rsidRPr="00186539" w14:paraId="7BD8FB40" w14:textId="77777777" w:rsidTr="007B0859">
        <w:tc>
          <w:tcPr>
            <w:tcW w:w="25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2B5F17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Equipment Availability Issues</w:t>
            </w:r>
          </w:p>
        </w:tc>
        <w:tc>
          <w:tcPr>
            <w:tcW w:w="15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EBCB00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12%</w:t>
            </w:r>
          </w:p>
        </w:tc>
        <w:tc>
          <w:tcPr>
            <w:tcW w:w="499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D78A15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“Missing instruments delayed checklist sign-off.”</w:t>
            </w:r>
          </w:p>
        </w:tc>
      </w:tr>
    </w:tbl>
    <w:p w14:paraId="4E2BCC39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jc w:val="both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i/>
          <w:iCs/>
          <w:kern w:val="0"/>
          <w:sz w:val="24"/>
          <w:szCs w:val="24"/>
          <w:lang w:eastAsia="ro-RO"/>
          <w14:ligatures w14:val="none"/>
        </w:rPr>
        <w:t>Note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: Percentages reflect the proportion of responses mentioning each theme. Some responses included multiple themes. Checklist fatigue reports decreased from 15% in month 1 to 4% by month 3, suggesting adaptation to the intervention.</w:t>
      </w:r>
    </w:p>
    <w:p w14:paraId="014677DC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b/>
          <w:bCs/>
          <w:kern w:val="0"/>
          <w:sz w:val="24"/>
          <w:szCs w:val="24"/>
          <w:lang w:eastAsia="ro-RO"/>
          <w14:ligatures w14:val="none"/>
        </w:rPr>
        <w:t>Supplementary Material S4: Pilot Data on Near-Miss Events</w:t>
      </w:r>
    </w:p>
    <w:tbl>
      <w:tblPr>
        <w:tblW w:w="744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17"/>
        <w:gridCol w:w="1140"/>
        <w:gridCol w:w="2034"/>
        <w:gridCol w:w="956"/>
      </w:tblGrid>
      <w:tr w:rsidR="00544B2B" w:rsidRPr="00186539" w14:paraId="04245F4B" w14:textId="77777777" w:rsidTr="007B0859">
        <w:trPr>
          <w:tblHeader/>
        </w:trPr>
        <w:tc>
          <w:tcPr>
            <w:tcW w:w="33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70DB89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  <w:t>Metric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A2DB7C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  <w:t>Baseline</w:t>
            </w:r>
          </w:p>
          <w:p w14:paraId="75CAD250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  <w:t>(Month 1)</w:t>
            </w:r>
          </w:p>
        </w:tc>
        <w:tc>
          <w:tcPr>
            <w:tcW w:w="20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F33A58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  <w:t>Post-Intervention</w:t>
            </w:r>
          </w:p>
          <w:p w14:paraId="0E11F3CD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  <w:t xml:space="preserve"> (Month 6)</w:t>
            </w:r>
          </w:p>
        </w:tc>
        <w:tc>
          <w:tcPr>
            <w:tcW w:w="95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C2AAEE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GB" w:eastAsia="ro-RO"/>
                <w14:ligatures w14:val="none"/>
              </w:rPr>
              <w:t>Change</w:t>
            </w:r>
          </w:p>
        </w:tc>
      </w:tr>
      <w:tr w:rsidR="00544B2B" w:rsidRPr="00186539" w14:paraId="03E58372" w14:textId="77777777" w:rsidTr="007B0859">
        <w:tc>
          <w:tcPr>
            <w:tcW w:w="33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686E8E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Near-Miss EventsReported (n)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65FACD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12</w:t>
            </w:r>
          </w:p>
        </w:tc>
        <w:tc>
          <w:tcPr>
            <w:tcW w:w="20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5373AD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10</w:t>
            </w:r>
          </w:p>
        </w:tc>
        <w:tc>
          <w:tcPr>
            <w:tcW w:w="95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897F4D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-16.7%</w:t>
            </w:r>
          </w:p>
        </w:tc>
      </w:tr>
      <w:tr w:rsidR="00544B2B" w:rsidRPr="00186539" w14:paraId="3F40C0C7" w14:textId="77777777" w:rsidTr="007B0859">
        <w:tc>
          <w:tcPr>
            <w:tcW w:w="33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F0510F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Antibiotic Dosing Errors (n)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62591C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5</w:t>
            </w:r>
          </w:p>
        </w:tc>
        <w:tc>
          <w:tcPr>
            <w:tcW w:w="20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01448B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3</w:t>
            </w:r>
          </w:p>
        </w:tc>
        <w:tc>
          <w:tcPr>
            <w:tcW w:w="95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AF32E8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-40%</w:t>
            </w:r>
          </w:p>
        </w:tc>
      </w:tr>
      <w:tr w:rsidR="00544B2B" w:rsidRPr="00186539" w14:paraId="2C3860E0" w14:textId="77777777" w:rsidTr="007B0859">
        <w:tc>
          <w:tcPr>
            <w:tcW w:w="33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306B9C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Equipment-Related Delays (n)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9D06EF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4</w:t>
            </w:r>
          </w:p>
        </w:tc>
        <w:tc>
          <w:tcPr>
            <w:tcW w:w="20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1FA855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3</w:t>
            </w:r>
          </w:p>
        </w:tc>
        <w:tc>
          <w:tcPr>
            <w:tcW w:w="95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89B6D8" w14:textId="77777777" w:rsidR="00544B2B" w:rsidRPr="00186539" w:rsidRDefault="00544B2B" w:rsidP="007B0859">
            <w:pPr>
              <w:suppressAutoHyphens/>
              <w:autoSpaceDN w:val="0"/>
              <w:spacing w:after="0" w:line="36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</w:pPr>
            <w:r w:rsidRPr="00186539">
              <w:rPr>
                <w:rFonts w:ascii="Arial" w:eastAsia="Times New Roman" w:hAnsi="Arial" w:cs="Arial"/>
                <w:kern w:val="0"/>
                <w:sz w:val="24"/>
                <w:szCs w:val="24"/>
                <w:lang w:val="en-GB" w:eastAsia="ro-RO"/>
                <w14:ligatures w14:val="none"/>
              </w:rPr>
              <w:t>-25%</w:t>
            </w:r>
          </w:p>
        </w:tc>
      </w:tr>
    </w:tbl>
    <w:p w14:paraId="09E93424" w14:textId="77777777" w:rsidR="00544B2B" w:rsidRPr="00186539" w:rsidRDefault="00544B2B" w:rsidP="00544B2B">
      <w:pPr>
        <w:suppressAutoHyphens/>
        <w:autoSpaceDN w:val="0"/>
        <w:spacing w:before="100" w:after="100" w:line="360" w:lineRule="auto"/>
        <w:jc w:val="both"/>
        <w:rPr>
          <w:kern w:val="3"/>
          <w14:ligatures w14:val="none"/>
        </w:rPr>
      </w:pPr>
      <w:r w:rsidRPr="00186539">
        <w:rPr>
          <w:rFonts w:ascii="Arial" w:eastAsia="Times New Roman" w:hAnsi="Arial" w:cs="Arial"/>
          <w:i/>
          <w:iCs/>
          <w:kern w:val="0"/>
          <w:sz w:val="24"/>
          <w:szCs w:val="24"/>
          <w:lang w:eastAsia="ro-RO"/>
          <w14:ligatures w14:val="none"/>
        </w:rPr>
        <w:t>Note</w:t>
      </w:r>
      <w:r w:rsidRPr="00186539">
        <w:rPr>
          <w:rFonts w:ascii="Arial" w:eastAsia="Times New Roman" w:hAnsi="Arial" w:cs="Arial"/>
          <w:kern w:val="0"/>
          <w:sz w:val="24"/>
          <w:szCs w:val="24"/>
          <w:lang w:eastAsia="ro-RO"/>
          <w14:ligatures w14:val="none"/>
        </w:rPr>
        <w:t>: Data were collected from hospital incident reports (n=840 procedures). Reductions were not statistically significant (p&gt;0.05) due to the small sample size but suggest a potential link between SSC use and safety improvements. Future studies should validate these trends with larger samples.</w:t>
      </w:r>
    </w:p>
    <w:p w14:paraId="7504EE0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525B0"/>
    <w:multiLevelType w:val="multilevel"/>
    <w:tmpl w:val="F4D64B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4DD815B8"/>
    <w:multiLevelType w:val="multilevel"/>
    <w:tmpl w:val="CB681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8993643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595160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B2B"/>
    <w:rsid w:val="002978F5"/>
    <w:rsid w:val="003852CF"/>
    <w:rsid w:val="004E780C"/>
    <w:rsid w:val="00544B2B"/>
    <w:rsid w:val="0078266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B509B"/>
  <w15:chartTrackingRefBased/>
  <w15:docId w15:val="{5F7FCDFE-791C-45F7-A31F-53092A561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B2B"/>
    <w:pPr>
      <w:spacing w:after="200" w:line="276" w:lineRule="auto"/>
    </w:pPr>
    <w:rPr>
      <w:rFonts w:ascii="Calibri" w:eastAsia="Calibri" w:hAnsi="Calibri" w:cs="Times New Roman"/>
      <w:sz w:val="22"/>
      <w:szCs w:val="22"/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4B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4B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B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B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B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B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B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B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B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4B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4B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B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B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B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B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B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B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B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4B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4B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4B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4B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4B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4B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4B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4B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4B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4B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4B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574</Words>
  <Characters>3647</Characters>
  <Application>Microsoft Office Word</Application>
  <DocSecurity>0</DocSecurity>
  <Lines>81</Lines>
  <Paragraphs>31</Paragraphs>
  <ScaleCrop>false</ScaleCrop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2026-03-27T17:59:00Z</dcterms:created>
  <dcterms:modified xsi:type="dcterms:W3CDTF">2026-03-27T17:59:00Z</dcterms:modified>
</cp:coreProperties>
</file>