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DB144E" w14:textId="77777777" w:rsidR="00C01B61" w:rsidRDefault="00C01B61" w:rsidP="00C01B61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</w:p>
    <w:p w14:paraId="61A6C57B" w14:textId="77777777" w:rsidR="00C01B61" w:rsidRDefault="00C01B61" w:rsidP="00C01B61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  <w:r w:rsidRPr="00F86DE8">
        <w:rPr>
          <w:rFonts w:ascii="Times New Roman" w:hAnsi="Times New Roman" w:cs="Times New Roman"/>
          <w:noProof/>
          <w:lang w:eastAsia="de-DE"/>
        </w:rPr>
        <w:drawing>
          <wp:inline distT="0" distB="0" distL="0" distR="0" wp14:anchorId="797BCD24" wp14:editId="1D79E028">
            <wp:extent cx="4529470" cy="4155262"/>
            <wp:effectExtent l="0" t="0" r="4445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52953" cy="4176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F2F505" w14:textId="77777777" w:rsidR="00C01B61" w:rsidRPr="00673369" w:rsidRDefault="00C01B61" w:rsidP="00C01B61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8A3B73">
        <w:rPr>
          <w:rFonts w:ascii="Times New Roman" w:hAnsi="Times New Roman" w:cs="Times New Roman"/>
          <w:b/>
          <w:i/>
          <w:iCs/>
          <w:lang w:val="en-US"/>
        </w:rPr>
        <w:t>Figure S1:</w:t>
      </w:r>
      <w:r w:rsidRPr="00F86DE8">
        <w:rPr>
          <w:rFonts w:ascii="Times New Roman" w:hAnsi="Times New Roman" w:cs="Times New Roman"/>
          <w:bCs/>
          <w:lang w:val="en-US"/>
        </w:rPr>
        <w:t xml:space="preserve"> </w:t>
      </w:r>
      <w:r w:rsidRPr="00F86DE8">
        <w:rPr>
          <w:rFonts w:ascii="Times New Roman" w:hAnsi="Times New Roman" w:cs="Times New Roman"/>
          <w:lang w:val="en-US"/>
        </w:rPr>
        <w:t>Flowchart depicting patients undergoing FET during the study period. The denominator for the current analysis is 111 patients on HRT-CP-FET protocol and hormone level assessments on day of FET</w:t>
      </w:r>
      <w:r>
        <w:rPr>
          <w:rFonts w:ascii="Times New Roman" w:hAnsi="Times New Roman" w:cs="Times New Roman"/>
          <w:lang w:val="en-US"/>
        </w:rPr>
        <w:t>.</w:t>
      </w:r>
    </w:p>
    <w:tbl>
      <w:tblPr>
        <w:tblW w:w="909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95"/>
        <w:gridCol w:w="1701"/>
        <w:gridCol w:w="1417"/>
        <w:gridCol w:w="1585"/>
      </w:tblGrid>
      <w:tr w:rsidR="00C01B61" w:rsidRPr="002B5B1D" w14:paraId="709BA8B8" w14:textId="77777777" w:rsidTr="00F42513">
        <w:trPr>
          <w:trHeight w:val="510"/>
        </w:trPr>
        <w:tc>
          <w:tcPr>
            <w:tcW w:w="4395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AEABE3" w14:textId="77777777" w:rsidR="00C01B61" w:rsidRPr="00E556E1" w:rsidRDefault="00C01B61" w:rsidP="00F42513">
            <w:pPr>
              <w:spacing w:before="100" w:beforeAutospacing="1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</w:pPr>
            <w:r w:rsidRPr="00E556E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de-DE"/>
              </w:rPr>
              <w:t> </w:t>
            </w:r>
          </w:p>
        </w:tc>
        <w:tc>
          <w:tcPr>
            <w:tcW w:w="1701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0512F6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de-DE"/>
              </w:rPr>
              <w:t>Overall</w:t>
            </w:r>
            <w:r w:rsidRPr="00E556E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de-DE"/>
              </w:rPr>
              <w:br/>
              <w:t>(n=111)</w:t>
            </w:r>
          </w:p>
        </w:tc>
        <w:tc>
          <w:tcPr>
            <w:tcW w:w="1417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B525A3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de-DE"/>
              </w:rPr>
              <w:t>No live birth</w:t>
            </w:r>
            <w:r w:rsidRPr="00E556E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de-DE"/>
              </w:rPr>
              <w:br/>
              <w:t>(n=72)</w:t>
            </w:r>
          </w:p>
        </w:tc>
        <w:tc>
          <w:tcPr>
            <w:tcW w:w="1585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718F86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de-DE"/>
              </w:rPr>
              <w:t>Live birth</w:t>
            </w:r>
            <w:r w:rsidRPr="00E556E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de-DE"/>
              </w:rPr>
              <w:br/>
              <w:t>(n=39)</w:t>
            </w:r>
          </w:p>
        </w:tc>
      </w:tr>
      <w:tr w:rsidR="00C01B61" w:rsidRPr="002B5B1D" w14:paraId="45E54E0D" w14:textId="77777777" w:rsidTr="00F42513">
        <w:trPr>
          <w:trHeight w:val="510"/>
        </w:trPr>
        <w:tc>
          <w:tcPr>
            <w:tcW w:w="4395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A49F05" w14:textId="77777777" w:rsidR="00C01B61" w:rsidRPr="00E556E1" w:rsidRDefault="00C01B61" w:rsidP="00F42513">
            <w:pPr>
              <w:spacing w:before="100" w:beforeAutospacing="1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</w:pPr>
            <w:r w:rsidRPr="00E556E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de-DE"/>
              </w:rPr>
              <w:t>Age at follicular puncture (years)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75462E" w14:textId="77777777" w:rsidR="00C01B61" w:rsidRPr="006C28FF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</w:pPr>
            <w:r w:rsidRPr="006C28FF"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  <w:t>32.4 (3.56)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121181" w14:textId="77777777" w:rsidR="00C01B61" w:rsidRPr="006C28FF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</w:pPr>
            <w:r w:rsidRPr="006C28FF"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  <w:t>32.8 (3.69)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363D96" w14:textId="77777777" w:rsidR="00C01B61" w:rsidRPr="006C28FF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</w:pPr>
            <w:r w:rsidRPr="006C28FF"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  <w:t>31.7 (3.22)</w:t>
            </w:r>
          </w:p>
        </w:tc>
      </w:tr>
      <w:tr w:rsidR="00C01B61" w:rsidRPr="002B5B1D" w14:paraId="6B928D1E" w14:textId="77777777" w:rsidTr="00F42513">
        <w:trPr>
          <w:trHeight w:val="51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F02929" w14:textId="77777777" w:rsidR="00C01B61" w:rsidRPr="00E556E1" w:rsidRDefault="00C01B61" w:rsidP="00F42513">
            <w:pPr>
              <w:spacing w:before="100" w:beforeAutospacing="1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de-DE"/>
              </w:rPr>
              <w:lastRenderedPageBreak/>
              <w:t>Height (cm)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67B49C" w14:textId="77777777" w:rsidR="00C01B61" w:rsidRPr="006C28FF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6C28FF"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  <w:t>168 (6.71)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886651" w14:textId="77777777" w:rsidR="00C01B61" w:rsidRPr="006C28FF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6C28F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168 (6.33)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C9FA41" w14:textId="77777777" w:rsidR="00C01B61" w:rsidRPr="006C28FF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6C28F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168 [7.45]</w:t>
            </w:r>
          </w:p>
        </w:tc>
      </w:tr>
      <w:tr w:rsidR="00C01B61" w:rsidRPr="002B5B1D" w14:paraId="3088BE53" w14:textId="77777777" w:rsidTr="00F42513">
        <w:trPr>
          <w:trHeight w:val="510"/>
        </w:trPr>
        <w:tc>
          <w:tcPr>
            <w:tcW w:w="4395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3C9B53" w14:textId="77777777" w:rsidR="00C01B61" w:rsidRPr="00E556E1" w:rsidRDefault="00C01B61" w:rsidP="00F42513">
            <w:pPr>
              <w:spacing w:before="100" w:beforeAutospacing="1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de-DE"/>
              </w:rPr>
              <w:t>Weight (kg)</w:t>
            </w:r>
          </w:p>
        </w:tc>
        <w:tc>
          <w:tcPr>
            <w:tcW w:w="1701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1FC0DA" w14:textId="77777777" w:rsidR="00C01B61" w:rsidRPr="006C28FF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6C28FF"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  <w:t>78.3 (19.4)</w:t>
            </w:r>
          </w:p>
        </w:tc>
        <w:tc>
          <w:tcPr>
            <w:tcW w:w="1417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365538" w14:textId="77777777" w:rsidR="00C01B61" w:rsidRPr="006C28FF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6C28FF"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  <w:t>79.0 (19.7)</w:t>
            </w:r>
          </w:p>
        </w:tc>
        <w:tc>
          <w:tcPr>
            <w:tcW w:w="1585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702001" w14:textId="77777777" w:rsidR="00C01B61" w:rsidRPr="006C28FF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6C28FF"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  <w:t>77.1 (18.9)</w:t>
            </w:r>
          </w:p>
        </w:tc>
      </w:tr>
      <w:tr w:rsidR="00C01B61" w:rsidRPr="002B5B1D" w14:paraId="696B8588" w14:textId="77777777" w:rsidTr="00F42513">
        <w:trPr>
          <w:trHeight w:val="51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FA4894" w14:textId="77777777" w:rsidR="00C01B61" w:rsidRPr="00E556E1" w:rsidRDefault="00C01B61" w:rsidP="00F42513">
            <w:pPr>
              <w:spacing w:before="100" w:beforeAutospacing="1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</w:pPr>
            <w:r w:rsidRPr="00E556E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de-DE"/>
              </w:rPr>
              <w:t>Body mass index (kg/m²)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BF01C1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</w:pPr>
            <w:r w:rsidRPr="00E556E1"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  <w:t>27.6 (6.37)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B2EE21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</w:pPr>
            <w:r w:rsidRPr="00E556E1"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  <w:t>27.9 (6.36)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66377D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</w:pPr>
            <w:r w:rsidRPr="00E556E1"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  <w:t>27.1 (6.44)</w:t>
            </w:r>
          </w:p>
        </w:tc>
      </w:tr>
      <w:tr w:rsidR="00C01B61" w:rsidRPr="002B5B1D" w14:paraId="4E4020A2" w14:textId="77777777" w:rsidTr="00F42513">
        <w:trPr>
          <w:trHeight w:val="510"/>
        </w:trPr>
        <w:tc>
          <w:tcPr>
            <w:tcW w:w="4395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EEAB6A" w14:textId="77777777" w:rsidR="00C01B61" w:rsidRPr="00E556E1" w:rsidRDefault="00C01B61" w:rsidP="00F42513">
            <w:pPr>
              <w:spacing w:before="100" w:beforeAutospacing="1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de-DE"/>
              </w:rPr>
              <w:t>Duration of infertility (months)</w:t>
            </w:r>
          </w:p>
        </w:tc>
        <w:tc>
          <w:tcPr>
            <w:tcW w:w="1701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32E8C2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  <w:t>48.0 (33.4)</w:t>
            </w:r>
          </w:p>
        </w:tc>
        <w:tc>
          <w:tcPr>
            <w:tcW w:w="1417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183FDA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  <w:t>52.3 (35.1)</w:t>
            </w:r>
          </w:p>
        </w:tc>
        <w:tc>
          <w:tcPr>
            <w:tcW w:w="1585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56852E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  <w:t>40.2 (28.8)</w:t>
            </w:r>
          </w:p>
        </w:tc>
      </w:tr>
      <w:tr w:rsidR="00C01B61" w:rsidRPr="002B5B1D" w14:paraId="3AA05494" w14:textId="77777777" w:rsidTr="00F42513">
        <w:trPr>
          <w:trHeight w:val="51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30C87D" w14:textId="77777777" w:rsidR="00C01B61" w:rsidRPr="00E556E1" w:rsidRDefault="00C01B61" w:rsidP="00F42513">
            <w:pPr>
              <w:spacing w:before="100" w:beforeAutospacing="1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de-DE"/>
              </w:rPr>
              <w:t>Caucasian,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880A86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  <w:t>107 (96.4)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08897A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  <w:t>68 (94.4)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8EDC26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  <w:t>39 (100.0)</w:t>
            </w:r>
          </w:p>
        </w:tc>
      </w:tr>
      <w:tr w:rsidR="00C01B61" w:rsidRPr="002B5B1D" w14:paraId="57FB948B" w14:textId="77777777" w:rsidTr="00F42513">
        <w:trPr>
          <w:trHeight w:val="510"/>
        </w:trPr>
        <w:tc>
          <w:tcPr>
            <w:tcW w:w="4395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D98324" w14:textId="77777777" w:rsidR="00C01B61" w:rsidRPr="00E556E1" w:rsidRDefault="00C01B61" w:rsidP="00F42513">
            <w:pPr>
              <w:spacing w:before="100" w:beforeAutospacing="1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de-DE"/>
              </w:rPr>
              <w:t>Eumenorrheic, n (%)</w:t>
            </w:r>
          </w:p>
        </w:tc>
        <w:tc>
          <w:tcPr>
            <w:tcW w:w="1701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88B998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  <w:t>43 (38.7)</w:t>
            </w:r>
          </w:p>
        </w:tc>
        <w:tc>
          <w:tcPr>
            <w:tcW w:w="1417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44DAEE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  <w:t>35 (48.6)</w:t>
            </w:r>
          </w:p>
        </w:tc>
        <w:tc>
          <w:tcPr>
            <w:tcW w:w="1585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8FA6B7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  <w:t>8 (20.5)</w:t>
            </w:r>
          </w:p>
        </w:tc>
      </w:tr>
      <w:tr w:rsidR="00C01B61" w:rsidRPr="002B5B1D" w14:paraId="0D1F45A4" w14:textId="77777777" w:rsidTr="00F42513">
        <w:trPr>
          <w:trHeight w:val="51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7E7F12" w14:textId="77777777" w:rsidR="00C01B61" w:rsidRPr="00E556E1" w:rsidRDefault="00C01B61" w:rsidP="00F42513">
            <w:pPr>
              <w:spacing w:before="100" w:beforeAutospacing="1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de-DE"/>
              </w:rPr>
              <w:t>AMH (ng/ml)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DDC8EE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  <w:t>5.19 (3.68)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7221D0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  <w:t>5.05 (3.81)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87E9C1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  <w:t>5.45 (3.46)</w:t>
            </w:r>
          </w:p>
        </w:tc>
      </w:tr>
      <w:tr w:rsidR="00C01B61" w:rsidRPr="002B5B1D" w14:paraId="64E7017C" w14:textId="77777777" w:rsidTr="00F42513">
        <w:trPr>
          <w:trHeight w:val="510"/>
        </w:trPr>
        <w:tc>
          <w:tcPr>
            <w:tcW w:w="4395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BF64B9" w14:textId="77777777" w:rsidR="00C01B61" w:rsidRPr="00E556E1" w:rsidRDefault="00C01B61" w:rsidP="00F42513">
            <w:pPr>
              <w:spacing w:before="100" w:beforeAutospacing="1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de-DE"/>
              </w:rPr>
              <w:t>Smoking, n (%)</w:t>
            </w:r>
          </w:p>
        </w:tc>
        <w:tc>
          <w:tcPr>
            <w:tcW w:w="1701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87ACE6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  <w:t>23 (20.7)</w:t>
            </w:r>
          </w:p>
        </w:tc>
        <w:tc>
          <w:tcPr>
            <w:tcW w:w="1417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00ED63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  <w:t>18 (25.0)</w:t>
            </w:r>
          </w:p>
        </w:tc>
        <w:tc>
          <w:tcPr>
            <w:tcW w:w="1585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9FD624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  <w:t>5 (12.8)</w:t>
            </w:r>
          </w:p>
        </w:tc>
      </w:tr>
      <w:tr w:rsidR="00C01B61" w:rsidRPr="002B5B1D" w14:paraId="3C089FDB" w14:textId="77777777" w:rsidTr="00F42513">
        <w:trPr>
          <w:trHeight w:val="51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30ED28" w14:textId="77777777" w:rsidR="00C01B61" w:rsidRPr="00E556E1" w:rsidRDefault="00C01B61" w:rsidP="00F42513">
            <w:pPr>
              <w:spacing w:before="100" w:beforeAutospacing="1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de-DE"/>
              </w:rPr>
              <w:t>Polycystic ovarian syndrome,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06DBB8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  <w:t>33 (29.7)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27E090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  <w:t>20 (27.8)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DEA910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  <w:t>13 (33.3)</w:t>
            </w:r>
          </w:p>
        </w:tc>
      </w:tr>
      <w:tr w:rsidR="00C01B61" w:rsidRPr="002B5B1D" w14:paraId="01384DAD" w14:textId="77777777" w:rsidTr="00F42513">
        <w:trPr>
          <w:trHeight w:val="510"/>
        </w:trPr>
        <w:tc>
          <w:tcPr>
            <w:tcW w:w="4395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E9749E" w14:textId="77777777" w:rsidR="00C01B61" w:rsidRPr="00E556E1" w:rsidRDefault="00C01B61" w:rsidP="00F42513">
            <w:pPr>
              <w:spacing w:before="100" w:beforeAutospacing="1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de-DE"/>
              </w:rPr>
              <w:t>Endometriosis, n (%)</w:t>
            </w:r>
          </w:p>
        </w:tc>
        <w:tc>
          <w:tcPr>
            <w:tcW w:w="1701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2BA5FE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  <w:t>16 (14.4)</w:t>
            </w:r>
          </w:p>
        </w:tc>
        <w:tc>
          <w:tcPr>
            <w:tcW w:w="1417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8BDDE2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  <w:t>10 (13.9)</w:t>
            </w:r>
          </w:p>
        </w:tc>
        <w:tc>
          <w:tcPr>
            <w:tcW w:w="1585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CC146D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  <w:t>6 (15.4)</w:t>
            </w:r>
          </w:p>
        </w:tc>
      </w:tr>
      <w:tr w:rsidR="00C01B61" w:rsidRPr="002B5B1D" w14:paraId="3846A41E" w14:textId="77777777" w:rsidTr="00F42513">
        <w:trPr>
          <w:trHeight w:val="51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08A28A" w14:textId="77777777" w:rsidR="00C01B61" w:rsidRPr="00E556E1" w:rsidRDefault="00C01B61" w:rsidP="00F42513">
            <w:pPr>
              <w:spacing w:before="100" w:beforeAutospacing="1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de-DE"/>
              </w:rPr>
              <w:t>COCs (n)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5066EB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  <w:t>17.1 (7.68)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89220E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  <w:t>16.5 (7.98)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EC675F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  <w:t>18.3 (7.03)</w:t>
            </w:r>
          </w:p>
        </w:tc>
      </w:tr>
      <w:tr w:rsidR="00C01B61" w:rsidRPr="002B5B1D" w14:paraId="23898E68" w14:textId="77777777" w:rsidTr="00F42513">
        <w:trPr>
          <w:trHeight w:val="510"/>
        </w:trPr>
        <w:tc>
          <w:tcPr>
            <w:tcW w:w="4395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12EF70" w14:textId="77777777" w:rsidR="00C01B61" w:rsidRPr="00E556E1" w:rsidRDefault="00C01B61" w:rsidP="00F42513">
            <w:pPr>
              <w:spacing w:before="100" w:beforeAutospacing="1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de-DE"/>
              </w:rPr>
            </w:pPr>
            <w:r w:rsidRPr="00E556E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de-DE"/>
              </w:rPr>
              <w:t>Trigger Medication*</w:t>
            </w:r>
          </w:p>
          <w:p w14:paraId="36785BAD" w14:textId="77777777" w:rsidR="00C01B61" w:rsidRPr="00E556E1" w:rsidRDefault="00C01B61" w:rsidP="00F42513">
            <w:pPr>
              <w:spacing w:before="100" w:beforeAutospacing="1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</w:pPr>
            <w:r w:rsidRPr="00E556E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de-DE"/>
              </w:rPr>
              <w:t xml:space="preserve">hCG, n (%) </w:t>
            </w:r>
          </w:p>
          <w:p w14:paraId="4261DA55" w14:textId="77777777" w:rsidR="00C01B61" w:rsidRPr="00E556E1" w:rsidRDefault="00C01B61" w:rsidP="00F42513">
            <w:pPr>
              <w:spacing w:before="100" w:beforeAutospacing="1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</w:pPr>
            <w:r w:rsidRPr="00E556E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de-DE"/>
              </w:rPr>
              <w:t>GnRH-Agonist, n (%)</w:t>
            </w:r>
          </w:p>
        </w:tc>
        <w:tc>
          <w:tcPr>
            <w:tcW w:w="1701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01CA97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</w:pPr>
          </w:p>
          <w:p w14:paraId="42C5E948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</w:pPr>
            <w:r w:rsidRPr="00E556E1"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  <w:t>72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  <w:t xml:space="preserve"> (69.5)</w:t>
            </w:r>
          </w:p>
          <w:p w14:paraId="3D93549C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</w:pPr>
            <w:r w:rsidRPr="00E556E1"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  <w:t>38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  <w:t xml:space="preserve"> (30.6)</w:t>
            </w:r>
          </w:p>
        </w:tc>
        <w:tc>
          <w:tcPr>
            <w:tcW w:w="1417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21BC43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</w:pPr>
          </w:p>
          <w:p w14:paraId="21403D25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  <w:t>50 (69.4)</w:t>
            </w:r>
          </w:p>
          <w:p w14:paraId="38767003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  <w:t>22 (30.6)</w:t>
            </w:r>
          </w:p>
        </w:tc>
        <w:tc>
          <w:tcPr>
            <w:tcW w:w="1585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B3E614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</w:p>
          <w:p w14:paraId="3A8E4F94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  <w:t>22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  <w:t xml:space="preserve"> (57.9)</w:t>
            </w:r>
          </w:p>
          <w:p w14:paraId="008FB118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  <w:t>16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  <w:t xml:space="preserve"> (42.1)</w:t>
            </w:r>
          </w:p>
        </w:tc>
      </w:tr>
      <w:tr w:rsidR="00C01B61" w:rsidRPr="002B5B1D" w14:paraId="486193BA" w14:textId="77777777" w:rsidTr="00F42513">
        <w:trPr>
          <w:trHeight w:val="510"/>
        </w:trPr>
        <w:tc>
          <w:tcPr>
            <w:tcW w:w="4395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28F775" w14:textId="77777777" w:rsidR="00C01B61" w:rsidRPr="00E556E1" w:rsidRDefault="00C01B61" w:rsidP="00F42513">
            <w:pPr>
              <w:spacing w:before="100" w:beforeAutospacing="1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</w:pPr>
            <w:r w:rsidRPr="00E556E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de-DE"/>
              </w:rPr>
              <w:t>EMT at last monitoring (mm)</w:t>
            </w:r>
          </w:p>
        </w:tc>
        <w:tc>
          <w:tcPr>
            <w:tcW w:w="1701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AA3A61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</w:pPr>
            <w:r w:rsidRPr="00E556E1"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  <w:t>9.21 (1.72)</w:t>
            </w:r>
          </w:p>
        </w:tc>
        <w:tc>
          <w:tcPr>
            <w:tcW w:w="1417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8E68A4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</w:pPr>
            <w:r w:rsidRPr="00E556E1"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  <w:t>9.08 (1.48)</w:t>
            </w:r>
          </w:p>
        </w:tc>
        <w:tc>
          <w:tcPr>
            <w:tcW w:w="1585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512768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</w:pPr>
            <w:r w:rsidRPr="00E556E1"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  <w:t>9.45 (2.11)</w:t>
            </w:r>
          </w:p>
        </w:tc>
      </w:tr>
      <w:tr w:rsidR="00C01B61" w:rsidRPr="002B5B1D" w14:paraId="7F96D2CF" w14:textId="77777777" w:rsidTr="00F42513">
        <w:trPr>
          <w:trHeight w:val="510"/>
        </w:trPr>
        <w:tc>
          <w:tcPr>
            <w:tcW w:w="4395" w:type="dxa"/>
            <w:tcBorders>
              <w:top w:val="single" w:sz="8" w:space="0" w:color="7F7F7F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6D2354" w14:textId="77777777" w:rsidR="00C01B61" w:rsidRPr="00E556E1" w:rsidRDefault="00C01B61" w:rsidP="00F42513">
            <w:pPr>
              <w:spacing w:before="100" w:beforeAutospacing="1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</w:pPr>
            <w:r w:rsidRPr="00E556E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de-DE"/>
              </w:rPr>
              <w:t>LH at last monitoring (IU/l)</w:t>
            </w:r>
          </w:p>
        </w:tc>
        <w:tc>
          <w:tcPr>
            <w:tcW w:w="1701" w:type="dxa"/>
            <w:tcBorders>
              <w:top w:val="single" w:sz="8" w:space="0" w:color="7F7F7F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F148C7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</w:pPr>
            <w:r w:rsidRPr="00E556E1"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  <w:t>11.6 (8.74)</w:t>
            </w:r>
          </w:p>
        </w:tc>
        <w:tc>
          <w:tcPr>
            <w:tcW w:w="1417" w:type="dxa"/>
            <w:tcBorders>
              <w:top w:val="single" w:sz="8" w:space="0" w:color="7F7F7F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81A60D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</w:pPr>
            <w:r w:rsidRPr="00E556E1"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  <w:t>11.3 (9.92)</w:t>
            </w:r>
          </w:p>
        </w:tc>
        <w:tc>
          <w:tcPr>
            <w:tcW w:w="1585" w:type="dxa"/>
            <w:tcBorders>
              <w:top w:val="single" w:sz="8" w:space="0" w:color="7F7F7F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CC1D90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</w:pPr>
            <w:r w:rsidRPr="00E556E1"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  <w:t>12.3 (6.28)</w:t>
            </w:r>
          </w:p>
        </w:tc>
      </w:tr>
      <w:tr w:rsidR="00C01B61" w:rsidRPr="00F06DA9" w14:paraId="16B0F6B1" w14:textId="77777777" w:rsidTr="00F42513">
        <w:trPr>
          <w:trHeight w:val="510"/>
        </w:trPr>
        <w:tc>
          <w:tcPr>
            <w:tcW w:w="439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224390" w14:textId="77777777" w:rsidR="00C01B61" w:rsidRPr="00E556E1" w:rsidRDefault="00C01B61" w:rsidP="00F42513">
            <w:pPr>
              <w:spacing w:before="100" w:beforeAutospacing="1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de-DE"/>
              </w:rPr>
              <w:t>Progesterone at last monitoring (ng/ml)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86C899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</w:pPr>
            <w:r w:rsidRPr="003D4362"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  <w:t>0.24 (0.20)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CA74E5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</w:pPr>
            <w:r w:rsidRPr="00393724"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  <w:t>0.26 (0.2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  <w:t>3</w:t>
            </w:r>
            <w:r w:rsidRPr="00393724"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  <w:t>)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F32A78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</w:pPr>
            <w:r w:rsidRPr="00393724"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  <w:t>0.204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  <w:t xml:space="preserve"> </w:t>
            </w:r>
            <w:r w:rsidRPr="00393724"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  <w:t>(0.1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  <w:t>4</w:t>
            </w:r>
            <w:r w:rsidRPr="00393724">
              <w:rPr>
                <w:rFonts w:ascii="Times New Roman" w:eastAsia="Times New Roman" w:hAnsi="Times New Roman" w:cs="Times New Roman"/>
                <w:sz w:val="22"/>
                <w:szCs w:val="22"/>
                <w:lang w:val="en-US" w:eastAsia="de-DE"/>
              </w:rPr>
              <w:t>)</w:t>
            </w:r>
          </w:p>
        </w:tc>
      </w:tr>
      <w:tr w:rsidR="00C01B61" w:rsidRPr="002B5B1D" w14:paraId="7265F4A6" w14:textId="77777777" w:rsidTr="00F42513">
        <w:trPr>
          <w:trHeight w:val="510"/>
        </w:trPr>
        <w:tc>
          <w:tcPr>
            <w:tcW w:w="4395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F4A784" w14:textId="77777777" w:rsidR="00C01B61" w:rsidRPr="00E556E1" w:rsidRDefault="00C01B61" w:rsidP="00F42513">
            <w:pPr>
              <w:spacing w:before="100" w:beforeAutospacing="1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de-DE"/>
              </w:rPr>
              <w:t>SET, n (%)</w:t>
            </w:r>
          </w:p>
        </w:tc>
        <w:tc>
          <w:tcPr>
            <w:tcW w:w="1701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CB23CE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  <w:t>86 (77.5)</w:t>
            </w:r>
          </w:p>
        </w:tc>
        <w:tc>
          <w:tcPr>
            <w:tcW w:w="1417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29802A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  <w:t>55 (76.4)</w:t>
            </w:r>
          </w:p>
        </w:tc>
        <w:tc>
          <w:tcPr>
            <w:tcW w:w="1585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267512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  <w:t>31 (79.5)</w:t>
            </w:r>
          </w:p>
        </w:tc>
      </w:tr>
      <w:tr w:rsidR="00C01B61" w:rsidRPr="002B5B1D" w14:paraId="1CC554AF" w14:textId="77777777" w:rsidTr="00F42513">
        <w:trPr>
          <w:trHeight w:val="510"/>
        </w:trPr>
        <w:tc>
          <w:tcPr>
            <w:tcW w:w="4395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677E96" w14:textId="77777777" w:rsidR="00C01B61" w:rsidRPr="00E556E1" w:rsidRDefault="00C01B61" w:rsidP="00F42513">
            <w:pPr>
              <w:spacing w:before="100" w:beforeAutospacing="1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de-DE"/>
              </w:rPr>
              <w:t xml:space="preserve">DET or higher, n (%)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702B1E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  <w:t>25 (22.5)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32E396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  <w:t>17 (23.6)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51A21E" w14:textId="77777777" w:rsidR="00C01B61" w:rsidRPr="00E556E1" w:rsidRDefault="00C01B61" w:rsidP="00F42513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</w:pPr>
            <w:r w:rsidRPr="00E556E1">
              <w:rPr>
                <w:rFonts w:ascii="Times New Roman" w:eastAsia="Times New Roman" w:hAnsi="Times New Roman" w:cs="Times New Roman"/>
                <w:sz w:val="22"/>
                <w:szCs w:val="22"/>
                <w:lang w:eastAsia="de-DE"/>
              </w:rPr>
              <w:t>8 (20.5)</w:t>
            </w:r>
          </w:p>
        </w:tc>
      </w:tr>
    </w:tbl>
    <w:p w14:paraId="594E73BF" w14:textId="77777777" w:rsidR="00C01B61" w:rsidRPr="00A8028B" w:rsidRDefault="00C01B61" w:rsidP="00C01B61">
      <w:pPr>
        <w:spacing w:line="276" w:lineRule="auto"/>
        <w:jc w:val="both"/>
        <w:rPr>
          <w:rFonts w:ascii="Times New Roman" w:eastAsia="Times New Roman" w:hAnsi="Times New Roman" w:cs="Times New Roman"/>
          <w:szCs w:val="18"/>
          <w:lang w:eastAsia="de-DE"/>
        </w:rPr>
      </w:pPr>
      <w:r w:rsidRPr="00A8028B">
        <w:rPr>
          <w:rFonts w:asciiTheme="majorBidi" w:hAnsiTheme="majorBidi" w:cstheme="majorBidi"/>
          <w:b/>
          <w:i/>
          <w:iCs/>
        </w:rPr>
        <w:t>Table S1:</w:t>
      </w:r>
      <w:r w:rsidRPr="00A8028B">
        <w:rPr>
          <w:rFonts w:asciiTheme="majorBidi" w:hAnsiTheme="majorBidi" w:cstheme="majorBidi"/>
          <w:bCs/>
        </w:rPr>
        <w:t xml:space="preserve"> </w:t>
      </w:r>
      <w:r w:rsidRPr="00A8028B">
        <w:rPr>
          <w:rFonts w:ascii="Times New Roman" w:eastAsia="Times New Roman" w:hAnsi="Times New Roman" w:cs="Times New Roman"/>
          <w:szCs w:val="18"/>
          <w:lang w:eastAsia="de-DE"/>
        </w:rPr>
        <w:t>Demographics of the analyzed patient population with stratification for live birth achievement; depicted are mean and standard deviation or number and proportions (abbr.: AMH = Anti-Muellerian Hormone; EMT = endometrial thickness; LH = Luteinizing hormone; COCs = cumulus-oocyte-complexes; SET = single embryo transfer; DET = double embryo transfer; *missing values n=1).</w:t>
      </w:r>
    </w:p>
    <w:p w14:paraId="31BB4CBD" w14:textId="77777777" w:rsidR="00C01B61" w:rsidRDefault="00C01B61" w:rsidP="00C01B61">
      <w:pPr>
        <w:rPr>
          <w:rFonts w:asciiTheme="majorBidi" w:hAnsiTheme="majorBidi" w:cstheme="majorBidi"/>
          <w:bCs/>
        </w:rPr>
      </w:pPr>
      <w:r w:rsidRPr="00A8028B">
        <w:rPr>
          <w:rFonts w:asciiTheme="majorBidi" w:hAnsiTheme="majorBidi" w:cstheme="majorBidi"/>
          <w:bCs/>
        </w:rPr>
        <w:br w:type="page"/>
      </w:r>
    </w:p>
    <w:p w14:paraId="64B1276E" w14:textId="77777777" w:rsidR="00C01B61" w:rsidRDefault="00C01B61" w:rsidP="00C01B61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7B429327" w14:textId="77777777" w:rsidR="00C01B61" w:rsidRDefault="00C01B61" w:rsidP="00C01B61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F86DE8">
        <w:rPr>
          <w:rFonts w:asciiTheme="majorBidi" w:hAnsiTheme="majorBidi" w:cstheme="majorBidi"/>
          <w:bCs/>
          <w:noProof/>
          <w:lang w:eastAsia="de-DE"/>
        </w:rPr>
        <w:drawing>
          <wp:inline distT="0" distB="0" distL="0" distR="0" wp14:anchorId="59795E1E" wp14:editId="201C8928">
            <wp:extent cx="5000625" cy="1714500"/>
            <wp:effectExtent l="0" t="0" r="9525" b="0"/>
            <wp:docPr id="13" name="Grafi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HRT_FigS1_1_singleQ1LLNN.sv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144A76" w14:textId="77777777" w:rsidR="00C01B61" w:rsidRDefault="00C01B61" w:rsidP="00C01B61">
      <w:pPr>
        <w:spacing w:line="360" w:lineRule="auto"/>
        <w:jc w:val="both"/>
        <w:rPr>
          <w:rFonts w:asciiTheme="majorBidi" w:hAnsiTheme="majorBidi" w:cstheme="majorBidi"/>
          <w:bCs/>
          <w:lang w:val="en-US"/>
        </w:rPr>
      </w:pPr>
      <w:r w:rsidRPr="00AB124E">
        <w:rPr>
          <w:rFonts w:asciiTheme="majorBidi" w:hAnsiTheme="majorBidi" w:cstheme="majorBidi"/>
          <w:b/>
          <w:i/>
          <w:iCs/>
          <w:lang w:val="en-US"/>
        </w:rPr>
        <w:t>Figure S2:</w:t>
      </w:r>
      <w:r w:rsidRPr="00F86DE8">
        <w:rPr>
          <w:rFonts w:asciiTheme="majorBidi" w:hAnsiTheme="majorBidi" w:cstheme="majorBidi"/>
          <w:bCs/>
          <w:lang w:val="en-US"/>
        </w:rPr>
        <w:t xml:space="preserve"> Empirical and theoretical hormone </w:t>
      </w:r>
      <w:r>
        <w:rPr>
          <w:rFonts w:asciiTheme="majorBidi" w:hAnsiTheme="majorBidi" w:cstheme="majorBidi"/>
          <w:bCs/>
          <w:lang w:val="en-US"/>
        </w:rPr>
        <w:t>level</w:t>
      </w:r>
      <w:r w:rsidRPr="00F86DE8">
        <w:rPr>
          <w:rFonts w:asciiTheme="majorBidi" w:hAnsiTheme="majorBidi" w:cstheme="majorBidi"/>
          <w:bCs/>
          <w:lang w:val="en-US"/>
        </w:rPr>
        <w:t xml:space="preserve"> distributions on day of FET. Normal distributions were assumed for P and E2, lognormal distributions for DYD and DHD. Vertical reference lines are lower quartiles at embryo transfer.</w:t>
      </w:r>
    </w:p>
    <w:p w14:paraId="05ACA813" w14:textId="77777777" w:rsidR="00C01B61" w:rsidRPr="00AB124E" w:rsidRDefault="00C01B61" w:rsidP="00C01B61">
      <w:pPr>
        <w:spacing w:line="360" w:lineRule="auto"/>
        <w:jc w:val="both"/>
        <w:rPr>
          <w:rFonts w:asciiTheme="majorBidi" w:hAnsiTheme="majorBidi" w:cstheme="majorBidi"/>
          <w:bCs/>
          <w:lang w:val="en-US"/>
        </w:rPr>
      </w:pPr>
    </w:p>
    <w:tbl>
      <w:tblPr>
        <w:tblStyle w:val="TableGridLight"/>
        <w:tblpPr w:leftFromText="141" w:rightFromText="141" w:vertAnchor="text" w:horzAnchor="margin" w:tblpY="183"/>
        <w:tblW w:w="0" w:type="auto"/>
        <w:tblLook w:val="04A0" w:firstRow="1" w:lastRow="0" w:firstColumn="1" w:lastColumn="0" w:noHBand="0" w:noVBand="1"/>
      </w:tblPr>
      <w:tblGrid>
        <w:gridCol w:w="909"/>
        <w:gridCol w:w="766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  <w:gridCol w:w="616"/>
        <w:gridCol w:w="666"/>
        <w:gridCol w:w="666"/>
        <w:gridCol w:w="666"/>
        <w:gridCol w:w="666"/>
        <w:gridCol w:w="666"/>
        <w:gridCol w:w="666"/>
        <w:gridCol w:w="666"/>
        <w:gridCol w:w="666"/>
      </w:tblGrid>
      <w:tr w:rsidR="00C01B61" w:rsidRPr="00C93EE1" w14:paraId="04D60B42" w14:textId="77777777" w:rsidTr="00F42513">
        <w:trPr>
          <w:trHeight w:val="345"/>
        </w:trPr>
        <w:tc>
          <w:tcPr>
            <w:tcW w:w="0" w:type="auto"/>
            <w:gridSpan w:val="21"/>
            <w:hideMark/>
          </w:tcPr>
          <w:p w14:paraId="4BB89FC4" w14:textId="77777777" w:rsidR="00C01B61" w:rsidRPr="00E41D14" w:rsidRDefault="00C01B61" w:rsidP="00F4251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Observed quantiles of hormone concentrations on different days of FET</w:t>
            </w:r>
          </w:p>
        </w:tc>
      </w:tr>
      <w:tr w:rsidR="00C01B61" w:rsidRPr="00E41D14" w14:paraId="50B2B47D" w14:textId="77777777" w:rsidTr="00F42513">
        <w:trPr>
          <w:trHeight w:val="345"/>
        </w:trPr>
        <w:tc>
          <w:tcPr>
            <w:tcW w:w="0" w:type="auto"/>
            <w:vMerge w:val="restart"/>
            <w:hideMark/>
          </w:tcPr>
          <w:p w14:paraId="227A896B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Day of FET </w:t>
            </w:r>
          </w:p>
        </w:tc>
        <w:tc>
          <w:tcPr>
            <w:tcW w:w="0" w:type="auto"/>
            <w:gridSpan w:val="5"/>
            <w:hideMark/>
          </w:tcPr>
          <w:p w14:paraId="51F68850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DYD (ng/ml)</w:t>
            </w:r>
          </w:p>
        </w:tc>
        <w:tc>
          <w:tcPr>
            <w:tcW w:w="0" w:type="auto"/>
            <w:gridSpan w:val="5"/>
            <w:hideMark/>
          </w:tcPr>
          <w:p w14:paraId="79D858F9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DHD (ng/ml)</w:t>
            </w:r>
          </w:p>
        </w:tc>
        <w:tc>
          <w:tcPr>
            <w:tcW w:w="0" w:type="auto"/>
            <w:gridSpan w:val="5"/>
            <w:hideMark/>
          </w:tcPr>
          <w:p w14:paraId="7BDA4895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Progesterone (ng/ml)</w:t>
            </w:r>
          </w:p>
        </w:tc>
        <w:tc>
          <w:tcPr>
            <w:tcW w:w="0" w:type="auto"/>
            <w:gridSpan w:val="5"/>
          </w:tcPr>
          <w:p w14:paraId="001F6D5A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E2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(pg/ml)</w:t>
            </w:r>
          </w:p>
        </w:tc>
      </w:tr>
      <w:tr w:rsidR="00C01B61" w:rsidRPr="00E41D14" w14:paraId="3AD3979F" w14:textId="77777777" w:rsidTr="00F42513">
        <w:trPr>
          <w:trHeight w:val="668"/>
        </w:trPr>
        <w:tc>
          <w:tcPr>
            <w:tcW w:w="0" w:type="auto"/>
            <w:vMerge/>
            <w:hideMark/>
          </w:tcPr>
          <w:p w14:paraId="72C31259" w14:textId="77777777" w:rsidR="00C01B61" w:rsidRPr="00E41D14" w:rsidRDefault="00C01B61" w:rsidP="00F4251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hideMark/>
          </w:tcPr>
          <w:p w14:paraId="40A3E0FC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5% </w:t>
            </w:r>
          </w:p>
        </w:tc>
        <w:tc>
          <w:tcPr>
            <w:tcW w:w="0" w:type="auto"/>
            <w:hideMark/>
          </w:tcPr>
          <w:p w14:paraId="69FAF8BD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25% </w:t>
            </w:r>
          </w:p>
        </w:tc>
        <w:tc>
          <w:tcPr>
            <w:tcW w:w="0" w:type="auto"/>
            <w:hideMark/>
          </w:tcPr>
          <w:p w14:paraId="5C2558A7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50% </w:t>
            </w:r>
          </w:p>
        </w:tc>
        <w:tc>
          <w:tcPr>
            <w:tcW w:w="0" w:type="auto"/>
            <w:hideMark/>
          </w:tcPr>
          <w:p w14:paraId="1FC6F163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75% </w:t>
            </w:r>
          </w:p>
        </w:tc>
        <w:tc>
          <w:tcPr>
            <w:tcW w:w="0" w:type="auto"/>
            <w:hideMark/>
          </w:tcPr>
          <w:p w14:paraId="2E2719F7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95% </w:t>
            </w:r>
          </w:p>
        </w:tc>
        <w:tc>
          <w:tcPr>
            <w:tcW w:w="0" w:type="auto"/>
            <w:hideMark/>
          </w:tcPr>
          <w:p w14:paraId="2D1BD8A5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5% </w:t>
            </w:r>
          </w:p>
        </w:tc>
        <w:tc>
          <w:tcPr>
            <w:tcW w:w="0" w:type="auto"/>
            <w:hideMark/>
          </w:tcPr>
          <w:p w14:paraId="20530976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25% </w:t>
            </w:r>
          </w:p>
        </w:tc>
        <w:tc>
          <w:tcPr>
            <w:tcW w:w="0" w:type="auto"/>
            <w:hideMark/>
          </w:tcPr>
          <w:p w14:paraId="2C9EAD57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50% </w:t>
            </w:r>
          </w:p>
        </w:tc>
        <w:tc>
          <w:tcPr>
            <w:tcW w:w="0" w:type="auto"/>
            <w:hideMark/>
          </w:tcPr>
          <w:p w14:paraId="5E6CA24B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75% </w:t>
            </w:r>
          </w:p>
        </w:tc>
        <w:tc>
          <w:tcPr>
            <w:tcW w:w="0" w:type="auto"/>
            <w:hideMark/>
          </w:tcPr>
          <w:p w14:paraId="089B0039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95%</w:t>
            </w:r>
          </w:p>
        </w:tc>
        <w:tc>
          <w:tcPr>
            <w:tcW w:w="0" w:type="auto"/>
            <w:hideMark/>
          </w:tcPr>
          <w:p w14:paraId="3D64508A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5% </w:t>
            </w:r>
          </w:p>
        </w:tc>
        <w:tc>
          <w:tcPr>
            <w:tcW w:w="0" w:type="auto"/>
            <w:hideMark/>
          </w:tcPr>
          <w:p w14:paraId="4C72A310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25% </w:t>
            </w:r>
          </w:p>
        </w:tc>
        <w:tc>
          <w:tcPr>
            <w:tcW w:w="0" w:type="auto"/>
            <w:hideMark/>
          </w:tcPr>
          <w:p w14:paraId="64E669FD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50% </w:t>
            </w:r>
          </w:p>
        </w:tc>
        <w:tc>
          <w:tcPr>
            <w:tcW w:w="0" w:type="auto"/>
            <w:hideMark/>
          </w:tcPr>
          <w:p w14:paraId="767CEC31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75%</w:t>
            </w:r>
          </w:p>
        </w:tc>
        <w:tc>
          <w:tcPr>
            <w:tcW w:w="0" w:type="auto"/>
            <w:hideMark/>
          </w:tcPr>
          <w:p w14:paraId="317E1979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95%</w:t>
            </w:r>
          </w:p>
        </w:tc>
        <w:tc>
          <w:tcPr>
            <w:tcW w:w="0" w:type="auto"/>
          </w:tcPr>
          <w:p w14:paraId="4DA41298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5% </w:t>
            </w:r>
          </w:p>
        </w:tc>
        <w:tc>
          <w:tcPr>
            <w:tcW w:w="0" w:type="auto"/>
          </w:tcPr>
          <w:p w14:paraId="2A6A30AE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25% </w:t>
            </w:r>
          </w:p>
        </w:tc>
        <w:tc>
          <w:tcPr>
            <w:tcW w:w="0" w:type="auto"/>
          </w:tcPr>
          <w:p w14:paraId="46DA466C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50% </w:t>
            </w:r>
          </w:p>
        </w:tc>
        <w:tc>
          <w:tcPr>
            <w:tcW w:w="0" w:type="auto"/>
          </w:tcPr>
          <w:p w14:paraId="3ECC7474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75%</w:t>
            </w:r>
          </w:p>
        </w:tc>
        <w:tc>
          <w:tcPr>
            <w:tcW w:w="0" w:type="auto"/>
          </w:tcPr>
          <w:p w14:paraId="449C4A1A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95%</w:t>
            </w:r>
          </w:p>
        </w:tc>
      </w:tr>
      <w:tr w:rsidR="00C01B61" w:rsidRPr="00E41D14" w14:paraId="77A96C6D" w14:textId="77777777" w:rsidTr="00F42513">
        <w:trPr>
          <w:trHeight w:val="345"/>
        </w:trPr>
        <w:tc>
          <w:tcPr>
            <w:tcW w:w="0" w:type="auto"/>
            <w:hideMark/>
          </w:tcPr>
          <w:p w14:paraId="626C6FDF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1D14">
              <w:rPr>
                <w:rStyle w:val="Strong"/>
                <w:rFonts w:ascii="Times New Roman" w:eastAsia="Times New Roman" w:hAnsi="Times New Roman" w:cs="Times New Roman"/>
                <w:sz w:val="20"/>
                <w:szCs w:val="20"/>
              </w:rPr>
              <w:t xml:space="preserve">2 </w:t>
            </w:r>
          </w:p>
        </w:tc>
        <w:tc>
          <w:tcPr>
            <w:tcW w:w="0" w:type="auto"/>
            <w:hideMark/>
          </w:tcPr>
          <w:p w14:paraId="750CB84B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5422E">
              <w:rPr>
                <w:rFonts w:ascii="Times New Roman" w:eastAsia="Times New Roman" w:hAnsi="Times New Roman" w:cs="Times New Roman"/>
                <w:sz w:val="20"/>
                <w:szCs w:val="20"/>
              </w:rPr>
              <w:t>0.542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hideMark/>
          </w:tcPr>
          <w:p w14:paraId="0406FFDF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5422E">
              <w:rPr>
                <w:rFonts w:ascii="Times New Roman" w:eastAsia="Times New Roman" w:hAnsi="Times New Roman" w:cs="Times New Roman"/>
                <w:sz w:val="20"/>
                <w:szCs w:val="20"/>
              </w:rPr>
              <w:t>0.77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hideMark/>
          </w:tcPr>
          <w:p w14:paraId="1B92D3C6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5422E">
              <w:rPr>
                <w:rFonts w:ascii="Times New Roman" w:eastAsia="Times New Roman" w:hAnsi="Times New Roman" w:cs="Times New Roman"/>
                <w:sz w:val="20"/>
                <w:szCs w:val="20"/>
              </w:rPr>
              <w:t>1.07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hideMark/>
          </w:tcPr>
          <w:p w14:paraId="6AD30A86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5422E">
              <w:rPr>
                <w:rFonts w:ascii="Times New Roman" w:eastAsia="Times New Roman" w:hAnsi="Times New Roman" w:cs="Times New Roman"/>
                <w:sz w:val="20"/>
                <w:szCs w:val="20"/>
              </w:rPr>
              <w:t>1.921</w:t>
            </w:r>
          </w:p>
        </w:tc>
        <w:tc>
          <w:tcPr>
            <w:tcW w:w="0" w:type="auto"/>
            <w:hideMark/>
          </w:tcPr>
          <w:p w14:paraId="3D47AE57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5422E">
              <w:rPr>
                <w:rFonts w:ascii="Times New Roman" w:eastAsia="Times New Roman" w:hAnsi="Times New Roman" w:cs="Times New Roman"/>
                <w:sz w:val="20"/>
                <w:szCs w:val="20"/>
              </w:rPr>
              <w:t>2.598</w:t>
            </w:r>
          </w:p>
        </w:tc>
        <w:tc>
          <w:tcPr>
            <w:tcW w:w="0" w:type="auto"/>
            <w:hideMark/>
          </w:tcPr>
          <w:p w14:paraId="01F81C98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5422E">
              <w:rPr>
                <w:rFonts w:ascii="Times New Roman" w:eastAsia="Times New Roman" w:hAnsi="Times New Roman" w:cs="Times New Roman"/>
                <w:sz w:val="20"/>
                <w:szCs w:val="20"/>
              </w:rPr>
              <w:t>19.16</w:t>
            </w:r>
          </w:p>
        </w:tc>
        <w:tc>
          <w:tcPr>
            <w:tcW w:w="0" w:type="auto"/>
            <w:hideMark/>
          </w:tcPr>
          <w:p w14:paraId="266DB6A8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5422E">
              <w:rPr>
                <w:rFonts w:ascii="Times New Roman" w:eastAsia="Times New Roman" w:hAnsi="Times New Roman" w:cs="Times New Roman"/>
                <w:sz w:val="20"/>
                <w:szCs w:val="20"/>
              </w:rPr>
              <w:t>25.23</w:t>
            </w:r>
          </w:p>
        </w:tc>
        <w:tc>
          <w:tcPr>
            <w:tcW w:w="0" w:type="auto"/>
            <w:hideMark/>
          </w:tcPr>
          <w:p w14:paraId="5A0510CA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5422E">
              <w:rPr>
                <w:rFonts w:ascii="Times New Roman" w:eastAsia="Times New Roman" w:hAnsi="Times New Roman" w:cs="Times New Roman"/>
                <w:sz w:val="20"/>
                <w:szCs w:val="20"/>
              </w:rPr>
              <w:t>33.95</w:t>
            </w:r>
          </w:p>
        </w:tc>
        <w:tc>
          <w:tcPr>
            <w:tcW w:w="0" w:type="auto"/>
            <w:hideMark/>
          </w:tcPr>
          <w:p w14:paraId="0F620A59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5422E">
              <w:rPr>
                <w:rFonts w:ascii="Times New Roman" w:eastAsia="Times New Roman" w:hAnsi="Times New Roman" w:cs="Times New Roman"/>
                <w:sz w:val="20"/>
                <w:szCs w:val="20"/>
              </w:rPr>
              <w:t>40.41</w:t>
            </w:r>
          </w:p>
        </w:tc>
        <w:tc>
          <w:tcPr>
            <w:tcW w:w="0" w:type="auto"/>
            <w:hideMark/>
          </w:tcPr>
          <w:p w14:paraId="3F33C090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5422E">
              <w:rPr>
                <w:rFonts w:ascii="Times New Roman" w:eastAsia="Times New Roman" w:hAnsi="Times New Roman" w:cs="Times New Roman"/>
                <w:sz w:val="20"/>
                <w:szCs w:val="20"/>
              </w:rPr>
              <w:t>50.61</w:t>
            </w:r>
          </w:p>
        </w:tc>
        <w:tc>
          <w:tcPr>
            <w:tcW w:w="0" w:type="auto"/>
            <w:hideMark/>
          </w:tcPr>
          <w:p w14:paraId="3F6F320C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5794">
              <w:rPr>
                <w:rFonts w:ascii="Times New Roman" w:eastAsia="Times New Roman" w:hAnsi="Times New Roman" w:cs="Times New Roman"/>
                <w:sz w:val="20"/>
                <w:szCs w:val="20"/>
              </w:rPr>
              <w:t>5.648</w:t>
            </w:r>
          </w:p>
        </w:tc>
        <w:tc>
          <w:tcPr>
            <w:tcW w:w="0" w:type="auto"/>
            <w:hideMark/>
          </w:tcPr>
          <w:p w14:paraId="27DFD91E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5794">
              <w:rPr>
                <w:rFonts w:ascii="Times New Roman" w:eastAsia="Times New Roman" w:hAnsi="Times New Roman" w:cs="Times New Roman"/>
                <w:sz w:val="20"/>
                <w:szCs w:val="20"/>
              </w:rPr>
              <w:t>7.4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hideMark/>
          </w:tcPr>
          <w:p w14:paraId="519916CF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5794">
              <w:rPr>
                <w:rFonts w:ascii="Times New Roman" w:eastAsia="Times New Roman" w:hAnsi="Times New Roman" w:cs="Times New Roman"/>
                <w:sz w:val="20"/>
                <w:szCs w:val="20"/>
              </w:rPr>
              <w:t>12.18</w:t>
            </w:r>
          </w:p>
        </w:tc>
        <w:tc>
          <w:tcPr>
            <w:tcW w:w="0" w:type="auto"/>
            <w:hideMark/>
          </w:tcPr>
          <w:p w14:paraId="790CE4E7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5794">
              <w:rPr>
                <w:rFonts w:ascii="Times New Roman" w:eastAsia="Times New Roman" w:hAnsi="Times New Roman" w:cs="Times New Roman"/>
                <w:sz w:val="20"/>
                <w:szCs w:val="20"/>
              </w:rPr>
              <w:t>13.33</w:t>
            </w:r>
          </w:p>
        </w:tc>
        <w:tc>
          <w:tcPr>
            <w:tcW w:w="0" w:type="auto"/>
            <w:hideMark/>
          </w:tcPr>
          <w:p w14:paraId="7EB66CB9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5794">
              <w:rPr>
                <w:rFonts w:ascii="Times New Roman" w:eastAsia="Times New Roman" w:hAnsi="Times New Roman" w:cs="Times New Roman"/>
                <w:sz w:val="20"/>
                <w:szCs w:val="20"/>
              </w:rPr>
              <w:t>14.3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3775EA52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5794">
              <w:rPr>
                <w:rFonts w:ascii="Times New Roman" w:eastAsia="Times New Roman" w:hAnsi="Times New Roman" w:cs="Times New Roman"/>
                <w:sz w:val="20"/>
                <w:szCs w:val="20"/>
              </w:rPr>
              <w:t>366.2</w:t>
            </w:r>
          </w:p>
        </w:tc>
        <w:tc>
          <w:tcPr>
            <w:tcW w:w="0" w:type="auto"/>
          </w:tcPr>
          <w:p w14:paraId="41AB2208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5794">
              <w:rPr>
                <w:rFonts w:ascii="Times New Roman" w:eastAsia="Times New Roman" w:hAnsi="Times New Roman" w:cs="Times New Roman"/>
                <w:sz w:val="20"/>
                <w:szCs w:val="20"/>
              </w:rPr>
              <w:t>376.1</w:t>
            </w:r>
          </w:p>
        </w:tc>
        <w:tc>
          <w:tcPr>
            <w:tcW w:w="0" w:type="auto"/>
          </w:tcPr>
          <w:p w14:paraId="5D45695E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5794">
              <w:rPr>
                <w:rFonts w:ascii="Times New Roman" w:eastAsia="Times New Roman" w:hAnsi="Times New Roman" w:cs="Times New Roman"/>
                <w:sz w:val="20"/>
                <w:szCs w:val="20"/>
              </w:rPr>
              <w:t>489.8</w:t>
            </w:r>
          </w:p>
        </w:tc>
        <w:tc>
          <w:tcPr>
            <w:tcW w:w="0" w:type="auto"/>
          </w:tcPr>
          <w:p w14:paraId="4AE81A88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5794">
              <w:rPr>
                <w:rFonts w:ascii="Times New Roman" w:eastAsia="Times New Roman" w:hAnsi="Times New Roman" w:cs="Times New Roman"/>
                <w:sz w:val="20"/>
                <w:szCs w:val="20"/>
              </w:rPr>
              <w:t>634.6</w:t>
            </w:r>
          </w:p>
        </w:tc>
        <w:tc>
          <w:tcPr>
            <w:tcW w:w="0" w:type="auto"/>
          </w:tcPr>
          <w:p w14:paraId="454EB603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5794">
              <w:rPr>
                <w:rFonts w:ascii="Times New Roman" w:eastAsia="Times New Roman" w:hAnsi="Times New Roman" w:cs="Times New Roman"/>
                <w:sz w:val="20"/>
                <w:szCs w:val="20"/>
              </w:rPr>
              <w:t>708.6</w:t>
            </w:r>
          </w:p>
        </w:tc>
      </w:tr>
      <w:tr w:rsidR="00C01B61" w:rsidRPr="00E41D14" w14:paraId="1F667EB4" w14:textId="77777777" w:rsidTr="00F42513">
        <w:trPr>
          <w:trHeight w:val="345"/>
        </w:trPr>
        <w:tc>
          <w:tcPr>
            <w:tcW w:w="0" w:type="auto"/>
            <w:hideMark/>
          </w:tcPr>
          <w:p w14:paraId="39B17B8C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1D14">
              <w:rPr>
                <w:rStyle w:val="Strong"/>
                <w:rFonts w:ascii="Times New Roman" w:eastAsia="Times New Roman" w:hAnsi="Times New Roman" w:cs="Times New Roman"/>
                <w:sz w:val="20"/>
                <w:szCs w:val="20"/>
              </w:rPr>
              <w:t xml:space="preserve">3 </w:t>
            </w:r>
          </w:p>
        </w:tc>
        <w:tc>
          <w:tcPr>
            <w:tcW w:w="0" w:type="auto"/>
            <w:hideMark/>
          </w:tcPr>
          <w:p w14:paraId="68DD7DB4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5422E">
              <w:rPr>
                <w:rFonts w:ascii="Times New Roman" w:eastAsia="Times New Roman" w:hAnsi="Times New Roman" w:cs="Times New Roman"/>
                <w:sz w:val="20"/>
                <w:szCs w:val="20"/>
              </w:rPr>
              <w:t>0.375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hideMark/>
          </w:tcPr>
          <w:p w14:paraId="142C460C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5422E">
              <w:rPr>
                <w:rFonts w:ascii="Times New Roman" w:eastAsia="Times New Roman" w:hAnsi="Times New Roman" w:cs="Times New Roman"/>
                <w:sz w:val="20"/>
                <w:szCs w:val="20"/>
              </w:rPr>
              <w:t>0.545</w:t>
            </w:r>
          </w:p>
        </w:tc>
        <w:tc>
          <w:tcPr>
            <w:tcW w:w="0" w:type="auto"/>
            <w:hideMark/>
          </w:tcPr>
          <w:p w14:paraId="0188042B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5422E">
              <w:rPr>
                <w:rFonts w:ascii="Times New Roman" w:eastAsia="Times New Roman" w:hAnsi="Times New Roman" w:cs="Times New Roman"/>
                <w:sz w:val="20"/>
                <w:szCs w:val="20"/>
              </w:rPr>
              <w:t>0.847</w:t>
            </w:r>
          </w:p>
        </w:tc>
        <w:tc>
          <w:tcPr>
            <w:tcW w:w="0" w:type="auto"/>
            <w:hideMark/>
          </w:tcPr>
          <w:p w14:paraId="5A1495E0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5422E">
              <w:rPr>
                <w:rFonts w:ascii="Times New Roman" w:eastAsia="Times New Roman" w:hAnsi="Times New Roman" w:cs="Times New Roman"/>
                <w:sz w:val="20"/>
                <w:szCs w:val="20"/>
              </w:rPr>
              <w:t>1.484</w:t>
            </w:r>
          </w:p>
        </w:tc>
        <w:tc>
          <w:tcPr>
            <w:tcW w:w="0" w:type="auto"/>
            <w:hideMark/>
          </w:tcPr>
          <w:p w14:paraId="62C68B50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5422E">
              <w:rPr>
                <w:rFonts w:ascii="Times New Roman" w:eastAsia="Times New Roman" w:hAnsi="Times New Roman" w:cs="Times New Roman"/>
                <w:sz w:val="20"/>
                <w:szCs w:val="20"/>
              </w:rPr>
              <w:t>3.526</w:t>
            </w:r>
          </w:p>
        </w:tc>
        <w:tc>
          <w:tcPr>
            <w:tcW w:w="0" w:type="auto"/>
            <w:hideMark/>
          </w:tcPr>
          <w:p w14:paraId="75DB78AA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5422E">
              <w:rPr>
                <w:rFonts w:ascii="Times New Roman" w:eastAsia="Times New Roman" w:hAnsi="Times New Roman" w:cs="Times New Roman"/>
                <w:sz w:val="20"/>
                <w:szCs w:val="20"/>
              </w:rPr>
              <w:t>12.04</w:t>
            </w:r>
          </w:p>
        </w:tc>
        <w:tc>
          <w:tcPr>
            <w:tcW w:w="0" w:type="auto"/>
            <w:hideMark/>
          </w:tcPr>
          <w:p w14:paraId="7FB11494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5422E">
              <w:rPr>
                <w:rFonts w:ascii="Times New Roman" w:eastAsia="Times New Roman" w:hAnsi="Times New Roman" w:cs="Times New Roman"/>
                <w:sz w:val="20"/>
                <w:szCs w:val="20"/>
              </w:rPr>
              <w:t>20.42</w:t>
            </w:r>
          </w:p>
        </w:tc>
        <w:tc>
          <w:tcPr>
            <w:tcW w:w="0" w:type="auto"/>
            <w:hideMark/>
          </w:tcPr>
          <w:p w14:paraId="476F77AA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5422E">
              <w:rPr>
                <w:rFonts w:ascii="Times New Roman" w:eastAsia="Times New Roman" w:hAnsi="Times New Roman" w:cs="Times New Roman"/>
                <w:sz w:val="20"/>
                <w:szCs w:val="20"/>
              </w:rPr>
              <w:t>26.51</w:t>
            </w:r>
          </w:p>
        </w:tc>
        <w:tc>
          <w:tcPr>
            <w:tcW w:w="0" w:type="auto"/>
            <w:hideMark/>
          </w:tcPr>
          <w:p w14:paraId="1A4E7F04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5422E">
              <w:rPr>
                <w:rFonts w:ascii="Times New Roman" w:eastAsia="Times New Roman" w:hAnsi="Times New Roman" w:cs="Times New Roman"/>
                <w:sz w:val="20"/>
                <w:szCs w:val="20"/>
              </w:rPr>
              <w:t>34.63</w:t>
            </w:r>
          </w:p>
        </w:tc>
        <w:tc>
          <w:tcPr>
            <w:tcW w:w="0" w:type="auto"/>
            <w:hideMark/>
          </w:tcPr>
          <w:p w14:paraId="506B7027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5422E">
              <w:rPr>
                <w:rFonts w:ascii="Times New Roman" w:eastAsia="Times New Roman" w:hAnsi="Times New Roman" w:cs="Times New Roman"/>
                <w:sz w:val="20"/>
                <w:szCs w:val="20"/>
              </w:rPr>
              <w:t>78.5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hideMark/>
          </w:tcPr>
          <w:p w14:paraId="44BA6EBF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5794">
              <w:rPr>
                <w:rFonts w:ascii="Times New Roman" w:eastAsia="Times New Roman" w:hAnsi="Times New Roman" w:cs="Times New Roman"/>
                <w:sz w:val="20"/>
                <w:szCs w:val="20"/>
              </w:rPr>
              <w:t>0.174</w:t>
            </w:r>
          </w:p>
        </w:tc>
        <w:tc>
          <w:tcPr>
            <w:tcW w:w="0" w:type="auto"/>
            <w:hideMark/>
          </w:tcPr>
          <w:p w14:paraId="3F37626A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5794">
              <w:rPr>
                <w:rFonts w:ascii="Times New Roman" w:eastAsia="Times New Roman" w:hAnsi="Times New Roman" w:cs="Times New Roman"/>
                <w:sz w:val="20"/>
                <w:szCs w:val="20"/>
              </w:rPr>
              <w:t>9.03</w:t>
            </w:r>
          </w:p>
        </w:tc>
        <w:tc>
          <w:tcPr>
            <w:tcW w:w="0" w:type="auto"/>
            <w:hideMark/>
          </w:tcPr>
          <w:p w14:paraId="4AC74BDB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5794">
              <w:rPr>
                <w:rFonts w:ascii="Times New Roman" w:eastAsia="Times New Roman" w:hAnsi="Times New Roman" w:cs="Times New Roman"/>
                <w:sz w:val="20"/>
                <w:szCs w:val="20"/>
              </w:rPr>
              <w:t>12.83</w:t>
            </w:r>
          </w:p>
        </w:tc>
        <w:tc>
          <w:tcPr>
            <w:tcW w:w="0" w:type="auto"/>
            <w:hideMark/>
          </w:tcPr>
          <w:p w14:paraId="5AB5F81C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5794">
              <w:rPr>
                <w:rFonts w:ascii="Times New Roman" w:eastAsia="Times New Roman" w:hAnsi="Times New Roman" w:cs="Times New Roman"/>
                <w:sz w:val="20"/>
                <w:szCs w:val="20"/>
              </w:rPr>
              <w:t>14.46</w:t>
            </w:r>
          </w:p>
        </w:tc>
        <w:tc>
          <w:tcPr>
            <w:tcW w:w="0" w:type="auto"/>
            <w:hideMark/>
          </w:tcPr>
          <w:p w14:paraId="11FC2510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5794">
              <w:rPr>
                <w:rFonts w:ascii="Times New Roman" w:eastAsia="Times New Roman" w:hAnsi="Times New Roman" w:cs="Times New Roman"/>
                <w:sz w:val="20"/>
                <w:szCs w:val="20"/>
              </w:rPr>
              <w:t>16.92</w:t>
            </w:r>
          </w:p>
        </w:tc>
        <w:tc>
          <w:tcPr>
            <w:tcW w:w="0" w:type="auto"/>
          </w:tcPr>
          <w:p w14:paraId="112696F4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5794">
              <w:rPr>
                <w:rFonts w:ascii="Times New Roman" w:eastAsia="Times New Roman" w:hAnsi="Times New Roman" w:cs="Times New Roman"/>
                <w:sz w:val="20"/>
                <w:szCs w:val="20"/>
              </w:rPr>
              <w:t>273.7</w:t>
            </w:r>
          </w:p>
        </w:tc>
        <w:tc>
          <w:tcPr>
            <w:tcW w:w="0" w:type="auto"/>
          </w:tcPr>
          <w:p w14:paraId="1079D4B4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5794">
              <w:rPr>
                <w:rFonts w:ascii="Times New Roman" w:eastAsia="Times New Roman" w:hAnsi="Times New Roman" w:cs="Times New Roman"/>
                <w:sz w:val="20"/>
                <w:szCs w:val="20"/>
              </w:rPr>
              <w:t>428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.0</w:t>
            </w:r>
          </w:p>
        </w:tc>
        <w:tc>
          <w:tcPr>
            <w:tcW w:w="0" w:type="auto"/>
          </w:tcPr>
          <w:p w14:paraId="2CE1AA80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5794">
              <w:rPr>
                <w:rFonts w:ascii="Times New Roman" w:eastAsia="Times New Roman" w:hAnsi="Times New Roman" w:cs="Times New Roman"/>
                <w:sz w:val="20"/>
                <w:szCs w:val="20"/>
              </w:rPr>
              <w:t>531.8</w:t>
            </w:r>
          </w:p>
        </w:tc>
        <w:tc>
          <w:tcPr>
            <w:tcW w:w="0" w:type="auto"/>
          </w:tcPr>
          <w:p w14:paraId="6856B150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5794">
              <w:rPr>
                <w:rFonts w:ascii="Times New Roman" w:eastAsia="Times New Roman" w:hAnsi="Times New Roman" w:cs="Times New Roman"/>
                <w:sz w:val="20"/>
                <w:szCs w:val="20"/>
              </w:rPr>
              <w:t>637.2</w:t>
            </w:r>
          </w:p>
        </w:tc>
        <w:tc>
          <w:tcPr>
            <w:tcW w:w="0" w:type="auto"/>
          </w:tcPr>
          <w:p w14:paraId="60DD2878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5794">
              <w:rPr>
                <w:rFonts w:ascii="Times New Roman" w:eastAsia="Times New Roman" w:hAnsi="Times New Roman" w:cs="Times New Roman"/>
                <w:sz w:val="20"/>
                <w:szCs w:val="20"/>
              </w:rPr>
              <w:t>986.6</w:t>
            </w:r>
          </w:p>
        </w:tc>
      </w:tr>
      <w:tr w:rsidR="00C01B61" w:rsidRPr="00E41D14" w14:paraId="533362A8" w14:textId="77777777" w:rsidTr="00F42513">
        <w:trPr>
          <w:trHeight w:val="345"/>
        </w:trPr>
        <w:tc>
          <w:tcPr>
            <w:tcW w:w="0" w:type="auto"/>
            <w:hideMark/>
          </w:tcPr>
          <w:p w14:paraId="3A178393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1D14">
              <w:rPr>
                <w:rStyle w:val="Strong"/>
                <w:rFonts w:ascii="Times New Roman" w:eastAsia="Times New Roman" w:hAnsi="Times New Roman" w:cs="Times New Roman"/>
                <w:sz w:val="20"/>
                <w:szCs w:val="20"/>
              </w:rPr>
              <w:t xml:space="preserve">4 </w:t>
            </w:r>
          </w:p>
        </w:tc>
        <w:tc>
          <w:tcPr>
            <w:tcW w:w="0" w:type="auto"/>
            <w:hideMark/>
          </w:tcPr>
          <w:p w14:paraId="331F837B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5422E">
              <w:rPr>
                <w:rFonts w:ascii="Times New Roman" w:eastAsia="Times New Roman" w:hAnsi="Times New Roman" w:cs="Times New Roman"/>
                <w:sz w:val="20"/>
                <w:szCs w:val="20"/>
              </w:rPr>
              <w:t>0.3646</w:t>
            </w:r>
          </w:p>
        </w:tc>
        <w:tc>
          <w:tcPr>
            <w:tcW w:w="0" w:type="auto"/>
            <w:hideMark/>
          </w:tcPr>
          <w:p w14:paraId="5B03E0CC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5422E">
              <w:rPr>
                <w:rFonts w:ascii="Times New Roman" w:eastAsia="Times New Roman" w:hAnsi="Times New Roman" w:cs="Times New Roman"/>
                <w:sz w:val="20"/>
                <w:szCs w:val="20"/>
              </w:rPr>
              <w:t>0.563</w:t>
            </w:r>
          </w:p>
        </w:tc>
        <w:tc>
          <w:tcPr>
            <w:tcW w:w="0" w:type="auto"/>
            <w:hideMark/>
          </w:tcPr>
          <w:p w14:paraId="3ED3C727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5422E">
              <w:rPr>
                <w:rFonts w:ascii="Times New Roman" w:eastAsia="Times New Roman" w:hAnsi="Times New Roman" w:cs="Times New Roman"/>
                <w:sz w:val="20"/>
                <w:szCs w:val="20"/>
              </w:rPr>
              <w:t>0.811</w:t>
            </w:r>
          </w:p>
        </w:tc>
        <w:tc>
          <w:tcPr>
            <w:tcW w:w="0" w:type="auto"/>
            <w:hideMark/>
          </w:tcPr>
          <w:p w14:paraId="5D8C0339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5422E">
              <w:rPr>
                <w:rFonts w:ascii="Times New Roman" w:eastAsia="Times New Roman" w:hAnsi="Times New Roman" w:cs="Times New Roman"/>
                <w:sz w:val="20"/>
                <w:szCs w:val="20"/>
              </w:rPr>
              <w:t>1.059</w:t>
            </w:r>
          </w:p>
        </w:tc>
        <w:tc>
          <w:tcPr>
            <w:tcW w:w="0" w:type="auto"/>
            <w:hideMark/>
          </w:tcPr>
          <w:p w14:paraId="5F649CAA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5422E">
              <w:rPr>
                <w:rFonts w:ascii="Times New Roman" w:eastAsia="Times New Roman" w:hAnsi="Times New Roman" w:cs="Times New Roman"/>
                <w:sz w:val="20"/>
                <w:szCs w:val="20"/>
              </w:rPr>
              <w:t>1.257</w:t>
            </w:r>
          </w:p>
        </w:tc>
        <w:tc>
          <w:tcPr>
            <w:tcW w:w="0" w:type="auto"/>
            <w:hideMark/>
          </w:tcPr>
          <w:p w14:paraId="31DB025F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5422E">
              <w:rPr>
                <w:rFonts w:ascii="Times New Roman" w:eastAsia="Times New Roman" w:hAnsi="Times New Roman" w:cs="Times New Roman"/>
                <w:sz w:val="20"/>
                <w:szCs w:val="20"/>
              </w:rPr>
              <w:t>15.91</w:t>
            </w:r>
          </w:p>
        </w:tc>
        <w:tc>
          <w:tcPr>
            <w:tcW w:w="0" w:type="auto"/>
            <w:hideMark/>
          </w:tcPr>
          <w:p w14:paraId="39F6BD78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5422E">
              <w:rPr>
                <w:rFonts w:ascii="Times New Roman" w:eastAsia="Times New Roman" w:hAnsi="Times New Roman" w:cs="Times New Roman"/>
                <w:sz w:val="20"/>
                <w:szCs w:val="20"/>
              </w:rPr>
              <w:t>19.21</w:t>
            </w:r>
          </w:p>
        </w:tc>
        <w:tc>
          <w:tcPr>
            <w:tcW w:w="0" w:type="auto"/>
            <w:hideMark/>
          </w:tcPr>
          <w:p w14:paraId="49CF7EF5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5422E">
              <w:rPr>
                <w:rFonts w:ascii="Times New Roman" w:eastAsia="Times New Roman" w:hAnsi="Times New Roman" w:cs="Times New Roman"/>
                <w:sz w:val="20"/>
                <w:szCs w:val="20"/>
              </w:rPr>
              <w:t>23.33</w:t>
            </w:r>
          </w:p>
        </w:tc>
        <w:tc>
          <w:tcPr>
            <w:tcW w:w="0" w:type="auto"/>
            <w:hideMark/>
          </w:tcPr>
          <w:p w14:paraId="38465917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5422E">
              <w:rPr>
                <w:rFonts w:ascii="Times New Roman" w:eastAsia="Times New Roman" w:hAnsi="Times New Roman" w:cs="Times New Roman"/>
                <w:sz w:val="20"/>
                <w:szCs w:val="20"/>
              </w:rPr>
              <w:t>27.45</w:t>
            </w:r>
          </w:p>
        </w:tc>
        <w:tc>
          <w:tcPr>
            <w:tcW w:w="0" w:type="auto"/>
            <w:hideMark/>
          </w:tcPr>
          <w:p w14:paraId="7DD4AA42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5422E">
              <w:rPr>
                <w:rFonts w:ascii="Times New Roman" w:eastAsia="Times New Roman" w:hAnsi="Times New Roman" w:cs="Times New Roman"/>
                <w:sz w:val="20"/>
                <w:szCs w:val="20"/>
              </w:rPr>
              <w:t>30.75</w:t>
            </w:r>
          </w:p>
        </w:tc>
        <w:tc>
          <w:tcPr>
            <w:tcW w:w="0" w:type="auto"/>
            <w:hideMark/>
          </w:tcPr>
          <w:p w14:paraId="62949D30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5794">
              <w:rPr>
                <w:rFonts w:ascii="Times New Roman" w:eastAsia="Times New Roman" w:hAnsi="Times New Roman" w:cs="Times New Roman"/>
                <w:sz w:val="20"/>
                <w:szCs w:val="20"/>
              </w:rPr>
              <w:t>6.478</w:t>
            </w:r>
          </w:p>
        </w:tc>
        <w:tc>
          <w:tcPr>
            <w:tcW w:w="0" w:type="auto"/>
            <w:hideMark/>
          </w:tcPr>
          <w:p w14:paraId="7A5F13F9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5794">
              <w:rPr>
                <w:rFonts w:ascii="Times New Roman" w:eastAsia="Times New Roman" w:hAnsi="Times New Roman" w:cs="Times New Roman"/>
                <w:sz w:val="20"/>
                <w:szCs w:val="20"/>
              </w:rPr>
              <w:t>8.51</w:t>
            </w:r>
          </w:p>
        </w:tc>
        <w:tc>
          <w:tcPr>
            <w:tcW w:w="0" w:type="auto"/>
            <w:hideMark/>
          </w:tcPr>
          <w:p w14:paraId="2C8E39FC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5794">
              <w:rPr>
                <w:rFonts w:ascii="Times New Roman" w:eastAsia="Times New Roman" w:hAnsi="Times New Roman" w:cs="Times New Roman"/>
                <w:sz w:val="20"/>
                <w:szCs w:val="20"/>
              </w:rPr>
              <w:t>11.05</w:t>
            </w:r>
          </w:p>
        </w:tc>
        <w:tc>
          <w:tcPr>
            <w:tcW w:w="0" w:type="auto"/>
            <w:hideMark/>
          </w:tcPr>
          <w:p w14:paraId="67533C34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5794">
              <w:rPr>
                <w:rFonts w:ascii="Times New Roman" w:eastAsia="Times New Roman" w:hAnsi="Times New Roman" w:cs="Times New Roman"/>
                <w:sz w:val="20"/>
                <w:szCs w:val="20"/>
              </w:rPr>
              <w:t>13.59</w:t>
            </w:r>
          </w:p>
        </w:tc>
        <w:tc>
          <w:tcPr>
            <w:tcW w:w="0" w:type="auto"/>
            <w:hideMark/>
          </w:tcPr>
          <w:p w14:paraId="7F3997EA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5794">
              <w:rPr>
                <w:rFonts w:ascii="Times New Roman" w:eastAsia="Times New Roman" w:hAnsi="Times New Roman" w:cs="Times New Roman"/>
                <w:sz w:val="20"/>
                <w:szCs w:val="20"/>
              </w:rPr>
              <w:t>15.62</w:t>
            </w:r>
          </w:p>
        </w:tc>
        <w:tc>
          <w:tcPr>
            <w:tcW w:w="0" w:type="auto"/>
          </w:tcPr>
          <w:p w14:paraId="5F85E3F7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5794">
              <w:rPr>
                <w:rFonts w:ascii="Times New Roman" w:eastAsia="Times New Roman" w:hAnsi="Times New Roman" w:cs="Times New Roman"/>
                <w:sz w:val="20"/>
                <w:szCs w:val="20"/>
              </w:rPr>
              <w:t>445.7</w:t>
            </w:r>
          </w:p>
        </w:tc>
        <w:tc>
          <w:tcPr>
            <w:tcW w:w="0" w:type="auto"/>
          </w:tcPr>
          <w:p w14:paraId="2E877397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5794">
              <w:rPr>
                <w:rFonts w:ascii="Times New Roman" w:eastAsia="Times New Roman" w:hAnsi="Times New Roman" w:cs="Times New Roman"/>
                <w:sz w:val="20"/>
                <w:szCs w:val="20"/>
              </w:rPr>
              <w:t>484.1</w:t>
            </w:r>
          </w:p>
        </w:tc>
        <w:tc>
          <w:tcPr>
            <w:tcW w:w="0" w:type="auto"/>
          </w:tcPr>
          <w:p w14:paraId="1D6A412C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5794">
              <w:rPr>
                <w:rFonts w:ascii="Times New Roman" w:eastAsia="Times New Roman" w:hAnsi="Times New Roman" w:cs="Times New Roman"/>
                <w:sz w:val="20"/>
                <w:szCs w:val="20"/>
              </w:rPr>
              <w:t>532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.0</w:t>
            </w:r>
          </w:p>
        </w:tc>
        <w:tc>
          <w:tcPr>
            <w:tcW w:w="0" w:type="auto"/>
          </w:tcPr>
          <w:p w14:paraId="1052FC3F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5794">
              <w:rPr>
                <w:rFonts w:ascii="Times New Roman" w:eastAsia="Times New Roman" w:hAnsi="Times New Roman" w:cs="Times New Roman"/>
                <w:sz w:val="20"/>
                <w:szCs w:val="20"/>
              </w:rPr>
              <w:t>579.9</w:t>
            </w:r>
          </w:p>
        </w:tc>
        <w:tc>
          <w:tcPr>
            <w:tcW w:w="0" w:type="auto"/>
          </w:tcPr>
          <w:p w14:paraId="5AA3A665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5794">
              <w:rPr>
                <w:rFonts w:ascii="Times New Roman" w:eastAsia="Times New Roman" w:hAnsi="Times New Roman" w:cs="Times New Roman"/>
                <w:sz w:val="20"/>
                <w:szCs w:val="20"/>
              </w:rPr>
              <w:t>618.3</w:t>
            </w:r>
          </w:p>
        </w:tc>
      </w:tr>
      <w:tr w:rsidR="00C01B61" w:rsidRPr="00E41D14" w14:paraId="51EFE5BF" w14:textId="77777777" w:rsidTr="00F42513">
        <w:trPr>
          <w:trHeight w:val="320"/>
        </w:trPr>
        <w:tc>
          <w:tcPr>
            <w:tcW w:w="0" w:type="auto"/>
            <w:hideMark/>
          </w:tcPr>
          <w:p w14:paraId="755CAB6F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1D14">
              <w:rPr>
                <w:rStyle w:val="Strong"/>
                <w:rFonts w:ascii="Times New Roman" w:eastAsia="Times New Roman" w:hAnsi="Times New Roman" w:cs="Times New Roman"/>
                <w:sz w:val="20"/>
                <w:szCs w:val="20"/>
              </w:rPr>
              <w:t xml:space="preserve">5 </w:t>
            </w:r>
          </w:p>
        </w:tc>
        <w:tc>
          <w:tcPr>
            <w:tcW w:w="0" w:type="auto"/>
            <w:hideMark/>
          </w:tcPr>
          <w:p w14:paraId="7F29AA72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5422E">
              <w:rPr>
                <w:rFonts w:ascii="Times New Roman" w:eastAsia="Times New Roman" w:hAnsi="Times New Roman" w:cs="Times New Roman"/>
                <w:sz w:val="20"/>
                <w:szCs w:val="20"/>
              </w:rPr>
              <w:t>0.4078</w:t>
            </w:r>
          </w:p>
        </w:tc>
        <w:tc>
          <w:tcPr>
            <w:tcW w:w="0" w:type="auto"/>
            <w:hideMark/>
          </w:tcPr>
          <w:p w14:paraId="7C7CD19E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5422E">
              <w:rPr>
                <w:rFonts w:ascii="Times New Roman" w:eastAsia="Times New Roman" w:hAnsi="Times New Roman" w:cs="Times New Roman"/>
                <w:sz w:val="20"/>
                <w:szCs w:val="20"/>
              </w:rPr>
              <w:t>0.705</w:t>
            </w:r>
          </w:p>
        </w:tc>
        <w:tc>
          <w:tcPr>
            <w:tcW w:w="0" w:type="auto"/>
            <w:hideMark/>
          </w:tcPr>
          <w:p w14:paraId="5B82A47D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5422E">
              <w:rPr>
                <w:rFonts w:ascii="Times New Roman" w:eastAsia="Times New Roman" w:hAnsi="Times New Roman" w:cs="Times New Roman"/>
                <w:sz w:val="20"/>
                <w:szCs w:val="20"/>
              </w:rPr>
              <w:t>1.076</w:t>
            </w:r>
          </w:p>
        </w:tc>
        <w:tc>
          <w:tcPr>
            <w:tcW w:w="0" w:type="auto"/>
            <w:hideMark/>
          </w:tcPr>
          <w:p w14:paraId="3DED469F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5422E">
              <w:rPr>
                <w:rFonts w:ascii="Times New Roman" w:eastAsia="Times New Roman" w:hAnsi="Times New Roman" w:cs="Times New Roman"/>
                <w:sz w:val="20"/>
                <w:szCs w:val="20"/>
              </w:rPr>
              <w:t>1.36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hideMark/>
          </w:tcPr>
          <w:p w14:paraId="52BB1B3A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5422E">
              <w:rPr>
                <w:rFonts w:ascii="Times New Roman" w:eastAsia="Times New Roman" w:hAnsi="Times New Roman" w:cs="Times New Roman"/>
                <w:sz w:val="20"/>
                <w:szCs w:val="20"/>
              </w:rPr>
              <w:t>4.485</w:t>
            </w:r>
          </w:p>
        </w:tc>
        <w:tc>
          <w:tcPr>
            <w:tcW w:w="0" w:type="auto"/>
            <w:hideMark/>
          </w:tcPr>
          <w:p w14:paraId="6F105543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5422E">
              <w:rPr>
                <w:rFonts w:ascii="Times New Roman" w:eastAsia="Times New Roman" w:hAnsi="Times New Roman" w:cs="Times New Roman"/>
                <w:sz w:val="20"/>
                <w:szCs w:val="20"/>
              </w:rPr>
              <w:t>14.26</w:t>
            </w:r>
          </w:p>
        </w:tc>
        <w:tc>
          <w:tcPr>
            <w:tcW w:w="0" w:type="auto"/>
            <w:hideMark/>
          </w:tcPr>
          <w:p w14:paraId="60A3D955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5422E">
              <w:rPr>
                <w:rFonts w:ascii="Times New Roman" w:eastAsia="Times New Roman" w:hAnsi="Times New Roman" w:cs="Times New Roman"/>
                <w:sz w:val="20"/>
                <w:szCs w:val="20"/>
              </w:rPr>
              <w:t>22.55</w:t>
            </w:r>
          </w:p>
        </w:tc>
        <w:tc>
          <w:tcPr>
            <w:tcW w:w="0" w:type="auto"/>
            <w:hideMark/>
          </w:tcPr>
          <w:p w14:paraId="08D58499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5422E">
              <w:rPr>
                <w:rFonts w:ascii="Times New Roman" w:eastAsia="Times New Roman" w:hAnsi="Times New Roman" w:cs="Times New Roman"/>
                <w:sz w:val="20"/>
                <w:szCs w:val="20"/>
              </w:rPr>
              <w:t>33.86</w:t>
            </w:r>
          </w:p>
        </w:tc>
        <w:tc>
          <w:tcPr>
            <w:tcW w:w="0" w:type="auto"/>
            <w:hideMark/>
          </w:tcPr>
          <w:p w14:paraId="024C9895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5422E">
              <w:rPr>
                <w:rFonts w:ascii="Times New Roman" w:eastAsia="Times New Roman" w:hAnsi="Times New Roman" w:cs="Times New Roman"/>
                <w:sz w:val="20"/>
                <w:szCs w:val="20"/>
              </w:rPr>
              <w:t>42.41</w:t>
            </w:r>
          </w:p>
        </w:tc>
        <w:tc>
          <w:tcPr>
            <w:tcW w:w="0" w:type="auto"/>
            <w:hideMark/>
          </w:tcPr>
          <w:p w14:paraId="4F864C0B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5422E">
              <w:rPr>
                <w:rFonts w:ascii="Times New Roman" w:eastAsia="Times New Roman" w:hAnsi="Times New Roman" w:cs="Times New Roman"/>
                <w:sz w:val="20"/>
                <w:szCs w:val="20"/>
              </w:rPr>
              <w:t>88.8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hideMark/>
          </w:tcPr>
          <w:p w14:paraId="6E201983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5794">
              <w:rPr>
                <w:rFonts w:ascii="Times New Roman" w:eastAsia="Times New Roman" w:hAnsi="Times New Roman" w:cs="Times New Roman"/>
                <w:sz w:val="20"/>
                <w:szCs w:val="20"/>
              </w:rPr>
              <w:t>3.843</w:t>
            </w:r>
          </w:p>
        </w:tc>
        <w:tc>
          <w:tcPr>
            <w:tcW w:w="0" w:type="auto"/>
            <w:hideMark/>
          </w:tcPr>
          <w:p w14:paraId="607FAD6D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5794">
              <w:rPr>
                <w:rFonts w:ascii="Times New Roman" w:eastAsia="Times New Roman" w:hAnsi="Times New Roman" w:cs="Times New Roman"/>
                <w:sz w:val="20"/>
                <w:szCs w:val="20"/>
              </w:rPr>
              <w:t>9.6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hideMark/>
          </w:tcPr>
          <w:p w14:paraId="1D2D0BBC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5794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.00</w:t>
            </w:r>
          </w:p>
        </w:tc>
        <w:tc>
          <w:tcPr>
            <w:tcW w:w="0" w:type="auto"/>
            <w:hideMark/>
          </w:tcPr>
          <w:p w14:paraId="6427FCAB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5794">
              <w:rPr>
                <w:rFonts w:ascii="Times New Roman" w:eastAsia="Times New Roman" w:hAnsi="Times New Roman" w:cs="Times New Roman"/>
                <w:sz w:val="20"/>
                <w:szCs w:val="20"/>
              </w:rPr>
              <w:t>16.81</w:t>
            </w:r>
          </w:p>
        </w:tc>
        <w:tc>
          <w:tcPr>
            <w:tcW w:w="0" w:type="auto"/>
            <w:hideMark/>
          </w:tcPr>
          <w:p w14:paraId="6D151000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5794">
              <w:rPr>
                <w:rFonts w:ascii="Times New Roman" w:eastAsia="Times New Roman" w:hAnsi="Times New Roman" w:cs="Times New Roman"/>
                <w:sz w:val="20"/>
                <w:szCs w:val="20"/>
              </w:rPr>
              <w:t>22.98</w:t>
            </w:r>
          </w:p>
        </w:tc>
        <w:tc>
          <w:tcPr>
            <w:tcW w:w="0" w:type="auto"/>
          </w:tcPr>
          <w:p w14:paraId="5C13AEB5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5794">
              <w:rPr>
                <w:rFonts w:ascii="Times New Roman" w:eastAsia="Times New Roman" w:hAnsi="Times New Roman" w:cs="Times New Roman"/>
                <w:sz w:val="20"/>
                <w:szCs w:val="20"/>
              </w:rPr>
              <w:t>277.6</w:t>
            </w:r>
          </w:p>
        </w:tc>
        <w:tc>
          <w:tcPr>
            <w:tcW w:w="0" w:type="auto"/>
          </w:tcPr>
          <w:p w14:paraId="7A22465E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5794">
              <w:rPr>
                <w:rFonts w:ascii="Times New Roman" w:eastAsia="Times New Roman" w:hAnsi="Times New Roman" w:cs="Times New Roman"/>
                <w:sz w:val="20"/>
                <w:szCs w:val="20"/>
              </w:rPr>
              <w:t>400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.0</w:t>
            </w:r>
          </w:p>
        </w:tc>
        <w:tc>
          <w:tcPr>
            <w:tcW w:w="0" w:type="auto"/>
          </w:tcPr>
          <w:p w14:paraId="0FF28494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5794">
              <w:rPr>
                <w:rFonts w:ascii="Times New Roman" w:eastAsia="Times New Roman" w:hAnsi="Times New Roman" w:cs="Times New Roman"/>
                <w:sz w:val="20"/>
                <w:szCs w:val="20"/>
              </w:rPr>
              <w:t>517.4</w:t>
            </w:r>
          </w:p>
        </w:tc>
        <w:tc>
          <w:tcPr>
            <w:tcW w:w="0" w:type="auto"/>
          </w:tcPr>
          <w:p w14:paraId="65D4E221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5794">
              <w:rPr>
                <w:rFonts w:ascii="Times New Roman" w:eastAsia="Times New Roman" w:hAnsi="Times New Roman" w:cs="Times New Roman"/>
                <w:sz w:val="20"/>
                <w:szCs w:val="20"/>
              </w:rPr>
              <w:t>653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.0</w:t>
            </w:r>
          </w:p>
        </w:tc>
        <w:tc>
          <w:tcPr>
            <w:tcW w:w="0" w:type="auto"/>
          </w:tcPr>
          <w:p w14:paraId="32F3E6F4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5794">
              <w:rPr>
                <w:rFonts w:ascii="Times New Roman" w:eastAsia="Times New Roman" w:hAnsi="Times New Roman" w:cs="Times New Roman"/>
                <w:sz w:val="20"/>
                <w:szCs w:val="20"/>
              </w:rPr>
              <w:t>826.6</w:t>
            </w:r>
          </w:p>
        </w:tc>
      </w:tr>
    </w:tbl>
    <w:p w14:paraId="7B4DB8AF" w14:textId="77777777" w:rsidR="00C01B61" w:rsidRPr="00B94810" w:rsidRDefault="00C01B61" w:rsidP="00C01B61">
      <w:pPr>
        <w:rPr>
          <w:rFonts w:ascii="Times New Roman" w:hAnsi="Times New Roman" w:cs="Times New Roman"/>
          <w:bCs/>
          <w:sz w:val="28"/>
          <w:lang w:val="en-US"/>
        </w:rPr>
      </w:pP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659"/>
        <w:gridCol w:w="766"/>
        <w:gridCol w:w="766"/>
        <w:gridCol w:w="766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  <w:gridCol w:w="666"/>
      </w:tblGrid>
      <w:tr w:rsidR="00C01B61" w:rsidRPr="00C93EE1" w14:paraId="42D7DB63" w14:textId="77777777" w:rsidTr="00F42513">
        <w:trPr>
          <w:trHeight w:val="411"/>
        </w:trPr>
        <w:tc>
          <w:tcPr>
            <w:tcW w:w="0" w:type="auto"/>
            <w:gridSpan w:val="21"/>
            <w:hideMark/>
          </w:tcPr>
          <w:p w14:paraId="6FB30BC8" w14:textId="77777777" w:rsidR="00C01B61" w:rsidRPr="00E41D14" w:rsidRDefault="00C01B61" w:rsidP="00F42513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Inferred quantiles of hormone concentrations on different days of FET assuming normal distributions</w:t>
            </w:r>
            <w:r w:rsidRPr="00523C17">
              <w:rPr>
                <w:lang w:val="en-US"/>
              </w:rPr>
              <w:t xml:space="preserve"> </w:t>
            </w:r>
            <w:r w:rsidRPr="00976C86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 xml:space="preserve">of P, E2 and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 xml:space="preserve">of </w:t>
            </w:r>
            <w:r w:rsidRPr="00976C86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logarithms of DYD and DHD</w:t>
            </w:r>
            <w:r w:rsidRPr="00E41D14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.</w:t>
            </w:r>
          </w:p>
        </w:tc>
      </w:tr>
      <w:tr w:rsidR="00C01B61" w:rsidRPr="00E41D14" w14:paraId="5DCAB0D0" w14:textId="77777777" w:rsidTr="00F42513">
        <w:trPr>
          <w:trHeight w:val="411"/>
        </w:trPr>
        <w:tc>
          <w:tcPr>
            <w:tcW w:w="0" w:type="auto"/>
            <w:vMerge w:val="restart"/>
            <w:hideMark/>
          </w:tcPr>
          <w:p w14:paraId="6E0835CF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Day of FET </w:t>
            </w:r>
          </w:p>
        </w:tc>
        <w:tc>
          <w:tcPr>
            <w:tcW w:w="0" w:type="auto"/>
            <w:gridSpan w:val="5"/>
            <w:hideMark/>
          </w:tcPr>
          <w:p w14:paraId="4C054607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DYD (ng/ml)</w:t>
            </w:r>
          </w:p>
        </w:tc>
        <w:tc>
          <w:tcPr>
            <w:tcW w:w="0" w:type="auto"/>
            <w:gridSpan w:val="5"/>
            <w:hideMark/>
          </w:tcPr>
          <w:p w14:paraId="015C4FE4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DHD (ng/ml)</w:t>
            </w:r>
          </w:p>
        </w:tc>
        <w:tc>
          <w:tcPr>
            <w:tcW w:w="0" w:type="auto"/>
            <w:gridSpan w:val="5"/>
            <w:hideMark/>
          </w:tcPr>
          <w:p w14:paraId="4D718D08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Progesterone (ng/ml)</w:t>
            </w:r>
          </w:p>
        </w:tc>
        <w:tc>
          <w:tcPr>
            <w:tcW w:w="0" w:type="auto"/>
            <w:gridSpan w:val="5"/>
          </w:tcPr>
          <w:p w14:paraId="183C5662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E2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(pg/ml)</w:t>
            </w:r>
          </w:p>
        </w:tc>
      </w:tr>
      <w:tr w:rsidR="00C01B61" w:rsidRPr="00E41D14" w14:paraId="7515B987" w14:textId="77777777" w:rsidTr="00F42513">
        <w:trPr>
          <w:trHeight w:val="411"/>
        </w:trPr>
        <w:tc>
          <w:tcPr>
            <w:tcW w:w="0" w:type="auto"/>
            <w:vMerge/>
            <w:hideMark/>
          </w:tcPr>
          <w:p w14:paraId="43EDF2C7" w14:textId="77777777" w:rsidR="00C01B61" w:rsidRPr="00E41D14" w:rsidRDefault="00C01B61" w:rsidP="00F4251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hideMark/>
          </w:tcPr>
          <w:p w14:paraId="1A87A69E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5% </w:t>
            </w:r>
          </w:p>
        </w:tc>
        <w:tc>
          <w:tcPr>
            <w:tcW w:w="0" w:type="auto"/>
            <w:hideMark/>
          </w:tcPr>
          <w:p w14:paraId="610FCB92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25% </w:t>
            </w:r>
          </w:p>
        </w:tc>
        <w:tc>
          <w:tcPr>
            <w:tcW w:w="0" w:type="auto"/>
            <w:hideMark/>
          </w:tcPr>
          <w:p w14:paraId="36018784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50% </w:t>
            </w:r>
          </w:p>
        </w:tc>
        <w:tc>
          <w:tcPr>
            <w:tcW w:w="0" w:type="auto"/>
            <w:hideMark/>
          </w:tcPr>
          <w:p w14:paraId="73B8A6DF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75% </w:t>
            </w:r>
          </w:p>
        </w:tc>
        <w:tc>
          <w:tcPr>
            <w:tcW w:w="0" w:type="auto"/>
            <w:hideMark/>
          </w:tcPr>
          <w:p w14:paraId="0DE6A3A3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95% </w:t>
            </w:r>
          </w:p>
        </w:tc>
        <w:tc>
          <w:tcPr>
            <w:tcW w:w="0" w:type="auto"/>
            <w:hideMark/>
          </w:tcPr>
          <w:p w14:paraId="642069F9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5% </w:t>
            </w:r>
          </w:p>
        </w:tc>
        <w:tc>
          <w:tcPr>
            <w:tcW w:w="0" w:type="auto"/>
            <w:hideMark/>
          </w:tcPr>
          <w:p w14:paraId="4A8E536B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25% </w:t>
            </w:r>
          </w:p>
        </w:tc>
        <w:tc>
          <w:tcPr>
            <w:tcW w:w="0" w:type="auto"/>
            <w:hideMark/>
          </w:tcPr>
          <w:p w14:paraId="5123012B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50% </w:t>
            </w:r>
          </w:p>
        </w:tc>
        <w:tc>
          <w:tcPr>
            <w:tcW w:w="0" w:type="auto"/>
            <w:hideMark/>
          </w:tcPr>
          <w:p w14:paraId="46F0AB88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75% </w:t>
            </w:r>
          </w:p>
        </w:tc>
        <w:tc>
          <w:tcPr>
            <w:tcW w:w="0" w:type="auto"/>
            <w:hideMark/>
          </w:tcPr>
          <w:p w14:paraId="19F1633D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95%</w:t>
            </w:r>
          </w:p>
        </w:tc>
        <w:tc>
          <w:tcPr>
            <w:tcW w:w="0" w:type="auto"/>
            <w:hideMark/>
          </w:tcPr>
          <w:p w14:paraId="5C78E50A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5% </w:t>
            </w:r>
          </w:p>
        </w:tc>
        <w:tc>
          <w:tcPr>
            <w:tcW w:w="0" w:type="auto"/>
            <w:hideMark/>
          </w:tcPr>
          <w:p w14:paraId="24F78E38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25% </w:t>
            </w:r>
          </w:p>
        </w:tc>
        <w:tc>
          <w:tcPr>
            <w:tcW w:w="0" w:type="auto"/>
            <w:hideMark/>
          </w:tcPr>
          <w:p w14:paraId="4817CF2A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50% </w:t>
            </w:r>
          </w:p>
        </w:tc>
        <w:tc>
          <w:tcPr>
            <w:tcW w:w="0" w:type="auto"/>
            <w:hideMark/>
          </w:tcPr>
          <w:p w14:paraId="54734969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75%</w:t>
            </w:r>
          </w:p>
        </w:tc>
        <w:tc>
          <w:tcPr>
            <w:tcW w:w="0" w:type="auto"/>
            <w:hideMark/>
          </w:tcPr>
          <w:p w14:paraId="65D4221A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95%</w:t>
            </w:r>
          </w:p>
        </w:tc>
        <w:tc>
          <w:tcPr>
            <w:tcW w:w="0" w:type="auto"/>
          </w:tcPr>
          <w:p w14:paraId="162D1AF0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5% </w:t>
            </w:r>
          </w:p>
        </w:tc>
        <w:tc>
          <w:tcPr>
            <w:tcW w:w="0" w:type="auto"/>
          </w:tcPr>
          <w:p w14:paraId="5B6F1458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25% </w:t>
            </w:r>
          </w:p>
        </w:tc>
        <w:tc>
          <w:tcPr>
            <w:tcW w:w="0" w:type="auto"/>
          </w:tcPr>
          <w:p w14:paraId="4F6C65C9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50% </w:t>
            </w:r>
          </w:p>
        </w:tc>
        <w:tc>
          <w:tcPr>
            <w:tcW w:w="0" w:type="auto"/>
          </w:tcPr>
          <w:p w14:paraId="0C89A67E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75%</w:t>
            </w:r>
          </w:p>
        </w:tc>
        <w:tc>
          <w:tcPr>
            <w:tcW w:w="0" w:type="auto"/>
          </w:tcPr>
          <w:p w14:paraId="17C4D46B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1D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95%</w:t>
            </w:r>
          </w:p>
        </w:tc>
      </w:tr>
      <w:tr w:rsidR="00C01B61" w:rsidRPr="00E41D14" w14:paraId="73CA0466" w14:textId="77777777" w:rsidTr="00F42513">
        <w:trPr>
          <w:trHeight w:val="411"/>
        </w:trPr>
        <w:tc>
          <w:tcPr>
            <w:tcW w:w="0" w:type="auto"/>
            <w:hideMark/>
          </w:tcPr>
          <w:p w14:paraId="5D7B53C5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1D14">
              <w:rPr>
                <w:rStyle w:val="Strong"/>
                <w:rFonts w:ascii="Times New Roman" w:eastAsia="Times New Roman" w:hAnsi="Times New Roman" w:cs="Times New Roman"/>
                <w:sz w:val="20"/>
                <w:szCs w:val="20"/>
              </w:rPr>
              <w:t xml:space="preserve">2 </w:t>
            </w:r>
          </w:p>
        </w:tc>
        <w:tc>
          <w:tcPr>
            <w:tcW w:w="0" w:type="auto"/>
            <w:hideMark/>
          </w:tcPr>
          <w:p w14:paraId="5F49A3C7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0.4296</w:t>
            </w:r>
          </w:p>
        </w:tc>
        <w:tc>
          <w:tcPr>
            <w:tcW w:w="0" w:type="auto"/>
            <w:hideMark/>
          </w:tcPr>
          <w:p w14:paraId="271CE2C2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0.7688</w:t>
            </w:r>
          </w:p>
        </w:tc>
        <w:tc>
          <w:tcPr>
            <w:tcW w:w="0" w:type="auto"/>
            <w:hideMark/>
          </w:tcPr>
          <w:p w14:paraId="1A3401AC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1.152</w:t>
            </w:r>
          </w:p>
        </w:tc>
        <w:tc>
          <w:tcPr>
            <w:tcW w:w="0" w:type="auto"/>
            <w:hideMark/>
          </w:tcPr>
          <w:p w14:paraId="5830EB1D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1.726</w:t>
            </w:r>
          </w:p>
        </w:tc>
        <w:tc>
          <w:tcPr>
            <w:tcW w:w="0" w:type="auto"/>
            <w:hideMark/>
          </w:tcPr>
          <w:p w14:paraId="67B8AA40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3.089</w:t>
            </w:r>
          </w:p>
        </w:tc>
        <w:tc>
          <w:tcPr>
            <w:tcW w:w="0" w:type="auto"/>
            <w:hideMark/>
          </w:tcPr>
          <w:p w14:paraId="3268369D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17.52</w:t>
            </w:r>
          </w:p>
        </w:tc>
        <w:tc>
          <w:tcPr>
            <w:tcW w:w="0" w:type="auto"/>
            <w:hideMark/>
          </w:tcPr>
          <w:p w14:paraId="6303E4F2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24.97</w:t>
            </w:r>
          </w:p>
        </w:tc>
        <w:tc>
          <w:tcPr>
            <w:tcW w:w="0" w:type="auto"/>
            <w:hideMark/>
          </w:tcPr>
          <w:p w14:paraId="277315CC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31.93</w:t>
            </w:r>
          </w:p>
        </w:tc>
        <w:tc>
          <w:tcPr>
            <w:tcW w:w="0" w:type="auto"/>
            <w:hideMark/>
          </w:tcPr>
          <w:p w14:paraId="0517EC95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40.83</w:t>
            </w:r>
          </w:p>
        </w:tc>
        <w:tc>
          <w:tcPr>
            <w:tcW w:w="0" w:type="auto"/>
            <w:hideMark/>
          </w:tcPr>
          <w:p w14:paraId="01DBCFD2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58.17</w:t>
            </w:r>
          </w:p>
        </w:tc>
        <w:tc>
          <w:tcPr>
            <w:tcW w:w="0" w:type="auto"/>
            <w:hideMark/>
          </w:tcPr>
          <w:p w14:paraId="68C06DE6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4.762</w:t>
            </w:r>
          </w:p>
        </w:tc>
        <w:tc>
          <w:tcPr>
            <w:tcW w:w="0" w:type="auto"/>
            <w:hideMark/>
          </w:tcPr>
          <w:p w14:paraId="3944FCC1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8.244</w:t>
            </w:r>
          </w:p>
        </w:tc>
        <w:tc>
          <w:tcPr>
            <w:tcW w:w="0" w:type="auto"/>
            <w:hideMark/>
          </w:tcPr>
          <w:p w14:paraId="26A14DAF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10.66</w:t>
            </w:r>
          </w:p>
        </w:tc>
        <w:tc>
          <w:tcPr>
            <w:tcW w:w="0" w:type="auto"/>
            <w:hideMark/>
          </w:tcPr>
          <w:p w14:paraId="152DF6B0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13.09</w:t>
            </w:r>
          </w:p>
        </w:tc>
        <w:tc>
          <w:tcPr>
            <w:tcW w:w="0" w:type="auto"/>
            <w:hideMark/>
          </w:tcPr>
          <w:p w14:paraId="1F5D75B0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16.57</w:t>
            </w:r>
          </w:p>
        </w:tc>
        <w:tc>
          <w:tcPr>
            <w:tcW w:w="0" w:type="auto"/>
          </w:tcPr>
          <w:p w14:paraId="5F7899CE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277.4</w:t>
            </w:r>
          </w:p>
        </w:tc>
        <w:tc>
          <w:tcPr>
            <w:tcW w:w="0" w:type="auto"/>
          </w:tcPr>
          <w:p w14:paraId="30B16EDF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417.9</w:t>
            </w:r>
          </w:p>
        </w:tc>
        <w:tc>
          <w:tcPr>
            <w:tcW w:w="0" w:type="auto"/>
          </w:tcPr>
          <w:p w14:paraId="21F71E3B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515.5</w:t>
            </w:r>
          </w:p>
        </w:tc>
        <w:tc>
          <w:tcPr>
            <w:tcW w:w="0" w:type="auto"/>
          </w:tcPr>
          <w:p w14:paraId="204F8046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613.2</w:t>
            </w:r>
          </w:p>
        </w:tc>
        <w:tc>
          <w:tcPr>
            <w:tcW w:w="0" w:type="auto"/>
          </w:tcPr>
          <w:p w14:paraId="24F8B1CE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753.7</w:t>
            </w:r>
          </w:p>
        </w:tc>
      </w:tr>
      <w:tr w:rsidR="00C01B61" w:rsidRPr="00E41D14" w14:paraId="608D334A" w14:textId="77777777" w:rsidTr="00F42513">
        <w:trPr>
          <w:trHeight w:val="411"/>
        </w:trPr>
        <w:tc>
          <w:tcPr>
            <w:tcW w:w="0" w:type="auto"/>
            <w:hideMark/>
          </w:tcPr>
          <w:p w14:paraId="2817B1B8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1D14">
              <w:rPr>
                <w:rStyle w:val="Strong"/>
                <w:rFonts w:ascii="Times New Roman" w:eastAsia="Times New Roman" w:hAnsi="Times New Roman" w:cs="Times New Roman"/>
                <w:sz w:val="20"/>
                <w:szCs w:val="20"/>
              </w:rPr>
              <w:t xml:space="preserve">3 </w:t>
            </w:r>
          </w:p>
        </w:tc>
        <w:tc>
          <w:tcPr>
            <w:tcW w:w="0" w:type="auto"/>
            <w:hideMark/>
          </w:tcPr>
          <w:p w14:paraId="3009B2A4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0.2725</w:t>
            </w:r>
          </w:p>
        </w:tc>
        <w:tc>
          <w:tcPr>
            <w:tcW w:w="0" w:type="auto"/>
            <w:hideMark/>
          </w:tcPr>
          <w:p w14:paraId="7F170C66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0.5709</w:t>
            </w:r>
          </w:p>
        </w:tc>
        <w:tc>
          <w:tcPr>
            <w:tcW w:w="0" w:type="auto"/>
            <w:hideMark/>
          </w:tcPr>
          <w:p w14:paraId="3243A88E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0.9545</w:t>
            </w:r>
          </w:p>
        </w:tc>
        <w:tc>
          <w:tcPr>
            <w:tcW w:w="0" w:type="auto"/>
            <w:hideMark/>
          </w:tcPr>
          <w:p w14:paraId="68A62108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1.596</w:t>
            </w:r>
          </w:p>
        </w:tc>
        <w:tc>
          <w:tcPr>
            <w:tcW w:w="0" w:type="auto"/>
            <w:hideMark/>
          </w:tcPr>
          <w:p w14:paraId="484E1AC1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3.343</w:t>
            </w:r>
          </w:p>
        </w:tc>
        <w:tc>
          <w:tcPr>
            <w:tcW w:w="0" w:type="auto"/>
            <w:hideMark/>
          </w:tcPr>
          <w:p w14:paraId="776538B3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10.3</w:t>
            </w:r>
          </w:p>
        </w:tc>
        <w:tc>
          <w:tcPr>
            <w:tcW w:w="0" w:type="auto"/>
            <w:hideMark/>
          </w:tcPr>
          <w:p w14:paraId="013D1C06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18.4</w:t>
            </w:r>
          </w:p>
        </w:tc>
        <w:tc>
          <w:tcPr>
            <w:tcW w:w="0" w:type="auto"/>
            <w:hideMark/>
          </w:tcPr>
          <w:p w14:paraId="2068C25C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27.55</w:t>
            </w:r>
          </w:p>
        </w:tc>
        <w:tc>
          <w:tcPr>
            <w:tcW w:w="0" w:type="auto"/>
            <w:hideMark/>
          </w:tcPr>
          <w:p w14:paraId="6DF51564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41.25</w:t>
            </w:r>
          </w:p>
        </w:tc>
        <w:tc>
          <w:tcPr>
            <w:tcW w:w="0" w:type="auto"/>
            <w:hideMark/>
          </w:tcPr>
          <w:p w14:paraId="6E429E17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73.71</w:t>
            </w:r>
          </w:p>
        </w:tc>
        <w:tc>
          <w:tcPr>
            <w:tcW w:w="0" w:type="auto"/>
            <w:hideMark/>
          </w:tcPr>
          <w:p w14:paraId="0CB7CB39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2.564</w:t>
            </w:r>
          </w:p>
        </w:tc>
        <w:tc>
          <w:tcPr>
            <w:tcW w:w="0" w:type="auto"/>
            <w:hideMark/>
          </w:tcPr>
          <w:p w14:paraId="01FC0EB8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7.586</w:t>
            </w:r>
          </w:p>
        </w:tc>
        <w:tc>
          <w:tcPr>
            <w:tcW w:w="0" w:type="auto"/>
            <w:hideMark/>
          </w:tcPr>
          <w:p w14:paraId="3DCD677C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11.08</w:t>
            </w:r>
          </w:p>
        </w:tc>
        <w:tc>
          <w:tcPr>
            <w:tcW w:w="0" w:type="auto"/>
            <w:hideMark/>
          </w:tcPr>
          <w:p w14:paraId="0C07D432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14.57</w:t>
            </w:r>
          </w:p>
        </w:tc>
        <w:tc>
          <w:tcPr>
            <w:tcW w:w="0" w:type="auto"/>
            <w:hideMark/>
          </w:tcPr>
          <w:p w14:paraId="23644BF8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19.59</w:t>
            </w:r>
          </w:p>
        </w:tc>
        <w:tc>
          <w:tcPr>
            <w:tcW w:w="0" w:type="auto"/>
          </w:tcPr>
          <w:p w14:paraId="59C33FB6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183.8</w:t>
            </w:r>
          </w:p>
        </w:tc>
        <w:tc>
          <w:tcPr>
            <w:tcW w:w="0" w:type="auto"/>
          </w:tcPr>
          <w:p w14:paraId="3270020F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403</w:t>
            </w:r>
          </w:p>
        </w:tc>
        <w:tc>
          <w:tcPr>
            <w:tcW w:w="0" w:type="auto"/>
          </w:tcPr>
          <w:p w14:paraId="0E0BC43B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555.3</w:t>
            </w:r>
          </w:p>
        </w:tc>
        <w:tc>
          <w:tcPr>
            <w:tcW w:w="0" w:type="auto"/>
          </w:tcPr>
          <w:p w14:paraId="7473C98C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707.7</w:t>
            </w:r>
          </w:p>
        </w:tc>
        <w:tc>
          <w:tcPr>
            <w:tcW w:w="0" w:type="auto"/>
          </w:tcPr>
          <w:p w14:paraId="1907EFF4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926.9</w:t>
            </w:r>
          </w:p>
        </w:tc>
      </w:tr>
      <w:tr w:rsidR="00C01B61" w:rsidRPr="00E41D14" w14:paraId="40C5D730" w14:textId="77777777" w:rsidTr="00F42513">
        <w:trPr>
          <w:trHeight w:val="411"/>
        </w:trPr>
        <w:tc>
          <w:tcPr>
            <w:tcW w:w="0" w:type="auto"/>
            <w:hideMark/>
          </w:tcPr>
          <w:p w14:paraId="23F57AF2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1D14">
              <w:rPr>
                <w:rStyle w:val="Strong"/>
                <w:rFonts w:ascii="Times New Roman" w:eastAsia="Times New Roman" w:hAnsi="Times New Roman" w:cs="Times New Roman"/>
                <w:sz w:val="20"/>
                <w:szCs w:val="20"/>
              </w:rPr>
              <w:t xml:space="preserve">4 </w:t>
            </w:r>
          </w:p>
        </w:tc>
        <w:tc>
          <w:tcPr>
            <w:tcW w:w="0" w:type="auto"/>
            <w:hideMark/>
          </w:tcPr>
          <w:p w14:paraId="1B7A6052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0.1991</w:t>
            </w:r>
          </w:p>
        </w:tc>
        <w:tc>
          <w:tcPr>
            <w:tcW w:w="0" w:type="auto"/>
            <w:hideMark/>
          </w:tcPr>
          <w:p w14:paraId="40CDEB6D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0.3971</w:t>
            </w:r>
          </w:p>
        </w:tc>
        <w:tc>
          <w:tcPr>
            <w:tcW w:w="0" w:type="auto"/>
            <w:hideMark/>
          </w:tcPr>
          <w:p w14:paraId="36CD92EF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0.6416</w:t>
            </w:r>
          </w:p>
        </w:tc>
        <w:tc>
          <w:tcPr>
            <w:tcW w:w="0" w:type="auto"/>
            <w:hideMark/>
          </w:tcPr>
          <w:p w14:paraId="078AA89B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1.037</w:t>
            </w:r>
          </w:p>
        </w:tc>
        <w:tc>
          <w:tcPr>
            <w:tcW w:w="0" w:type="auto"/>
            <w:hideMark/>
          </w:tcPr>
          <w:p w14:paraId="6D72E440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2.068</w:t>
            </w:r>
          </w:p>
        </w:tc>
        <w:tc>
          <w:tcPr>
            <w:tcW w:w="0" w:type="auto"/>
            <w:hideMark/>
          </w:tcPr>
          <w:p w14:paraId="6BAB4FF4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11.89</w:t>
            </w:r>
          </w:p>
        </w:tc>
        <w:tc>
          <w:tcPr>
            <w:tcW w:w="0" w:type="auto"/>
            <w:hideMark/>
          </w:tcPr>
          <w:p w14:paraId="26272247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17.02</w:t>
            </w:r>
          </w:p>
        </w:tc>
        <w:tc>
          <w:tcPr>
            <w:tcW w:w="0" w:type="auto"/>
            <w:hideMark/>
          </w:tcPr>
          <w:p w14:paraId="465AC127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21.83</w:t>
            </w:r>
          </w:p>
        </w:tc>
        <w:tc>
          <w:tcPr>
            <w:tcW w:w="0" w:type="auto"/>
            <w:hideMark/>
          </w:tcPr>
          <w:p w14:paraId="22B0DA53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0" w:type="auto"/>
            <w:hideMark/>
          </w:tcPr>
          <w:p w14:paraId="75B45DDE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40.06</w:t>
            </w:r>
          </w:p>
        </w:tc>
        <w:tc>
          <w:tcPr>
            <w:tcW w:w="0" w:type="auto"/>
            <w:hideMark/>
          </w:tcPr>
          <w:p w14:paraId="238204F0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2.694</w:t>
            </w:r>
          </w:p>
        </w:tc>
        <w:tc>
          <w:tcPr>
            <w:tcW w:w="0" w:type="auto"/>
            <w:hideMark/>
          </w:tcPr>
          <w:p w14:paraId="4E042542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7.624</w:t>
            </w:r>
          </w:p>
        </w:tc>
        <w:tc>
          <w:tcPr>
            <w:tcW w:w="0" w:type="auto"/>
            <w:hideMark/>
          </w:tcPr>
          <w:p w14:paraId="1016260D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11.05</w:t>
            </w:r>
          </w:p>
        </w:tc>
        <w:tc>
          <w:tcPr>
            <w:tcW w:w="0" w:type="auto"/>
            <w:hideMark/>
          </w:tcPr>
          <w:p w14:paraId="3CBE88BB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14.48</w:t>
            </w:r>
          </w:p>
        </w:tc>
        <w:tc>
          <w:tcPr>
            <w:tcW w:w="0" w:type="auto"/>
            <w:hideMark/>
          </w:tcPr>
          <w:p w14:paraId="749036C3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19.41</w:t>
            </w:r>
          </w:p>
        </w:tc>
        <w:tc>
          <w:tcPr>
            <w:tcW w:w="0" w:type="auto"/>
          </w:tcPr>
          <w:p w14:paraId="5B91C5F5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374.3</w:t>
            </w:r>
          </w:p>
        </w:tc>
        <w:tc>
          <w:tcPr>
            <w:tcW w:w="0" w:type="auto"/>
          </w:tcPr>
          <w:p w14:paraId="0264303C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467.3</w:t>
            </w:r>
          </w:p>
        </w:tc>
        <w:tc>
          <w:tcPr>
            <w:tcW w:w="0" w:type="auto"/>
          </w:tcPr>
          <w:p w14:paraId="589B144F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532</w:t>
            </w:r>
          </w:p>
        </w:tc>
        <w:tc>
          <w:tcPr>
            <w:tcW w:w="0" w:type="auto"/>
          </w:tcPr>
          <w:p w14:paraId="5067027A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596.7</w:t>
            </w:r>
          </w:p>
        </w:tc>
        <w:tc>
          <w:tcPr>
            <w:tcW w:w="0" w:type="auto"/>
          </w:tcPr>
          <w:p w14:paraId="1AD6E2C1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689.7</w:t>
            </w:r>
          </w:p>
        </w:tc>
      </w:tr>
      <w:tr w:rsidR="00C01B61" w:rsidRPr="00E41D14" w14:paraId="6779F769" w14:textId="77777777" w:rsidTr="00F42513">
        <w:trPr>
          <w:trHeight w:val="411"/>
        </w:trPr>
        <w:tc>
          <w:tcPr>
            <w:tcW w:w="0" w:type="auto"/>
            <w:hideMark/>
          </w:tcPr>
          <w:p w14:paraId="00DD1473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1D14">
              <w:rPr>
                <w:rStyle w:val="Strong"/>
                <w:rFonts w:ascii="Times New Roman" w:eastAsia="Times New Roman" w:hAnsi="Times New Roman" w:cs="Times New Roman"/>
                <w:sz w:val="20"/>
                <w:szCs w:val="20"/>
              </w:rPr>
              <w:t xml:space="preserve">5 </w:t>
            </w:r>
          </w:p>
        </w:tc>
        <w:tc>
          <w:tcPr>
            <w:tcW w:w="0" w:type="auto"/>
            <w:hideMark/>
          </w:tcPr>
          <w:p w14:paraId="3C66223F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0.2826</w:t>
            </w:r>
          </w:p>
        </w:tc>
        <w:tc>
          <w:tcPr>
            <w:tcW w:w="0" w:type="auto"/>
            <w:hideMark/>
          </w:tcPr>
          <w:p w14:paraId="353C93A5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0.6071</w:t>
            </w:r>
          </w:p>
        </w:tc>
        <w:tc>
          <w:tcPr>
            <w:tcW w:w="0" w:type="auto"/>
            <w:hideMark/>
          </w:tcPr>
          <w:p w14:paraId="6FF8EE31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1.033</w:t>
            </w:r>
          </w:p>
        </w:tc>
        <w:tc>
          <w:tcPr>
            <w:tcW w:w="0" w:type="auto"/>
            <w:hideMark/>
          </w:tcPr>
          <w:p w14:paraId="3BD6B20E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1.758</w:t>
            </w:r>
          </w:p>
        </w:tc>
        <w:tc>
          <w:tcPr>
            <w:tcW w:w="0" w:type="auto"/>
            <w:hideMark/>
          </w:tcPr>
          <w:p w14:paraId="36799E6D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3.778</w:t>
            </w:r>
          </w:p>
        </w:tc>
        <w:tc>
          <w:tcPr>
            <w:tcW w:w="0" w:type="auto"/>
            <w:hideMark/>
          </w:tcPr>
          <w:p w14:paraId="72BF7F2E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7.571</w:t>
            </w:r>
          </w:p>
        </w:tc>
        <w:tc>
          <w:tcPr>
            <w:tcW w:w="0" w:type="auto"/>
            <w:hideMark/>
          </w:tcPr>
          <w:p w14:paraId="377F01C5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17.38</w:t>
            </w:r>
          </w:p>
        </w:tc>
        <w:tc>
          <w:tcPr>
            <w:tcW w:w="0" w:type="auto"/>
            <w:hideMark/>
          </w:tcPr>
          <w:p w14:paraId="1E73B85D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30.96</w:t>
            </w:r>
          </w:p>
        </w:tc>
        <w:tc>
          <w:tcPr>
            <w:tcW w:w="0" w:type="auto"/>
            <w:hideMark/>
          </w:tcPr>
          <w:p w14:paraId="58747A6F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55.17</w:t>
            </w:r>
          </w:p>
        </w:tc>
        <w:tc>
          <w:tcPr>
            <w:tcW w:w="0" w:type="auto"/>
            <w:hideMark/>
          </w:tcPr>
          <w:p w14:paraId="0789EC70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126.6</w:t>
            </w:r>
          </w:p>
        </w:tc>
        <w:tc>
          <w:tcPr>
            <w:tcW w:w="0" w:type="auto"/>
            <w:hideMark/>
          </w:tcPr>
          <w:p w14:paraId="51403EAE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2.956</w:t>
            </w:r>
          </w:p>
        </w:tc>
        <w:tc>
          <w:tcPr>
            <w:tcW w:w="0" w:type="auto"/>
            <w:hideMark/>
          </w:tcPr>
          <w:p w14:paraId="28B189AE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9.125</w:t>
            </w:r>
          </w:p>
        </w:tc>
        <w:tc>
          <w:tcPr>
            <w:tcW w:w="0" w:type="auto"/>
            <w:hideMark/>
          </w:tcPr>
          <w:p w14:paraId="3DFBA457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13.41</w:t>
            </w:r>
          </w:p>
        </w:tc>
        <w:tc>
          <w:tcPr>
            <w:tcW w:w="0" w:type="auto"/>
            <w:hideMark/>
          </w:tcPr>
          <w:p w14:paraId="79DC660F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17.7</w:t>
            </w:r>
          </w:p>
        </w:tc>
        <w:tc>
          <w:tcPr>
            <w:tcW w:w="0" w:type="auto"/>
            <w:hideMark/>
          </w:tcPr>
          <w:p w14:paraId="17444018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23.87</w:t>
            </w:r>
          </w:p>
        </w:tc>
        <w:tc>
          <w:tcPr>
            <w:tcW w:w="0" w:type="auto"/>
          </w:tcPr>
          <w:p w14:paraId="305B88E6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221.8</w:t>
            </w:r>
          </w:p>
        </w:tc>
        <w:tc>
          <w:tcPr>
            <w:tcW w:w="0" w:type="auto"/>
          </w:tcPr>
          <w:p w14:paraId="429FB187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405.3</w:t>
            </w:r>
          </w:p>
        </w:tc>
        <w:tc>
          <w:tcPr>
            <w:tcW w:w="0" w:type="auto"/>
          </w:tcPr>
          <w:p w14:paraId="036A56F2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532.9</w:t>
            </w:r>
          </w:p>
        </w:tc>
        <w:tc>
          <w:tcPr>
            <w:tcW w:w="0" w:type="auto"/>
          </w:tcPr>
          <w:p w14:paraId="21963FA8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660.4</w:t>
            </w:r>
          </w:p>
        </w:tc>
        <w:tc>
          <w:tcPr>
            <w:tcW w:w="0" w:type="auto"/>
          </w:tcPr>
          <w:p w14:paraId="1C14DD49" w14:textId="77777777" w:rsidR="00C01B61" w:rsidRPr="00E41D14" w:rsidRDefault="00C01B61" w:rsidP="00F4251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D1646">
              <w:rPr>
                <w:rFonts w:ascii="Times New Roman" w:eastAsia="Times New Roman" w:hAnsi="Times New Roman" w:cs="Times New Roman"/>
                <w:sz w:val="20"/>
                <w:szCs w:val="20"/>
              </w:rPr>
              <w:t>843.9</w:t>
            </w:r>
          </w:p>
        </w:tc>
      </w:tr>
    </w:tbl>
    <w:p w14:paraId="1B0A2EE5" w14:textId="77777777" w:rsidR="00C01B61" w:rsidRDefault="00C01B61" w:rsidP="00C01B61">
      <w:pPr>
        <w:spacing w:line="276" w:lineRule="auto"/>
        <w:rPr>
          <w:rFonts w:ascii="Times New Roman" w:hAnsi="Times New Roman" w:cs="Times New Roman"/>
          <w:bCs/>
        </w:rPr>
      </w:pPr>
      <w:r w:rsidRPr="00A8028B">
        <w:rPr>
          <w:rFonts w:ascii="Times New Roman" w:hAnsi="Times New Roman" w:cs="Times New Roman"/>
          <w:b/>
          <w:i/>
          <w:iCs/>
        </w:rPr>
        <w:t>Table S2:</w:t>
      </w:r>
      <w:r w:rsidRPr="00A8028B">
        <w:rPr>
          <w:rFonts w:ascii="Times New Roman" w:hAnsi="Times New Roman" w:cs="Times New Roman"/>
          <w:bCs/>
        </w:rPr>
        <w:t xml:space="preserve"> Observed and inferred quantiles of hormone concentrations at different days of frozen embryo transfer (FET), assuming normal distributions of progesterone, estradiol, and of the logarithms of dydrogesterone and 20</w:t>
      </w:r>
      <w:r w:rsidRPr="00AC564D">
        <w:rPr>
          <w:rFonts w:ascii="Times New Roman" w:hAnsi="Times New Roman" w:cs="Times New Roman"/>
          <w:bCs/>
        </w:rPr>
        <w:t>α</w:t>
      </w:r>
      <w:r w:rsidRPr="00A8028B">
        <w:rPr>
          <w:rFonts w:ascii="Times New Roman" w:hAnsi="Times New Roman" w:cs="Times New Roman"/>
          <w:bCs/>
        </w:rPr>
        <w:t>-dihydrodydrogesterone (abbr.: DYD = dydrogesterone; DHD = 20</w:t>
      </w:r>
      <w:r w:rsidRPr="000C6B1D">
        <w:rPr>
          <w:rFonts w:ascii="Times New Roman" w:hAnsi="Times New Roman" w:cs="Times New Roman"/>
          <w:bCs/>
        </w:rPr>
        <w:t>α</w:t>
      </w:r>
      <w:r w:rsidRPr="00A8028B">
        <w:rPr>
          <w:rFonts w:ascii="Times New Roman" w:hAnsi="Times New Roman" w:cs="Times New Roman"/>
          <w:bCs/>
        </w:rPr>
        <w:t>-dihydrodydrogesterone; E2 = estradiol; FET = frozen embryo transfer).</w:t>
      </w:r>
    </w:p>
    <w:p w14:paraId="594C1EBD" w14:textId="6C27E3E2" w:rsidR="00C01B61" w:rsidRDefault="00C01B61" w:rsidP="00C01B61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</w:p>
    <w:p w14:paraId="58443185" w14:textId="77777777" w:rsidR="00C01B61" w:rsidRPr="00F86DE8" w:rsidRDefault="00C01B61" w:rsidP="00C01B61">
      <w:pPr>
        <w:rPr>
          <w:rFonts w:ascii="Times New Roman" w:hAnsi="Times New Roman" w:cs="Times New Roman"/>
          <w:bCs/>
          <w:sz w:val="28"/>
          <w:lang w:val="en-US"/>
        </w:rPr>
      </w:pPr>
    </w:p>
    <w:p w14:paraId="4B2C94A1" w14:textId="77777777" w:rsidR="00C01B61" w:rsidRPr="00F86DE8" w:rsidRDefault="00C01B61" w:rsidP="00C01B61">
      <w:pPr>
        <w:rPr>
          <w:rFonts w:ascii="Times New Roman" w:hAnsi="Times New Roman" w:cs="Times New Roman"/>
          <w:bCs/>
          <w:sz w:val="28"/>
          <w:lang w:val="en-US"/>
        </w:rPr>
      </w:pPr>
      <w:r w:rsidRPr="00F86DE8">
        <w:rPr>
          <w:rFonts w:ascii="Times New Roman" w:hAnsi="Times New Roman" w:cs="Times New Roman"/>
          <w:bCs/>
          <w:sz w:val="28"/>
          <w:lang w:val="en-US"/>
        </w:rPr>
        <w:t>(A) DYD</w:t>
      </w:r>
    </w:p>
    <w:p w14:paraId="084ED21D" w14:textId="77777777" w:rsidR="00C01B61" w:rsidRPr="00F86DE8" w:rsidRDefault="00C01B61" w:rsidP="00C01B61">
      <w:pPr>
        <w:pStyle w:val="TableCaption"/>
        <w:rPr>
          <w:rFonts w:ascii="Times New Roman" w:hAnsi="Times New Roman" w:cs="Times New Roman"/>
        </w:rPr>
      </w:pPr>
    </w:p>
    <w:tbl>
      <w:tblPr>
        <w:tblStyle w:val="Table"/>
        <w:tblW w:w="0" w:type="auto"/>
        <w:tblLook w:val="0020" w:firstRow="1" w:lastRow="0" w:firstColumn="0" w:lastColumn="0" w:noHBand="0" w:noVBand="0"/>
        <w:tblCaption w:val="Outcomes of different dydrogesterone quarters stratified by day of embryo transfer (days 2-3 versus 4-5) as relative frequencies"/>
      </w:tblPr>
      <w:tblGrid>
        <w:gridCol w:w="2736"/>
        <w:gridCol w:w="970"/>
        <w:gridCol w:w="1443"/>
        <w:gridCol w:w="930"/>
      </w:tblGrid>
      <w:tr w:rsidR="00C01B61" w:rsidRPr="00F86DE8" w14:paraId="3C94D812" w14:textId="77777777" w:rsidTr="00F425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14:paraId="52DF4C0B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Endpoint</w:t>
            </w:r>
          </w:p>
        </w:tc>
        <w:tc>
          <w:tcPr>
            <w:tcW w:w="0" w:type="auto"/>
          </w:tcPr>
          <w:p w14:paraId="5B7533F6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RD (%)</w:t>
            </w:r>
          </w:p>
        </w:tc>
        <w:tc>
          <w:tcPr>
            <w:tcW w:w="0" w:type="auto"/>
          </w:tcPr>
          <w:p w14:paraId="3A5748C6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95%-CI</w:t>
            </w:r>
          </w:p>
        </w:tc>
        <w:tc>
          <w:tcPr>
            <w:tcW w:w="0" w:type="auto"/>
          </w:tcPr>
          <w:p w14:paraId="418F96B1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</w:tr>
      <w:tr w:rsidR="00C01B61" w:rsidRPr="00F86DE8" w14:paraId="7E6CE0E8" w14:textId="77777777" w:rsidTr="00F42513">
        <w:tc>
          <w:tcPr>
            <w:tcW w:w="0" w:type="auto"/>
          </w:tcPr>
          <w:p w14:paraId="3532073A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Positive pregnancy test</w:t>
            </w:r>
          </w:p>
        </w:tc>
        <w:tc>
          <w:tcPr>
            <w:tcW w:w="0" w:type="auto"/>
          </w:tcPr>
          <w:p w14:paraId="5B4C09FF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6.6</w:t>
            </w:r>
          </w:p>
        </w:tc>
        <w:tc>
          <w:tcPr>
            <w:tcW w:w="0" w:type="auto"/>
          </w:tcPr>
          <w:p w14:paraId="0F2851E2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-13.1 to 25.6</w:t>
            </w:r>
          </w:p>
        </w:tc>
        <w:tc>
          <w:tcPr>
            <w:tcW w:w="0" w:type="auto"/>
          </w:tcPr>
          <w:p w14:paraId="18DA0134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0.654</w:t>
            </w:r>
          </w:p>
        </w:tc>
      </w:tr>
      <w:tr w:rsidR="00C01B61" w:rsidRPr="00F86DE8" w14:paraId="3EAF6A1B" w14:textId="77777777" w:rsidTr="00F42513">
        <w:tc>
          <w:tcPr>
            <w:tcW w:w="0" w:type="auto"/>
          </w:tcPr>
          <w:p w14:paraId="31FD2D40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Preclinical pregnancy loss</w:t>
            </w:r>
          </w:p>
        </w:tc>
        <w:tc>
          <w:tcPr>
            <w:tcW w:w="0" w:type="auto"/>
          </w:tcPr>
          <w:p w14:paraId="58BDCB96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-3.9</w:t>
            </w:r>
          </w:p>
        </w:tc>
        <w:tc>
          <w:tcPr>
            <w:tcW w:w="0" w:type="auto"/>
          </w:tcPr>
          <w:p w14:paraId="04382372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-15.1 to 4.2</w:t>
            </w:r>
          </w:p>
        </w:tc>
        <w:tc>
          <w:tcPr>
            <w:tcW w:w="0" w:type="auto"/>
          </w:tcPr>
          <w:p w14:paraId="78B479BE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0.318</w:t>
            </w:r>
          </w:p>
        </w:tc>
      </w:tr>
      <w:tr w:rsidR="00C01B61" w:rsidRPr="00F86DE8" w14:paraId="522B38D8" w14:textId="77777777" w:rsidTr="00F42513">
        <w:tc>
          <w:tcPr>
            <w:tcW w:w="0" w:type="auto"/>
          </w:tcPr>
          <w:p w14:paraId="6A865FDA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Clinical pregnancy</w:t>
            </w:r>
          </w:p>
        </w:tc>
        <w:tc>
          <w:tcPr>
            <w:tcW w:w="0" w:type="auto"/>
          </w:tcPr>
          <w:p w14:paraId="40182A6D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10.5</w:t>
            </w:r>
          </w:p>
        </w:tc>
        <w:tc>
          <w:tcPr>
            <w:tcW w:w="0" w:type="auto"/>
          </w:tcPr>
          <w:p w14:paraId="7A207794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-9.1 to 28.8</w:t>
            </w:r>
          </w:p>
        </w:tc>
        <w:tc>
          <w:tcPr>
            <w:tcW w:w="0" w:type="auto"/>
          </w:tcPr>
          <w:p w14:paraId="4A985CC1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0.365</w:t>
            </w:r>
          </w:p>
        </w:tc>
      </w:tr>
      <w:tr w:rsidR="00C01B61" w:rsidRPr="00F86DE8" w14:paraId="14A06F5E" w14:textId="77777777" w:rsidTr="00F42513">
        <w:tc>
          <w:tcPr>
            <w:tcW w:w="0" w:type="auto"/>
          </w:tcPr>
          <w:p w14:paraId="5F30A36A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Miscarriage</w:t>
            </w:r>
          </w:p>
        </w:tc>
        <w:tc>
          <w:tcPr>
            <w:tcW w:w="0" w:type="auto"/>
          </w:tcPr>
          <w:p w14:paraId="67F9F764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3.9</w:t>
            </w:r>
          </w:p>
        </w:tc>
        <w:tc>
          <w:tcPr>
            <w:tcW w:w="0" w:type="auto"/>
          </w:tcPr>
          <w:p w14:paraId="7B94A804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-8.8 to 13.3</w:t>
            </w:r>
          </w:p>
        </w:tc>
        <w:tc>
          <w:tcPr>
            <w:tcW w:w="0" w:type="auto"/>
          </w:tcPr>
          <w:p w14:paraId="10FEA8DA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0.721</w:t>
            </w:r>
          </w:p>
        </w:tc>
      </w:tr>
      <w:tr w:rsidR="00C01B61" w:rsidRPr="00F86DE8" w14:paraId="047FA364" w14:textId="77777777" w:rsidTr="00F42513">
        <w:tc>
          <w:tcPr>
            <w:tcW w:w="0" w:type="auto"/>
          </w:tcPr>
          <w:p w14:paraId="69DD1727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Live birth</w:t>
            </w:r>
          </w:p>
        </w:tc>
        <w:tc>
          <w:tcPr>
            <w:tcW w:w="0" w:type="auto"/>
          </w:tcPr>
          <w:p w14:paraId="61CE213C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0" w:type="auto"/>
          </w:tcPr>
          <w:p w14:paraId="3BDDF47B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-13 to 24.4</w:t>
            </w:r>
          </w:p>
        </w:tc>
        <w:tc>
          <w:tcPr>
            <w:tcW w:w="0" w:type="auto"/>
          </w:tcPr>
          <w:p w14:paraId="4CF8EBEC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0.646</w:t>
            </w:r>
          </w:p>
        </w:tc>
      </w:tr>
    </w:tbl>
    <w:p w14:paraId="2FABE0F6" w14:textId="77777777" w:rsidR="00C01B61" w:rsidRPr="00F86DE8" w:rsidRDefault="00C01B61" w:rsidP="00C01B61">
      <w:pPr>
        <w:rPr>
          <w:rFonts w:ascii="Times New Roman" w:hAnsi="Times New Roman" w:cs="Times New Roman"/>
        </w:rPr>
      </w:pPr>
    </w:p>
    <w:p w14:paraId="6FE20898" w14:textId="77777777" w:rsidR="00C01B61" w:rsidRPr="00F86DE8" w:rsidRDefault="00C01B61" w:rsidP="00C01B61">
      <w:pPr>
        <w:rPr>
          <w:rFonts w:ascii="Times New Roman" w:hAnsi="Times New Roman" w:cs="Times New Roman"/>
          <w:bCs/>
          <w:sz w:val="28"/>
          <w:lang w:val="en-US"/>
        </w:rPr>
      </w:pPr>
      <w:r w:rsidRPr="00F86DE8">
        <w:rPr>
          <w:rFonts w:ascii="Times New Roman" w:hAnsi="Times New Roman" w:cs="Times New Roman"/>
          <w:bCs/>
          <w:sz w:val="28"/>
          <w:lang w:val="en-US"/>
        </w:rPr>
        <w:t>(B) DHD</w:t>
      </w:r>
    </w:p>
    <w:p w14:paraId="4D709725" w14:textId="77777777" w:rsidR="00C01B61" w:rsidRPr="00F86DE8" w:rsidRDefault="00C01B61" w:rsidP="00C01B61">
      <w:pPr>
        <w:pStyle w:val="TableCaption"/>
        <w:rPr>
          <w:rFonts w:ascii="Times New Roman" w:hAnsi="Times New Roman" w:cs="Times New Roman"/>
        </w:rPr>
      </w:pPr>
    </w:p>
    <w:tbl>
      <w:tblPr>
        <w:tblStyle w:val="Table"/>
        <w:tblW w:w="0" w:type="auto"/>
        <w:tblLook w:val="0020" w:firstRow="1" w:lastRow="0" w:firstColumn="0" w:lastColumn="0" w:noHBand="0" w:noVBand="0"/>
        <w:tblCaption w:val="Outcomes of different dihydrodydrogesterone quarters stratified by day of embryo transfer (days 2-3 versus 4-5) as relative frequencies"/>
      </w:tblPr>
      <w:tblGrid>
        <w:gridCol w:w="2736"/>
        <w:gridCol w:w="970"/>
        <w:gridCol w:w="1443"/>
        <w:gridCol w:w="930"/>
      </w:tblGrid>
      <w:tr w:rsidR="00C01B61" w:rsidRPr="00F86DE8" w14:paraId="38AAA974" w14:textId="77777777" w:rsidTr="00F425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14:paraId="73633DE1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Endpoint</w:t>
            </w:r>
          </w:p>
        </w:tc>
        <w:tc>
          <w:tcPr>
            <w:tcW w:w="0" w:type="auto"/>
          </w:tcPr>
          <w:p w14:paraId="4149DFF7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RD (%)</w:t>
            </w:r>
          </w:p>
        </w:tc>
        <w:tc>
          <w:tcPr>
            <w:tcW w:w="0" w:type="auto"/>
          </w:tcPr>
          <w:p w14:paraId="4A21F10E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95%-CI</w:t>
            </w:r>
          </w:p>
        </w:tc>
        <w:tc>
          <w:tcPr>
            <w:tcW w:w="0" w:type="auto"/>
          </w:tcPr>
          <w:p w14:paraId="13297643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</w:tr>
      <w:tr w:rsidR="00C01B61" w:rsidRPr="00F86DE8" w14:paraId="0F7D4278" w14:textId="77777777" w:rsidTr="00F42513">
        <w:tc>
          <w:tcPr>
            <w:tcW w:w="0" w:type="auto"/>
          </w:tcPr>
          <w:p w14:paraId="06339B10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Positive pregnancy test</w:t>
            </w:r>
          </w:p>
        </w:tc>
        <w:tc>
          <w:tcPr>
            <w:tcW w:w="0" w:type="auto"/>
          </w:tcPr>
          <w:p w14:paraId="04D07913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9.4</w:t>
            </w:r>
          </w:p>
        </w:tc>
        <w:tc>
          <w:tcPr>
            <w:tcW w:w="0" w:type="auto"/>
          </w:tcPr>
          <w:p w14:paraId="4CC19396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-12.4 to 29.8</w:t>
            </w:r>
          </w:p>
        </w:tc>
        <w:tc>
          <w:tcPr>
            <w:tcW w:w="0" w:type="auto"/>
          </w:tcPr>
          <w:p w14:paraId="3947B87C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0.46</w:t>
            </w:r>
          </w:p>
        </w:tc>
      </w:tr>
      <w:tr w:rsidR="00C01B61" w:rsidRPr="00F86DE8" w14:paraId="561DDDAD" w14:textId="77777777" w:rsidTr="00F42513">
        <w:tc>
          <w:tcPr>
            <w:tcW w:w="0" w:type="auto"/>
          </w:tcPr>
          <w:p w14:paraId="536BABC4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Preclinical pregnancy loss</w:t>
            </w:r>
          </w:p>
        </w:tc>
        <w:tc>
          <w:tcPr>
            <w:tcW w:w="0" w:type="auto"/>
          </w:tcPr>
          <w:p w14:paraId="64A9648E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-0.9</w:t>
            </w:r>
          </w:p>
        </w:tc>
        <w:tc>
          <w:tcPr>
            <w:tcW w:w="0" w:type="auto"/>
          </w:tcPr>
          <w:p w14:paraId="51837A12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-13.4 to 6.1</w:t>
            </w:r>
          </w:p>
        </w:tc>
        <w:tc>
          <w:tcPr>
            <w:tcW w:w="0" w:type="auto"/>
          </w:tcPr>
          <w:p w14:paraId="3BEEE040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01B61" w:rsidRPr="00F86DE8" w14:paraId="74415394" w14:textId="77777777" w:rsidTr="00F42513">
        <w:tc>
          <w:tcPr>
            <w:tcW w:w="0" w:type="auto"/>
          </w:tcPr>
          <w:p w14:paraId="52CE1B4D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Clinical pregnancy</w:t>
            </w:r>
          </w:p>
        </w:tc>
        <w:tc>
          <w:tcPr>
            <w:tcW w:w="0" w:type="auto"/>
          </w:tcPr>
          <w:p w14:paraId="47FA3090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10.3</w:t>
            </w:r>
          </w:p>
        </w:tc>
        <w:tc>
          <w:tcPr>
            <w:tcW w:w="0" w:type="auto"/>
          </w:tcPr>
          <w:p w14:paraId="6425EB1D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-11.4 to 29.9</w:t>
            </w:r>
          </w:p>
        </w:tc>
        <w:tc>
          <w:tcPr>
            <w:tcW w:w="0" w:type="auto"/>
          </w:tcPr>
          <w:p w14:paraId="1DB99978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0.451</w:t>
            </w:r>
          </w:p>
        </w:tc>
      </w:tr>
      <w:tr w:rsidR="00C01B61" w:rsidRPr="00F86DE8" w14:paraId="4FFD9B81" w14:textId="77777777" w:rsidTr="00F42513">
        <w:tc>
          <w:tcPr>
            <w:tcW w:w="0" w:type="auto"/>
          </w:tcPr>
          <w:p w14:paraId="09303D72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Miscarriage</w:t>
            </w:r>
          </w:p>
        </w:tc>
        <w:tc>
          <w:tcPr>
            <w:tcW w:w="0" w:type="auto"/>
          </w:tcPr>
          <w:p w14:paraId="1AB1E874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0" w:type="auto"/>
          </w:tcPr>
          <w:p w14:paraId="362F59CC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-15 to 11.4</w:t>
            </w:r>
          </w:p>
        </w:tc>
        <w:tc>
          <w:tcPr>
            <w:tcW w:w="0" w:type="auto"/>
          </w:tcPr>
          <w:p w14:paraId="5194AEAA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01B61" w:rsidRPr="00F86DE8" w14:paraId="129A0A2A" w14:textId="77777777" w:rsidTr="00F42513">
        <w:tc>
          <w:tcPr>
            <w:tcW w:w="0" w:type="auto"/>
          </w:tcPr>
          <w:p w14:paraId="4F438558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Live birth</w:t>
            </w:r>
          </w:p>
        </w:tc>
        <w:tc>
          <w:tcPr>
            <w:tcW w:w="0" w:type="auto"/>
          </w:tcPr>
          <w:p w14:paraId="6C5F66DE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9.6</w:t>
            </w:r>
          </w:p>
        </w:tc>
        <w:tc>
          <w:tcPr>
            <w:tcW w:w="0" w:type="auto"/>
          </w:tcPr>
          <w:p w14:paraId="22FA540D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-12 to 28</w:t>
            </w:r>
          </w:p>
        </w:tc>
        <w:tc>
          <w:tcPr>
            <w:tcW w:w="0" w:type="auto"/>
          </w:tcPr>
          <w:p w14:paraId="787744DF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0.451</w:t>
            </w:r>
          </w:p>
        </w:tc>
      </w:tr>
    </w:tbl>
    <w:p w14:paraId="3A849725" w14:textId="77777777" w:rsidR="00C01B61" w:rsidRPr="00F86DE8" w:rsidRDefault="00C01B61" w:rsidP="00C01B61">
      <w:pPr>
        <w:rPr>
          <w:rFonts w:ascii="Times New Roman" w:hAnsi="Times New Roman" w:cs="Times New Roman"/>
          <w:bCs/>
          <w:lang w:val="en-US"/>
        </w:rPr>
      </w:pPr>
    </w:p>
    <w:p w14:paraId="0BA72E87" w14:textId="77777777" w:rsidR="00C01B61" w:rsidRDefault="00C01B61" w:rsidP="00C01B61">
      <w:pPr>
        <w:rPr>
          <w:rFonts w:ascii="Times New Roman" w:hAnsi="Times New Roman" w:cs="Times New Roman"/>
          <w:bCs/>
          <w:sz w:val="28"/>
          <w:lang w:val="en-US"/>
        </w:rPr>
      </w:pPr>
      <w:r>
        <w:rPr>
          <w:rFonts w:ascii="Times New Roman" w:hAnsi="Times New Roman" w:cs="Times New Roman"/>
          <w:bCs/>
          <w:sz w:val="28"/>
          <w:lang w:val="en-US"/>
        </w:rPr>
        <w:br w:type="page"/>
      </w:r>
    </w:p>
    <w:p w14:paraId="27B09A7B" w14:textId="77777777" w:rsidR="00C01B61" w:rsidRPr="00F86DE8" w:rsidRDefault="00C01B61" w:rsidP="00C01B61">
      <w:pPr>
        <w:rPr>
          <w:rFonts w:ascii="Times New Roman" w:hAnsi="Times New Roman" w:cs="Times New Roman"/>
          <w:bCs/>
          <w:sz w:val="28"/>
          <w:lang w:val="en-US"/>
        </w:rPr>
      </w:pPr>
      <w:r w:rsidRPr="00F86DE8">
        <w:rPr>
          <w:rFonts w:ascii="Times New Roman" w:hAnsi="Times New Roman" w:cs="Times New Roman"/>
          <w:bCs/>
          <w:sz w:val="28"/>
          <w:lang w:val="en-US"/>
        </w:rPr>
        <w:t>(C) P</w:t>
      </w:r>
    </w:p>
    <w:p w14:paraId="3D232552" w14:textId="77777777" w:rsidR="00C01B61" w:rsidRPr="00F86DE8" w:rsidRDefault="00C01B61" w:rsidP="00C01B61">
      <w:pPr>
        <w:rPr>
          <w:rFonts w:ascii="Times New Roman" w:hAnsi="Times New Roman" w:cs="Times New Roman"/>
          <w:bCs/>
          <w:sz w:val="28"/>
          <w:lang w:val="en-US"/>
        </w:rPr>
      </w:pPr>
    </w:p>
    <w:tbl>
      <w:tblPr>
        <w:tblStyle w:val="Table"/>
        <w:tblW w:w="0" w:type="auto"/>
        <w:tblLook w:val="0020" w:firstRow="1" w:lastRow="0" w:firstColumn="0" w:lastColumn="0" w:noHBand="0" w:noVBand="0"/>
        <w:tblCaption w:val="Outcomes of different progesterone quarters stratified by day of embryo transfer (days 2-3 versus 4-5) as relative frequencies"/>
      </w:tblPr>
      <w:tblGrid>
        <w:gridCol w:w="2736"/>
        <w:gridCol w:w="970"/>
        <w:gridCol w:w="1443"/>
        <w:gridCol w:w="930"/>
      </w:tblGrid>
      <w:tr w:rsidR="00C01B61" w:rsidRPr="00F86DE8" w14:paraId="19FB948A" w14:textId="77777777" w:rsidTr="00F425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14:paraId="085B7CF4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Endpoint</w:t>
            </w:r>
          </w:p>
        </w:tc>
        <w:tc>
          <w:tcPr>
            <w:tcW w:w="0" w:type="auto"/>
          </w:tcPr>
          <w:p w14:paraId="38D55F07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RD (%)</w:t>
            </w:r>
          </w:p>
        </w:tc>
        <w:tc>
          <w:tcPr>
            <w:tcW w:w="0" w:type="auto"/>
          </w:tcPr>
          <w:p w14:paraId="6CAB66D5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95%-CI</w:t>
            </w:r>
          </w:p>
        </w:tc>
        <w:tc>
          <w:tcPr>
            <w:tcW w:w="0" w:type="auto"/>
          </w:tcPr>
          <w:p w14:paraId="0694EAAD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</w:tr>
      <w:tr w:rsidR="00C01B61" w:rsidRPr="00F86DE8" w14:paraId="14701910" w14:textId="77777777" w:rsidTr="00F42513">
        <w:tc>
          <w:tcPr>
            <w:tcW w:w="0" w:type="auto"/>
          </w:tcPr>
          <w:p w14:paraId="637E339E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Positive pregnancy test</w:t>
            </w:r>
          </w:p>
        </w:tc>
        <w:tc>
          <w:tcPr>
            <w:tcW w:w="0" w:type="auto"/>
          </w:tcPr>
          <w:p w14:paraId="7B8F2B28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0" w:type="auto"/>
          </w:tcPr>
          <w:p w14:paraId="3E7799EA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-17.7 to 23.1</w:t>
            </w:r>
          </w:p>
        </w:tc>
        <w:tc>
          <w:tcPr>
            <w:tcW w:w="0" w:type="auto"/>
          </w:tcPr>
          <w:p w14:paraId="0D586D91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0.818</w:t>
            </w:r>
          </w:p>
        </w:tc>
      </w:tr>
      <w:tr w:rsidR="00C01B61" w:rsidRPr="00F86DE8" w14:paraId="694DAEBF" w14:textId="77777777" w:rsidTr="00F42513">
        <w:tc>
          <w:tcPr>
            <w:tcW w:w="0" w:type="auto"/>
          </w:tcPr>
          <w:p w14:paraId="2B7E35EF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Preclinical pregnancy loss</w:t>
            </w:r>
          </w:p>
        </w:tc>
        <w:tc>
          <w:tcPr>
            <w:tcW w:w="0" w:type="auto"/>
          </w:tcPr>
          <w:p w14:paraId="23E7D15E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0" w:type="auto"/>
          </w:tcPr>
          <w:p w14:paraId="0F57B7D4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-10.9 to 6.3</w:t>
            </w:r>
          </w:p>
        </w:tc>
        <w:tc>
          <w:tcPr>
            <w:tcW w:w="0" w:type="auto"/>
          </w:tcPr>
          <w:p w14:paraId="3333E7BB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01B61" w:rsidRPr="00F86DE8" w14:paraId="4E7E170B" w14:textId="77777777" w:rsidTr="00F42513">
        <w:tc>
          <w:tcPr>
            <w:tcW w:w="0" w:type="auto"/>
          </w:tcPr>
          <w:p w14:paraId="6435CFF8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Clinical pregnancy</w:t>
            </w:r>
          </w:p>
        </w:tc>
        <w:tc>
          <w:tcPr>
            <w:tcW w:w="0" w:type="auto"/>
          </w:tcPr>
          <w:p w14:paraId="7F783D39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0" w:type="auto"/>
          </w:tcPr>
          <w:p w14:paraId="42D1B5A2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-17.7 to 22.8</w:t>
            </w:r>
          </w:p>
        </w:tc>
        <w:tc>
          <w:tcPr>
            <w:tcW w:w="0" w:type="auto"/>
          </w:tcPr>
          <w:p w14:paraId="0231E07F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0.816</w:t>
            </w:r>
          </w:p>
        </w:tc>
      </w:tr>
      <w:tr w:rsidR="00C01B61" w:rsidRPr="00F86DE8" w14:paraId="7A44CE0C" w14:textId="77777777" w:rsidTr="00F42513">
        <w:tc>
          <w:tcPr>
            <w:tcW w:w="0" w:type="auto"/>
          </w:tcPr>
          <w:p w14:paraId="5646CF99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Miscarriage</w:t>
            </w:r>
          </w:p>
        </w:tc>
        <w:tc>
          <w:tcPr>
            <w:tcW w:w="0" w:type="auto"/>
          </w:tcPr>
          <w:p w14:paraId="7596FFD0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0" w:type="auto"/>
          </w:tcPr>
          <w:p w14:paraId="3CE0C998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-11.5 to 12.3</w:t>
            </w:r>
          </w:p>
        </w:tc>
        <w:tc>
          <w:tcPr>
            <w:tcW w:w="0" w:type="auto"/>
          </w:tcPr>
          <w:p w14:paraId="16A2AFF3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01B61" w:rsidRPr="00F86DE8" w14:paraId="3C6BD44D" w14:textId="77777777" w:rsidTr="00F42513">
        <w:tc>
          <w:tcPr>
            <w:tcW w:w="0" w:type="auto"/>
          </w:tcPr>
          <w:p w14:paraId="3CA19B38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Live birth</w:t>
            </w:r>
          </w:p>
        </w:tc>
        <w:tc>
          <w:tcPr>
            <w:tcW w:w="0" w:type="auto"/>
          </w:tcPr>
          <w:p w14:paraId="1ECC8CBC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0" w:type="auto"/>
          </w:tcPr>
          <w:p w14:paraId="283FD686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-20.2 to 19.7</w:t>
            </w:r>
          </w:p>
        </w:tc>
        <w:tc>
          <w:tcPr>
            <w:tcW w:w="0" w:type="auto"/>
          </w:tcPr>
          <w:p w14:paraId="34159E6F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14:paraId="0FBC6EDC" w14:textId="77777777" w:rsidR="00C01B61" w:rsidRPr="00F86DE8" w:rsidRDefault="00C01B61" w:rsidP="00C01B61">
      <w:pPr>
        <w:rPr>
          <w:rFonts w:ascii="Times New Roman" w:hAnsi="Times New Roman" w:cs="Times New Roman"/>
        </w:rPr>
      </w:pPr>
    </w:p>
    <w:p w14:paraId="4AF59C14" w14:textId="77777777" w:rsidR="00C01B61" w:rsidRPr="00F86DE8" w:rsidRDefault="00C01B61" w:rsidP="00C01B61">
      <w:pPr>
        <w:rPr>
          <w:rFonts w:ascii="Times New Roman" w:hAnsi="Times New Roman" w:cs="Times New Roman"/>
          <w:bCs/>
          <w:sz w:val="28"/>
          <w:lang w:val="en-US"/>
        </w:rPr>
      </w:pPr>
      <w:r w:rsidRPr="00F86DE8">
        <w:rPr>
          <w:rFonts w:ascii="Times New Roman" w:hAnsi="Times New Roman" w:cs="Times New Roman"/>
          <w:bCs/>
          <w:sz w:val="28"/>
          <w:lang w:val="en-US"/>
        </w:rPr>
        <w:t>(D) E2</w:t>
      </w:r>
    </w:p>
    <w:tbl>
      <w:tblPr>
        <w:tblStyle w:val="Table"/>
        <w:tblW w:w="0" w:type="auto"/>
        <w:tblLook w:val="0020" w:firstRow="1" w:lastRow="0" w:firstColumn="0" w:lastColumn="0" w:noHBand="0" w:noVBand="0"/>
        <w:tblCaption w:val="Outcomes of different estradiol quarters stratified by day of embryo transfer (days 2-3 versus 4-5) as relative frequencies"/>
      </w:tblPr>
      <w:tblGrid>
        <w:gridCol w:w="2736"/>
        <w:gridCol w:w="970"/>
        <w:gridCol w:w="1443"/>
        <w:gridCol w:w="930"/>
      </w:tblGrid>
      <w:tr w:rsidR="00C01B61" w:rsidRPr="00F86DE8" w14:paraId="2A40BA14" w14:textId="77777777" w:rsidTr="00F425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14:paraId="4B7180E9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Endpoint</w:t>
            </w:r>
          </w:p>
        </w:tc>
        <w:tc>
          <w:tcPr>
            <w:tcW w:w="0" w:type="auto"/>
          </w:tcPr>
          <w:p w14:paraId="5C6B35B9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RD (%)</w:t>
            </w:r>
          </w:p>
        </w:tc>
        <w:tc>
          <w:tcPr>
            <w:tcW w:w="0" w:type="auto"/>
          </w:tcPr>
          <w:p w14:paraId="17F8D433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95%-CI</w:t>
            </w:r>
          </w:p>
        </w:tc>
        <w:tc>
          <w:tcPr>
            <w:tcW w:w="0" w:type="auto"/>
          </w:tcPr>
          <w:p w14:paraId="3FF161C6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</w:tr>
      <w:tr w:rsidR="00C01B61" w:rsidRPr="00F86DE8" w14:paraId="22E8A03D" w14:textId="77777777" w:rsidTr="00F42513">
        <w:tc>
          <w:tcPr>
            <w:tcW w:w="0" w:type="auto"/>
          </w:tcPr>
          <w:p w14:paraId="102F603E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Positive pregnancy test</w:t>
            </w:r>
          </w:p>
        </w:tc>
        <w:tc>
          <w:tcPr>
            <w:tcW w:w="0" w:type="auto"/>
          </w:tcPr>
          <w:p w14:paraId="048BEF3D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-5</w:t>
            </w:r>
          </w:p>
        </w:tc>
        <w:tc>
          <w:tcPr>
            <w:tcW w:w="0" w:type="auto"/>
          </w:tcPr>
          <w:p w14:paraId="076599EE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-25.1 to 15.6</w:t>
            </w:r>
          </w:p>
        </w:tc>
        <w:tc>
          <w:tcPr>
            <w:tcW w:w="0" w:type="auto"/>
          </w:tcPr>
          <w:p w14:paraId="5FCEFDBA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0.649</w:t>
            </w:r>
          </w:p>
        </w:tc>
      </w:tr>
      <w:tr w:rsidR="00C01B61" w:rsidRPr="00F86DE8" w14:paraId="5EC7D7EC" w14:textId="77777777" w:rsidTr="00F42513">
        <w:tc>
          <w:tcPr>
            <w:tcW w:w="0" w:type="auto"/>
          </w:tcPr>
          <w:p w14:paraId="51580B91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Preclinical pregnancy loss</w:t>
            </w:r>
          </w:p>
        </w:tc>
        <w:tc>
          <w:tcPr>
            <w:tcW w:w="0" w:type="auto"/>
          </w:tcPr>
          <w:p w14:paraId="39C0977D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-5</w:t>
            </w:r>
          </w:p>
        </w:tc>
        <w:tc>
          <w:tcPr>
            <w:tcW w:w="0" w:type="auto"/>
          </w:tcPr>
          <w:p w14:paraId="2C8059C6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-17.6 to 3.6</w:t>
            </w:r>
          </w:p>
        </w:tc>
        <w:tc>
          <w:tcPr>
            <w:tcW w:w="0" w:type="auto"/>
          </w:tcPr>
          <w:p w14:paraId="5300BFB8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0.251</w:t>
            </w:r>
          </w:p>
        </w:tc>
      </w:tr>
      <w:tr w:rsidR="00C01B61" w:rsidRPr="00F86DE8" w14:paraId="0CBE7DBA" w14:textId="77777777" w:rsidTr="00F42513">
        <w:tc>
          <w:tcPr>
            <w:tcW w:w="0" w:type="auto"/>
          </w:tcPr>
          <w:p w14:paraId="33B37005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Clinical pregnancy</w:t>
            </w:r>
          </w:p>
        </w:tc>
        <w:tc>
          <w:tcPr>
            <w:tcW w:w="0" w:type="auto"/>
          </w:tcPr>
          <w:p w14:paraId="05DD5041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14:paraId="165C7853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-20.3 to 19.8</w:t>
            </w:r>
          </w:p>
        </w:tc>
        <w:tc>
          <w:tcPr>
            <w:tcW w:w="0" w:type="auto"/>
          </w:tcPr>
          <w:p w14:paraId="7480D028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01B61" w:rsidRPr="00F86DE8" w14:paraId="2B254DAA" w14:textId="77777777" w:rsidTr="00F42513">
        <w:tc>
          <w:tcPr>
            <w:tcW w:w="0" w:type="auto"/>
          </w:tcPr>
          <w:p w14:paraId="02EA1154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Miscarriage</w:t>
            </w:r>
          </w:p>
        </w:tc>
        <w:tc>
          <w:tcPr>
            <w:tcW w:w="0" w:type="auto"/>
          </w:tcPr>
          <w:p w14:paraId="68A7854D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0" w:type="auto"/>
          </w:tcPr>
          <w:p w14:paraId="7DB1C73E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-11 to 12.8</w:t>
            </w:r>
          </w:p>
        </w:tc>
        <w:tc>
          <w:tcPr>
            <w:tcW w:w="0" w:type="auto"/>
          </w:tcPr>
          <w:p w14:paraId="2835986D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01B61" w:rsidRPr="00F86DE8" w14:paraId="3BA91B7E" w14:textId="77777777" w:rsidTr="00F42513">
        <w:trPr>
          <w:trHeight w:val="87"/>
        </w:trPr>
        <w:tc>
          <w:tcPr>
            <w:tcW w:w="0" w:type="auto"/>
          </w:tcPr>
          <w:p w14:paraId="512131D9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Live birth</w:t>
            </w:r>
          </w:p>
        </w:tc>
        <w:tc>
          <w:tcPr>
            <w:tcW w:w="0" w:type="auto"/>
          </w:tcPr>
          <w:p w14:paraId="0182296D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-3.1</w:t>
            </w:r>
          </w:p>
        </w:tc>
        <w:tc>
          <w:tcPr>
            <w:tcW w:w="0" w:type="auto"/>
          </w:tcPr>
          <w:p w14:paraId="797BFB08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-23.7 to 16.5</w:t>
            </w:r>
          </w:p>
        </w:tc>
        <w:tc>
          <w:tcPr>
            <w:tcW w:w="0" w:type="auto"/>
          </w:tcPr>
          <w:p w14:paraId="245A6A34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DE8">
              <w:rPr>
                <w:rFonts w:ascii="Times New Roman" w:hAnsi="Times New Roman" w:cs="Times New Roman"/>
                <w:sz w:val="24"/>
                <w:szCs w:val="24"/>
              </w:rPr>
              <w:t>0.814</w:t>
            </w:r>
          </w:p>
        </w:tc>
      </w:tr>
      <w:tr w:rsidR="00C01B61" w:rsidRPr="00F86DE8" w14:paraId="4DAD5DAF" w14:textId="77777777" w:rsidTr="00F42513">
        <w:trPr>
          <w:trHeight w:val="87"/>
        </w:trPr>
        <w:tc>
          <w:tcPr>
            <w:tcW w:w="0" w:type="auto"/>
          </w:tcPr>
          <w:p w14:paraId="61907901" w14:textId="77777777" w:rsidR="00C01B61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</w:p>
          <w:p w14:paraId="7E7EF918" w14:textId="77777777" w:rsidR="00C01B61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</w:p>
          <w:p w14:paraId="682716D6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3EA3F92B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339AAFE7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05AFD1F" w14:textId="77777777" w:rsidR="00C01B61" w:rsidRPr="00F86DE8" w:rsidRDefault="00C01B61" w:rsidP="00F42513">
            <w:pPr>
              <w:pStyle w:val="Compact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0EEFF119" w14:textId="77777777" w:rsidR="00C01B61" w:rsidRPr="00A8028B" w:rsidRDefault="00C01B61" w:rsidP="00C01B61">
      <w:pPr>
        <w:spacing w:line="360" w:lineRule="auto"/>
        <w:jc w:val="both"/>
        <w:rPr>
          <w:rFonts w:ascii="Times New Roman" w:hAnsi="Times New Roman" w:cs="Times New Roman"/>
          <w:bCs/>
        </w:rPr>
      </w:pPr>
      <w:r w:rsidRPr="00A8028B">
        <w:rPr>
          <w:rFonts w:ascii="Times New Roman" w:hAnsi="Times New Roman" w:cs="Times New Roman"/>
          <w:b/>
          <w:i/>
          <w:iCs/>
        </w:rPr>
        <w:t>Table S3:</w:t>
      </w:r>
      <w:r w:rsidRPr="00A8028B">
        <w:rPr>
          <w:rFonts w:ascii="Times New Roman" w:hAnsi="Times New Roman" w:cs="Times New Roman"/>
          <w:bCs/>
        </w:rPr>
        <w:t xml:space="preserve"> </w:t>
      </w:r>
      <w:r w:rsidRPr="00A8028B">
        <w:rPr>
          <w:rFonts w:ascii="Times New Roman" w:hAnsi="Times New Roman" w:cs="Times New Roman"/>
        </w:rPr>
        <w:t xml:space="preserve">Risk differences for pregnancy outcomes between subgroups of low (≤25th percentile) versus normal-high (&gt;25th percentile) hormone levels </w:t>
      </w:r>
      <w:r w:rsidRPr="00A8028B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on day of FET strati</w:t>
      </w:r>
      <w:r w:rsidRPr="00A8028B">
        <w:rPr>
          <w:rFonts w:ascii="Times New Roman" w:hAnsi="Times New Roman" w:cs="Times New Roman"/>
        </w:rPr>
        <w:t>fied by day of embryo transfer (days 2-3 versus 4-5)</w:t>
      </w:r>
      <w:r w:rsidRPr="00A8028B">
        <w:rPr>
          <w:rFonts w:ascii="Times New Roman" w:hAnsi="Times New Roman" w:cs="Times New Roman"/>
          <w:bCs/>
        </w:rPr>
        <w:t xml:space="preserve"> (abbr.: A, DYD = dydrogesterone; B, DHD = 20</w:t>
      </w:r>
      <w:r w:rsidRPr="00F86DE8">
        <w:rPr>
          <w:rFonts w:ascii="Times New Roman" w:hAnsi="Times New Roman" w:cs="Times New Roman"/>
          <w:bCs/>
        </w:rPr>
        <w:t>α</w:t>
      </w:r>
      <w:r w:rsidRPr="00A8028B">
        <w:rPr>
          <w:rFonts w:ascii="Times New Roman" w:hAnsi="Times New Roman" w:cs="Times New Roman"/>
          <w:bCs/>
        </w:rPr>
        <w:t>-dihydrodydrogesterone; C, Progesterone = progesterone; D, E2 = estradiol).</w:t>
      </w:r>
    </w:p>
    <w:p w14:paraId="4D155255" w14:textId="77777777" w:rsidR="00C01B61" w:rsidRPr="00A8028B" w:rsidRDefault="00C01B61" w:rsidP="00C01B61">
      <w:pPr>
        <w:spacing w:line="276" w:lineRule="auto"/>
        <w:rPr>
          <w:rFonts w:ascii="Times New Roman" w:hAnsi="Times New Roman" w:cs="Times New Roman"/>
          <w:bCs/>
        </w:rPr>
        <w:sectPr w:rsidR="00C01B61" w:rsidRPr="00A8028B" w:rsidSect="00C01B61">
          <w:pgSz w:w="16840" w:h="11900" w:orient="landscape"/>
          <w:pgMar w:top="1417" w:right="1417" w:bottom="1417" w:left="1134" w:header="708" w:footer="397" w:gutter="0"/>
          <w:lnNumType w:countBy="1" w:restart="continuous"/>
          <w:cols w:space="708"/>
          <w:docGrid w:linePitch="360"/>
        </w:sectPr>
      </w:pPr>
    </w:p>
    <w:p w14:paraId="17EFC6FA" w14:textId="77777777" w:rsidR="00C01B61" w:rsidRPr="00A8028B" w:rsidRDefault="00C01B61" w:rsidP="00C01B61">
      <w:pPr>
        <w:rPr>
          <w:rFonts w:asciiTheme="majorBidi" w:hAnsiTheme="majorBidi" w:cstheme="majorBidi"/>
          <w:bCs/>
        </w:rPr>
      </w:pPr>
    </w:p>
    <w:p w14:paraId="47BF64E4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B61"/>
    <w:rsid w:val="002978F5"/>
    <w:rsid w:val="003852CF"/>
    <w:rsid w:val="004E780C"/>
    <w:rsid w:val="00BC6C81"/>
    <w:rsid w:val="00C01B61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AD68D7"/>
  <w15:chartTrackingRefBased/>
  <w15:docId w15:val="{E45F23CB-3BB8-4B7F-8F37-66B812891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1B61"/>
    <w:pPr>
      <w:spacing w:after="0" w:line="240" w:lineRule="auto"/>
    </w:pPr>
    <w:rPr>
      <w:rFonts w:eastAsiaTheme="minorEastAsia"/>
      <w:kern w:val="0"/>
      <w:lang w:val="de-DE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01B6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1B6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1B6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1B6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1B6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1B61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1B61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1B61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1B61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1B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1B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1B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1B6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1B6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1B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1B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1B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1B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1B6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01B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1B61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01B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1B61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01B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1B61"/>
    <w:pPr>
      <w:spacing w:after="160" w:line="278" w:lineRule="auto"/>
      <w:ind w:left="720"/>
      <w:contextualSpacing/>
    </w:pPr>
    <w:rPr>
      <w:rFonts w:eastAsiaTheme="minorHAns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01B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1B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1B6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1B61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C01B61"/>
    <w:rPr>
      <w:b/>
      <w:bCs/>
    </w:rPr>
  </w:style>
  <w:style w:type="table" w:styleId="TableGridLight">
    <w:name w:val="Grid Table Light"/>
    <w:basedOn w:val="TableNormal"/>
    <w:uiPriority w:val="40"/>
    <w:rsid w:val="00C01B61"/>
    <w:pPr>
      <w:spacing w:after="0" w:line="240" w:lineRule="auto"/>
    </w:pPr>
    <w:rPr>
      <w:rFonts w:eastAsiaTheme="minorEastAsia"/>
      <w:kern w:val="0"/>
      <w:lang w:val="de-DE" w:eastAsia="zh-CN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C01B61"/>
  </w:style>
  <w:style w:type="paragraph" w:customStyle="1" w:styleId="Compact">
    <w:name w:val="Compact"/>
    <w:basedOn w:val="BodyText"/>
    <w:qFormat/>
    <w:rsid w:val="00C01B61"/>
    <w:pPr>
      <w:spacing w:before="36" w:after="36"/>
    </w:pPr>
    <w:rPr>
      <w:rFonts w:eastAsiaTheme="minorHAnsi"/>
      <w:lang w:val="en-US" w:eastAsia="en-US"/>
    </w:rPr>
  </w:style>
  <w:style w:type="table" w:customStyle="1" w:styleId="Table">
    <w:name w:val="Table"/>
    <w:semiHidden/>
    <w:unhideWhenUsed/>
    <w:qFormat/>
    <w:rsid w:val="00C01B61"/>
    <w:pPr>
      <w:spacing w:after="200" w:line="240" w:lineRule="auto"/>
    </w:pPr>
    <w:rPr>
      <w:kern w:val="0"/>
      <w:sz w:val="20"/>
      <w:szCs w:val="20"/>
      <w14:ligatures w14:val="none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TableCaption">
    <w:name w:val="Table Caption"/>
    <w:basedOn w:val="Caption"/>
    <w:rsid w:val="00C01B61"/>
    <w:pPr>
      <w:keepNext/>
      <w:spacing w:after="120"/>
    </w:pPr>
    <w:rPr>
      <w:rFonts w:eastAsiaTheme="minorHAnsi"/>
      <w:iCs w:val="0"/>
      <w:color w:val="auto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C01B6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01B61"/>
    <w:rPr>
      <w:rFonts w:eastAsiaTheme="minorEastAsia"/>
      <w:kern w:val="0"/>
      <w:lang w:val="de-DE" w:eastAsia="zh-CN"/>
      <w14:ligatures w14:val="non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01B61"/>
    <w:pPr>
      <w:spacing w:after="200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sv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857</Words>
  <Characters>4342</Characters>
  <Application>Microsoft Office Word</Application>
  <DocSecurity>0</DocSecurity>
  <Lines>482</Lines>
  <Paragraphs>472</Paragraphs>
  <ScaleCrop>false</ScaleCrop>
  <Company/>
  <LinksUpToDate>false</LinksUpToDate>
  <CharactersWithSpaces>4727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2026-03-04T17:56:00Z</dcterms:created>
  <dcterms:modified xsi:type="dcterms:W3CDTF">2026-03-04T17:57:00Z</dcterms:modified>
</cp:coreProperties>
</file>