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0C7F" w14:textId="3A48B769" w:rsidR="00A92202" w:rsidRDefault="00000000">
      <w:pPr>
        <w:jc w:val="center"/>
      </w:pPr>
      <w:r>
        <w:rPr>
          <w:b/>
          <w:sz w:val="36"/>
        </w:rPr>
        <w:t xml:space="preserve">Tables </w:t>
      </w:r>
    </w:p>
    <w:p w14:paraId="3E422D0B" w14:textId="54DBD835" w:rsidR="00A92202" w:rsidRPr="00DA0AC8" w:rsidRDefault="009C049D" w:rsidP="00DA0AC8">
      <w:pPr>
        <w:pStyle w:val="Ttulo2"/>
        <w:spacing w:before="0" w:line="480" w:lineRule="auto"/>
        <w:jc w:val="both"/>
        <w:rPr>
          <w:rFonts w:ascii="Arial" w:eastAsia="Calibri" w:hAnsi="Arial" w:cs="Arial"/>
          <w:b w:val="0"/>
          <w:bCs w:val="0"/>
          <w:color w:val="auto"/>
        </w:rPr>
      </w:pPr>
      <w:r w:rsidRPr="00B6651B">
        <w:rPr>
          <w:rFonts w:ascii="Arial" w:eastAsia="Calibri" w:hAnsi="Arial" w:cs="Arial"/>
          <w:color w:val="auto"/>
        </w:rPr>
        <w:t xml:space="preserve">Table 1. Germline </w:t>
      </w:r>
      <w:r w:rsidRPr="00B94452">
        <w:rPr>
          <w:rFonts w:ascii="Arial" w:eastAsia="Calibri" w:hAnsi="Arial" w:cs="Arial"/>
          <w:i/>
          <w:iCs/>
          <w:color w:val="auto"/>
        </w:rPr>
        <w:t>BRCA</w:t>
      </w:r>
      <w:r w:rsidRPr="00B6651B">
        <w:rPr>
          <w:rFonts w:ascii="Arial" w:eastAsia="Calibri" w:hAnsi="Arial" w:cs="Arial"/>
          <w:color w:val="auto"/>
        </w:rPr>
        <w:t xml:space="preserve"> Testing Overview</w:t>
      </w:r>
      <w:r>
        <w:rPr>
          <w:rFonts w:ascii="Arial" w:eastAsia="Calibri" w:hAnsi="Arial" w:cs="Arial"/>
          <w:color w:val="auto"/>
        </w:rPr>
        <w:t xml:space="preserve"> </w:t>
      </w:r>
    </w:p>
    <w:tbl>
      <w:tblPr>
        <w:tblW w:w="0" w:type="auto"/>
        <w:tbl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792"/>
        <w:gridCol w:w="1440"/>
        <w:gridCol w:w="1440"/>
        <w:gridCol w:w="1440"/>
      </w:tblGrid>
      <w:tr w:rsidR="009C049D" w:rsidRPr="003A03CB" w14:paraId="191C2D88" w14:textId="77777777" w:rsidTr="009A078C">
        <w:tc>
          <w:tcPr>
            <w:tcW w:w="4032" w:type="dxa"/>
            <w:tcBorders>
              <w:bottom w:val="single" w:sz="8" w:space="0" w:color="auto"/>
            </w:tcBorders>
            <w:vAlign w:val="center"/>
          </w:tcPr>
          <w:p w14:paraId="146D4989" w14:textId="77777777" w:rsidR="009C049D" w:rsidRPr="003A03CB" w:rsidRDefault="009C049D" w:rsidP="009A078C">
            <w:pPr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  <w:b/>
              </w:rPr>
              <w:t>Measure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vAlign w:val="center"/>
          </w:tcPr>
          <w:p w14:paraId="3FAAC0EC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  <w:b/>
              </w:rPr>
              <w:t>n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14B7E166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  <w:b/>
              </w:rPr>
              <w:t xml:space="preserve">% </w:t>
            </w:r>
            <w:proofErr w:type="gramStart"/>
            <w:r w:rsidRPr="003A03CB">
              <w:rPr>
                <w:rFonts w:ascii="Arial" w:eastAsia="Times New Roman" w:hAnsi="Arial" w:cs="Arial"/>
                <w:b/>
              </w:rPr>
              <w:t>of</w:t>
            </w:r>
            <w:proofErr w:type="gramEnd"/>
            <w:r w:rsidRPr="003A03CB">
              <w:rPr>
                <w:rFonts w:ascii="Arial" w:eastAsia="Times New Roman" w:hAnsi="Arial" w:cs="Arial"/>
                <w:b/>
              </w:rPr>
              <w:t xml:space="preserve"> total cohort</w:t>
            </w:r>
            <w:r w:rsidRPr="003A03CB">
              <w:rPr>
                <w:rFonts w:ascii="Arial" w:eastAsia="Times New Roman" w:hAnsi="Arial" w:cs="Arial"/>
                <w:b/>
              </w:rPr>
              <w:br/>
              <w:t>(N=726)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6D4EBA5A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  <w:b/>
              </w:rPr>
              <w:t xml:space="preserve">% </w:t>
            </w:r>
            <w:proofErr w:type="gramStart"/>
            <w:r w:rsidRPr="003A03CB">
              <w:rPr>
                <w:rFonts w:ascii="Arial" w:eastAsia="Times New Roman" w:hAnsi="Arial" w:cs="Arial"/>
                <w:b/>
              </w:rPr>
              <w:t>among</w:t>
            </w:r>
            <w:proofErr w:type="gramEnd"/>
            <w:r w:rsidRPr="003A03CB">
              <w:rPr>
                <w:rFonts w:ascii="Arial" w:eastAsia="Times New Roman" w:hAnsi="Arial" w:cs="Arial"/>
                <w:b/>
              </w:rPr>
              <w:t xml:space="preserve"> tested</w:t>
            </w:r>
            <w:r w:rsidRPr="003A03CB">
              <w:rPr>
                <w:rFonts w:ascii="Arial" w:eastAsia="Times New Roman" w:hAnsi="Arial" w:cs="Arial"/>
                <w:b/>
              </w:rPr>
              <w:br/>
              <w:t>(N=600)</w:t>
            </w: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005006A9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  <w:b/>
              </w:rPr>
              <w:t xml:space="preserve">% </w:t>
            </w:r>
            <w:proofErr w:type="gramStart"/>
            <w:r w:rsidRPr="003A03CB">
              <w:rPr>
                <w:rFonts w:ascii="Arial" w:eastAsia="Times New Roman" w:hAnsi="Arial" w:cs="Arial"/>
                <w:b/>
              </w:rPr>
              <w:t>among</w:t>
            </w:r>
            <w:proofErr w:type="gramEnd"/>
            <w:r w:rsidRPr="003A03CB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3A03CB">
              <w:rPr>
                <w:rFonts w:ascii="Arial" w:eastAsia="Times New Roman" w:hAnsi="Arial" w:cs="Arial"/>
                <w:b/>
              </w:rPr>
              <w:t>mBRCA</w:t>
            </w:r>
            <w:proofErr w:type="spellEnd"/>
            <w:r w:rsidRPr="003A03CB">
              <w:rPr>
                <w:rFonts w:ascii="Arial" w:eastAsia="Times New Roman" w:hAnsi="Arial" w:cs="Arial"/>
                <w:b/>
              </w:rPr>
              <w:br/>
              <w:t>(N=105)</w:t>
            </w:r>
          </w:p>
        </w:tc>
      </w:tr>
      <w:tr w:rsidR="009C049D" w:rsidRPr="003A03CB" w14:paraId="5E85A1FB" w14:textId="77777777" w:rsidTr="009A078C">
        <w:tc>
          <w:tcPr>
            <w:tcW w:w="4032" w:type="dxa"/>
            <w:vAlign w:val="center"/>
          </w:tcPr>
          <w:p w14:paraId="690B6D5B" w14:textId="77777777" w:rsidR="009C049D" w:rsidRPr="003A03CB" w:rsidRDefault="009C049D" w:rsidP="009A078C">
            <w:pPr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Total cohort</w:t>
            </w:r>
          </w:p>
        </w:tc>
        <w:tc>
          <w:tcPr>
            <w:tcW w:w="792" w:type="dxa"/>
            <w:vAlign w:val="center"/>
          </w:tcPr>
          <w:p w14:paraId="766F380B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726</w:t>
            </w:r>
          </w:p>
        </w:tc>
        <w:tc>
          <w:tcPr>
            <w:tcW w:w="1440" w:type="dxa"/>
            <w:vAlign w:val="center"/>
          </w:tcPr>
          <w:p w14:paraId="23C5F74F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100.0%</w:t>
            </w:r>
          </w:p>
        </w:tc>
        <w:tc>
          <w:tcPr>
            <w:tcW w:w="1440" w:type="dxa"/>
            <w:vAlign w:val="center"/>
          </w:tcPr>
          <w:p w14:paraId="7CAD482B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440" w:type="dxa"/>
            <w:vAlign w:val="center"/>
          </w:tcPr>
          <w:p w14:paraId="1EB69BD9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-</w:t>
            </w:r>
          </w:p>
        </w:tc>
      </w:tr>
      <w:tr w:rsidR="009C049D" w:rsidRPr="003A03CB" w14:paraId="4DB3A5F2" w14:textId="77777777" w:rsidTr="009A078C">
        <w:tc>
          <w:tcPr>
            <w:tcW w:w="4032" w:type="dxa"/>
            <w:vAlign w:val="center"/>
          </w:tcPr>
          <w:p w14:paraId="47A40555" w14:textId="77777777" w:rsidR="009C049D" w:rsidRPr="003A03CB" w:rsidRDefault="009C049D" w:rsidP="009A078C">
            <w:pPr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Tested with results available</w:t>
            </w:r>
          </w:p>
        </w:tc>
        <w:tc>
          <w:tcPr>
            <w:tcW w:w="792" w:type="dxa"/>
            <w:vAlign w:val="center"/>
          </w:tcPr>
          <w:p w14:paraId="7A6D5DF9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600</w:t>
            </w:r>
          </w:p>
        </w:tc>
        <w:tc>
          <w:tcPr>
            <w:tcW w:w="1440" w:type="dxa"/>
            <w:vAlign w:val="center"/>
          </w:tcPr>
          <w:p w14:paraId="50BB2054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82.6%</w:t>
            </w:r>
          </w:p>
        </w:tc>
        <w:tc>
          <w:tcPr>
            <w:tcW w:w="1440" w:type="dxa"/>
            <w:vAlign w:val="center"/>
          </w:tcPr>
          <w:p w14:paraId="35D40E8F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100.0%</w:t>
            </w:r>
          </w:p>
        </w:tc>
        <w:tc>
          <w:tcPr>
            <w:tcW w:w="1440" w:type="dxa"/>
            <w:vAlign w:val="center"/>
          </w:tcPr>
          <w:p w14:paraId="233F47D6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-</w:t>
            </w:r>
          </w:p>
        </w:tc>
      </w:tr>
      <w:tr w:rsidR="009C049D" w:rsidRPr="003A03CB" w14:paraId="256F9AB6" w14:textId="77777777" w:rsidTr="009A078C">
        <w:tc>
          <w:tcPr>
            <w:tcW w:w="4032" w:type="dxa"/>
            <w:vAlign w:val="center"/>
          </w:tcPr>
          <w:p w14:paraId="7FF22082" w14:textId="77777777" w:rsidR="009C049D" w:rsidRPr="00EF5384" w:rsidRDefault="009C049D" w:rsidP="009A078C">
            <w:pPr>
              <w:rPr>
                <w:rFonts w:ascii="Arial" w:hAnsi="Arial" w:cs="Arial"/>
              </w:rPr>
            </w:pPr>
            <w:r w:rsidRPr="00EF5384">
              <w:rPr>
                <w:rFonts w:ascii="Arial" w:eastAsia="Times New Roman" w:hAnsi="Arial" w:cs="Arial"/>
              </w:rPr>
              <w:t>Not tested / testing status unavailable</w:t>
            </w:r>
          </w:p>
        </w:tc>
        <w:tc>
          <w:tcPr>
            <w:tcW w:w="792" w:type="dxa"/>
            <w:vAlign w:val="center"/>
          </w:tcPr>
          <w:p w14:paraId="06D61524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126</w:t>
            </w:r>
          </w:p>
        </w:tc>
        <w:tc>
          <w:tcPr>
            <w:tcW w:w="1440" w:type="dxa"/>
            <w:vAlign w:val="center"/>
          </w:tcPr>
          <w:p w14:paraId="5DF5A792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17.4%</w:t>
            </w:r>
          </w:p>
        </w:tc>
        <w:tc>
          <w:tcPr>
            <w:tcW w:w="1440" w:type="dxa"/>
            <w:vAlign w:val="center"/>
          </w:tcPr>
          <w:p w14:paraId="342A6D4C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440" w:type="dxa"/>
            <w:vAlign w:val="center"/>
          </w:tcPr>
          <w:p w14:paraId="5AAFCD9B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-</w:t>
            </w:r>
          </w:p>
        </w:tc>
      </w:tr>
      <w:tr w:rsidR="009C049D" w:rsidRPr="003A03CB" w14:paraId="18D08CEA" w14:textId="77777777" w:rsidTr="009A078C">
        <w:tc>
          <w:tcPr>
            <w:tcW w:w="4032" w:type="dxa"/>
            <w:vAlign w:val="center"/>
          </w:tcPr>
          <w:p w14:paraId="458F0512" w14:textId="77777777" w:rsidR="009C049D" w:rsidRPr="003A03CB" w:rsidRDefault="009C049D" w:rsidP="009A078C">
            <w:pPr>
              <w:rPr>
                <w:rFonts w:ascii="Arial" w:hAnsi="Arial" w:cs="Arial"/>
              </w:rPr>
            </w:pPr>
            <w:proofErr w:type="spellStart"/>
            <w:r w:rsidRPr="00B94452">
              <w:rPr>
                <w:rFonts w:ascii="Arial" w:eastAsia="Times New Roman" w:hAnsi="Arial" w:cs="Arial"/>
                <w:i/>
                <w:iCs/>
              </w:rPr>
              <w:t>mBRCA</w:t>
            </w:r>
            <w:proofErr w:type="spellEnd"/>
            <w:r w:rsidRPr="00B94452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3A03CB">
              <w:rPr>
                <w:rFonts w:ascii="Arial" w:eastAsia="Times New Roman" w:hAnsi="Arial" w:cs="Arial"/>
              </w:rPr>
              <w:t>(pathogenic/likely pathogenic)</w:t>
            </w:r>
          </w:p>
        </w:tc>
        <w:tc>
          <w:tcPr>
            <w:tcW w:w="792" w:type="dxa"/>
            <w:vAlign w:val="center"/>
          </w:tcPr>
          <w:p w14:paraId="1AC24BEC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105</w:t>
            </w:r>
          </w:p>
        </w:tc>
        <w:tc>
          <w:tcPr>
            <w:tcW w:w="1440" w:type="dxa"/>
            <w:vAlign w:val="center"/>
          </w:tcPr>
          <w:p w14:paraId="2AE7620B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14.5%</w:t>
            </w:r>
          </w:p>
        </w:tc>
        <w:tc>
          <w:tcPr>
            <w:tcW w:w="1440" w:type="dxa"/>
            <w:vAlign w:val="center"/>
          </w:tcPr>
          <w:p w14:paraId="09A91A83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17.5%</w:t>
            </w:r>
          </w:p>
        </w:tc>
        <w:tc>
          <w:tcPr>
            <w:tcW w:w="1440" w:type="dxa"/>
            <w:vAlign w:val="center"/>
          </w:tcPr>
          <w:p w14:paraId="376AD740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100.0%</w:t>
            </w:r>
          </w:p>
        </w:tc>
      </w:tr>
      <w:tr w:rsidR="009C049D" w:rsidRPr="003A03CB" w14:paraId="5E23F1F3" w14:textId="77777777" w:rsidTr="009A078C">
        <w:tc>
          <w:tcPr>
            <w:tcW w:w="4032" w:type="dxa"/>
            <w:vAlign w:val="center"/>
          </w:tcPr>
          <w:p w14:paraId="13BABE9C" w14:textId="77777777" w:rsidR="009C049D" w:rsidRPr="003A03CB" w:rsidRDefault="009C049D" w:rsidP="009A078C">
            <w:pPr>
              <w:rPr>
                <w:rFonts w:ascii="Arial" w:hAnsi="Arial" w:cs="Arial"/>
              </w:rPr>
            </w:pPr>
            <w:proofErr w:type="spellStart"/>
            <w:r w:rsidRPr="00B94452">
              <w:rPr>
                <w:rFonts w:ascii="Arial" w:eastAsia="Times New Roman" w:hAnsi="Arial" w:cs="Arial"/>
                <w:i/>
                <w:iCs/>
              </w:rPr>
              <w:t>wtBRCA</w:t>
            </w:r>
            <w:proofErr w:type="spellEnd"/>
            <w:r w:rsidRPr="003A03CB">
              <w:rPr>
                <w:rFonts w:ascii="Arial" w:eastAsia="Times New Roman" w:hAnsi="Arial" w:cs="Arial"/>
              </w:rPr>
              <w:t xml:space="preserve"> among tested</w:t>
            </w:r>
          </w:p>
        </w:tc>
        <w:tc>
          <w:tcPr>
            <w:tcW w:w="792" w:type="dxa"/>
            <w:vAlign w:val="center"/>
          </w:tcPr>
          <w:p w14:paraId="7E2F12BA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495</w:t>
            </w:r>
          </w:p>
        </w:tc>
        <w:tc>
          <w:tcPr>
            <w:tcW w:w="1440" w:type="dxa"/>
            <w:vAlign w:val="center"/>
          </w:tcPr>
          <w:p w14:paraId="6EEE6247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68.2%</w:t>
            </w:r>
          </w:p>
        </w:tc>
        <w:tc>
          <w:tcPr>
            <w:tcW w:w="1440" w:type="dxa"/>
            <w:vAlign w:val="center"/>
          </w:tcPr>
          <w:p w14:paraId="4A3D2F9C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82.5%</w:t>
            </w:r>
          </w:p>
        </w:tc>
        <w:tc>
          <w:tcPr>
            <w:tcW w:w="1440" w:type="dxa"/>
            <w:vAlign w:val="center"/>
          </w:tcPr>
          <w:p w14:paraId="28584A37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-</w:t>
            </w:r>
          </w:p>
        </w:tc>
      </w:tr>
      <w:tr w:rsidR="009C049D" w:rsidRPr="003A03CB" w14:paraId="3EE83D89" w14:textId="77777777" w:rsidTr="009A078C">
        <w:tc>
          <w:tcPr>
            <w:tcW w:w="4032" w:type="dxa"/>
            <w:vAlign w:val="center"/>
          </w:tcPr>
          <w:p w14:paraId="2405EC8B" w14:textId="77777777" w:rsidR="009C049D" w:rsidRPr="003A03CB" w:rsidRDefault="009C049D" w:rsidP="009A078C">
            <w:pPr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Control group (</w:t>
            </w:r>
            <w:proofErr w:type="spellStart"/>
            <w:r w:rsidRPr="003A03CB">
              <w:rPr>
                <w:rFonts w:ascii="Arial" w:eastAsia="Times New Roman" w:hAnsi="Arial" w:cs="Arial"/>
              </w:rPr>
              <w:t>wt</w:t>
            </w:r>
            <w:proofErr w:type="spellEnd"/>
            <w:r w:rsidRPr="003A03CB">
              <w:rPr>
                <w:rFonts w:ascii="Arial" w:eastAsia="Times New Roman" w:hAnsi="Arial" w:cs="Arial"/>
              </w:rPr>
              <w:t>/</w:t>
            </w:r>
            <w:proofErr w:type="spellStart"/>
            <w:r w:rsidRPr="003A03CB">
              <w:rPr>
                <w:rFonts w:ascii="Arial" w:eastAsia="Times New Roman" w:hAnsi="Arial" w:cs="Arial"/>
              </w:rPr>
              <w:t>unkBRCA</w:t>
            </w:r>
            <w:proofErr w:type="spellEnd"/>
            <w:r w:rsidRPr="003A03CB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792" w:type="dxa"/>
            <w:vAlign w:val="center"/>
          </w:tcPr>
          <w:p w14:paraId="12504E3D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621</w:t>
            </w:r>
          </w:p>
        </w:tc>
        <w:tc>
          <w:tcPr>
            <w:tcW w:w="1440" w:type="dxa"/>
            <w:vAlign w:val="center"/>
          </w:tcPr>
          <w:p w14:paraId="2DD6476A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85.5%</w:t>
            </w:r>
          </w:p>
        </w:tc>
        <w:tc>
          <w:tcPr>
            <w:tcW w:w="1440" w:type="dxa"/>
            <w:vAlign w:val="center"/>
          </w:tcPr>
          <w:p w14:paraId="107E6B67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-</w:t>
            </w:r>
          </w:p>
        </w:tc>
        <w:tc>
          <w:tcPr>
            <w:tcW w:w="1440" w:type="dxa"/>
            <w:vAlign w:val="center"/>
          </w:tcPr>
          <w:p w14:paraId="5CEB033E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-</w:t>
            </w:r>
          </w:p>
        </w:tc>
      </w:tr>
      <w:tr w:rsidR="009C049D" w:rsidRPr="003A03CB" w14:paraId="6BFFC949" w14:textId="77777777" w:rsidTr="009A078C">
        <w:tc>
          <w:tcPr>
            <w:tcW w:w="4032" w:type="dxa"/>
            <w:vAlign w:val="center"/>
          </w:tcPr>
          <w:p w14:paraId="6E8D8CB4" w14:textId="77777777" w:rsidR="009C049D" w:rsidRPr="00B94452" w:rsidRDefault="009C049D" w:rsidP="009A078C">
            <w:pPr>
              <w:ind w:left="216"/>
              <w:rPr>
                <w:rFonts w:ascii="Arial" w:hAnsi="Arial" w:cs="Arial"/>
                <w:i/>
                <w:iCs/>
              </w:rPr>
            </w:pPr>
            <w:r w:rsidRPr="00B94452">
              <w:rPr>
                <w:rFonts w:ascii="Arial" w:eastAsia="Times New Roman" w:hAnsi="Arial" w:cs="Arial"/>
                <w:i/>
                <w:iCs/>
              </w:rPr>
              <w:t>- BRCA1</w:t>
            </w:r>
          </w:p>
        </w:tc>
        <w:tc>
          <w:tcPr>
            <w:tcW w:w="792" w:type="dxa"/>
            <w:vAlign w:val="center"/>
          </w:tcPr>
          <w:p w14:paraId="475BD0B9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1440" w:type="dxa"/>
            <w:vAlign w:val="center"/>
          </w:tcPr>
          <w:p w14:paraId="28632273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11.3%</w:t>
            </w:r>
          </w:p>
        </w:tc>
        <w:tc>
          <w:tcPr>
            <w:tcW w:w="1440" w:type="dxa"/>
            <w:vAlign w:val="center"/>
          </w:tcPr>
          <w:p w14:paraId="7E2D5610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13.7%</w:t>
            </w:r>
          </w:p>
        </w:tc>
        <w:tc>
          <w:tcPr>
            <w:tcW w:w="1440" w:type="dxa"/>
            <w:vAlign w:val="center"/>
          </w:tcPr>
          <w:p w14:paraId="2C4B9E2C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78.1%</w:t>
            </w:r>
          </w:p>
        </w:tc>
      </w:tr>
      <w:tr w:rsidR="009C049D" w:rsidRPr="003A03CB" w14:paraId="160FEDE4" w14:textId="77777777" w:rsidTr="009A078C">
        <w:tc>
          <w:tcPr>
            <w:tcW w:w="4032" w:type="dxa"/>
            <w:vAlign w:val="center"/>
          </w:tcPr>
          <w:p w14:paraId="4ED9E46A" w14:textId="77777777" w:rsidR="009C049D" w:rsidRPr="00B94452" w:rsidRDefault="009C049D" w:rsidP="009A078C">
            <w:pPr>
              <w:ind w:left="216"/>
              <w:rPr>
                <w:rFonts w:ascii="Arial" w:hAnsi="Arial" w:cs="Arial"/>
                <w:i/>
                <w:iCs/>
              </w:rPr>
            </w:pPr>
            <w:r w:rsidRPr="00B94452">
              <w:rPr>
                <w:rFonts w:ascii="Arial" w:eastAsia="Times New Roman" w:hAnsi="Arial" w:cs="Arial"/>
                <w:i/>
                <w:iCs/>
              </w:rPr>
              <w:t>- BRCA2</w:t>
            </w:r>
          </w:p>
        </w:tc>
        <w:tc>
          <w:tcPr>
            <w:tcW w:w="792" w:type="dxa"/>
            <w:vAlign w:val="center"/>
          </w:tcPr>
          <w:p w14:paraId="181C89C2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1440" w:type="dxa"/>
            <w:vAlign w:val="center"/>
          </w:tcPr>
          <w:p w14:paraId="19DD8363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3.0%</w:t>
            </w:r>
          </w:p>
        </w:tc>
        <w:tc>
          <w:tcPr>
            <w:tcW w:w="1440" w:type="dxa"/>
            <w:vAlign w:val="center"/>
          </w:tcPr>
          <w:p w14:paraId="6206315F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3.7%</w:t>
            </w:r>
          </w:p>
        </w:tc>
        <w:tc>
          <w:tcPr>
            <w:tcW w:w="1440" w:type="dxa"/>
            <w:vAlign w:val="center"/>
          </w:tcPr>
          <w:p w14:paraId="22A1037F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21.0%</w:t>
            </w:r>
          </w:p>
        </w:tc>
      </w:tr>
      <w:tr w:rsidR="009C049D" w:rsidRPr="003A03CB" w14:paraId="3ADCB201" w14:textId="77777777" w:rsidTr="009A078C">
        <w:tc>
          <w:tcPr>
            <w:tcW w:w="4032" w:type="dxa"/>
            <w:vAlign w:val="center"/>
          </w:tcPr>
          <w:p w14:paraId="7C25F3A1" w14:textId="77777777" w:rsidR="009C049D" w:rsidRPr="003A03CB" w:rsidRDefault="009C049D" w:rsidP="009A078C">
            <w:pPr>
              <w:ind w:left="216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 xml:space="preserve">- </w:t>
            </w:r>
            <w:r w:rsidRPr="00B94452">
              <w:rPr>
                <w:rFonts w:ascii="Arial" w:eastAsia="Times New Roman" w:hAnsi="Arial" w:cs="Arial"/>
                <w:i/>
                <w:iCs/>
              </w:rPr>
              <w:t>BRCA</w:t>
            </w:r>
            <w:r w:rsidRPr="003A03CB">
              <w:rPr>
                <w:rFonts w:ascii="Arial" w:eastAsia="Times New Roman" w:hAnsi="Arial" w:cs="Arial"/>
              </w:rPr>
              <w:t xml:space="preserve"> subtype not specified</w:t>
            </w:r>
          </w:p>
        </w:tc>
        <w:tc>
          <w:tcPr>
            <w:tcW w:w="792" w:type="dxa"/>
            <w:vAlign w:val="center"/>
          </w:tcPr>
          <w:p w14:paraId="57006358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440" w:type="dxa"/>
            <w:vAlign w:val="center"/>
          </w:tcPr>
          <w:p w14:paraId="44F00A8C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0.1%</w:t>
            </w:r>
          </w:p>
        </w:tc>
        <w:tc>
          <w:tcPr>
            <w:tcW w:w="1440" w:type="dxa"/>
            <w:vAlign w:val="center"/>
          </w:tcPr>
          <w:p w14:paraId="47D1860F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0.2%</w:t>
            </w:r>
          </w:p>
        </w:tc>
        <w:tc>
          <w:tcPr>
            <w:tcW w:w="1440" w:type="dxa"/>
            <w:vAlign w:val="center"/>
          </w:tcPr>
          <w:p w14:paraId="4C10C830" w14:textId="77777777" w:rsidR="009C049D" w:rsidRPr="003A03CB" w:rsidRDefault="009C049D" w:rsidP="009A078C">
            <w:pPr>
              <w:jc w:val="center"/>
              <w:rPr>
                <w:rFonts w:ascii="Arial" w:hAnsi="Arial" w:cs="Arial"/>
              </w:rPr>
            </w:pPr>
            <w:r w:rsidRPr="003A03CB">
              <w:rPr>
                <w:rFonts w:ascii="Arial" w:eastAsia="Times New Roman" w:hAnsi="Arial" w:cs="Arial"/>
              </w:rPr>
              <w:t>1.0%</w:t>
            </w:r>
          </w:p>
        </w:tc>
      </w:tr>
    </w:tbl>
    <w:p w14:paraId="46811CF4" w14:textId="5BDF1EE5" w:rsidR="00A92202" w:rsidRDefault="00A92202"/>
    <w:p w14:paraId="19B13047" w14:textId="3D95DBA6" w:rsidR="009C049D" w:rsidRDefault="009C049D"/>
    <w:p w14:paraId="74D7754F" w14:textId="77777777" w:rsidR="009C049D" w:rsidRPr="00B6651B" w:rsidRDefault="009C049D" w:rsidP="009C049D">
      <w:pPr>
        <w:pStyle w:val="Ttulo2"/>
        <w:spacing w:before="0" w:line="480" w:lineRule="auto"/>
        <w:jc w:val="both"/>
        <w:rPr>
          <w:rFonts w:ascii="Arial" w:eastAsia="Calibri" w:hAnsi="Arial" w:cs="Arial"/>
          <w:b w:val="0"/>
          <w:bCs w:val="0"/>
          <w:color w:val="auto"/>
        </w:rPr>
      </w:pPr>
      <w:r w:rsidRPr="00B6651B">
        <w:rPr>
          <w:rFonts w:ascii="Arial" w:eastAsia="Calibri" w:hAnsi="Arial" w:cs="Arial"/>
          <w:color w:val="auto"/>
        </w:rPr>
        <w:t xml:space="preserve">Table 2. Comparative Clinical and Treatment Characteristics: </w:t>
      </w:r>
      <w:proofErr w:type="spellStart"/>
      <w:r w:rsidRPr="00B6651B">
        <w:rPr>
          <w:rFonts w:ascii="Arial" w:eastAsia="Calibri" w:hAnsi="Arial" w:cs="Arial"/>
          <w:color w:val="auto"/>
        </w:rPr>
        <w:t>m</w:t>
      </w:r>
      <w:r w:rsidRPr="00EF6ED0">
        <w:rPr>
          <w:rFonts w:ascii="Arial" w:eastAsia="Calibri" w:hAnsi="Arial" w:cs="Arial"/>
          <w:i/>
          <w:iCs/>
          <w:color w:val="auto"/>
        </w:rPr>
        <w:t>BRCA</w:t>
      </w:r>
      <w:proofErr w:type="spellEnd"/>
      <w:r w:rsidRPr="00B6651B">
        <w:rPr>
          <w:rFonts w:ascii="Arial" w:eastAsia="Calibri" w:hAnsi="Arial" w:cs="Arial"/>
          <w:color w:val="auto"/>
        </w:rPr>
        <w:t xml:space="preserve"> vs </w:t>
      </w:r>
      <w:proofErr w:type="spellStart"/>
      <w:r w:rsidRPr="00B6651B">
        <w:rPr>
          <w:rFonts w:ascii="Arial" w:eastAsia="Calibri" w:hAnsi="Arial" w:cs="Arial"/>
          <w:color w:val="auto"/>
        </w:rPr>
        <w:t>wt</w:t>
      </w:r>
      <w:proofErr w:type="spellEnd"/>
      <w:r w:rsidRPr="00B6651B">
        <w:rPr>
          <w:rFonts w:ascii="Arial" w:eastAsia="Calibri" w:hAnsi="Arial" w:cs="Arial"/>
          <w:color w:val="auto"/>
        </w:rPr>
        <w:t>/</w:t>
      </w:r>
      <w:proofErr w:type="spellStart"/>
      <w:r w:rsidRPr="00B6651B">
        <w:rPr>
          <w:rFonts w:ascii="Arial" w:eastAsia="Calibri" w:hAnsi="Arial" w:cs="Arial"/>
          <w:color w:val="auto"/>
        </w:rPr>
        <w:t>unk</w:t>
      </w:r>
      <w:r w:rsidRPr="00EF6ED0">
        <w:rPr>
          <w:rFonts w:ascii="Arial" w:eastAsia="Calibri" w:hAnsi="Arial" w:cs="Arial"/>
          <w:i/>
          <w:iCs/>
          <w:color w:val="auto"/>
        </w:rPr>
        <w:t>BRCA</w:t>
      </w:r>
      <w:proofErr w:type="spellEnd"/>
      <w:r w:rsidRPr="00B6651B">
        <w:rPr>
          <w:rFonts w:ascii="Arial" w:eastAsia="Calibri" w:hAnsi="Arial" w:cs="Arial"/>
          <w:color w:val="auto"/>
        </w:rPr>
        <w:t xml:space="preserve"> Cohorts.</w:t>
      </w:r>
    </w:p>
    <w:tbl>
      <w:tblPr>
        <w:tblW w:w="8640" w:type="dxa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C049D" w:rsidRPr="00B6651B" w14:paraId="625EDD1A" w14:textId="77777777" w:rsidTr="009A078C">
        <w:trPr>
          <w:trHeight w:val="300"/>
        </w:trPr>
        <w:tc>
          <w:tcPr>
            <w:tcW w:w="2160" w:type="dxa"/>
            <w:tcMar>
              <w:left w:w="108" w:type="dxa"/>
              <w:right w:w="108" w:type="dxa"/>
            </w:tcMar>
          </w:tcPr>
          <w:p w14:paraId="0EF3ACB9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  <w:b/>
                <w:bCs/>
              </w:rPr>
              <w:t>Characteristic</w:t>
            </w:r>
          </w:p>
        </w:tc>
        <w:tc>
          <w:tcPr>
            <w:tcW w:w="2160" w:type="dxa"/>
            <w:tcMar>
              <w:left w:w="108" w:type="dxa"/>
              <w:right w:w="108" w:type="dxa"/>
            </w:tcMar>
          </w:tcPr>
          <w:p w14:paraId="3535F3C6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proofErr w:type="spellStart"/>
            <w:r w:rsidRPr="00B6651B">
              <w:rPr>
                <w:rFonts w:ascii="Arial" w:eastAsia="Cambria" w:hAnsi="Arial" w:cs="Arial"/>
                <w:b/>
                <w:bCs/>
              </w:rPr>
              <w:t>m</w:t>
            </w:r>
            <w:r w:rsidRPr="00EF6ED0">
              <w:rPr>
                <w:rFonts w:ascii="Arial" w:eastAsia="Cambria" w:hAnsi="Arial" w:cs="Arial"/>
                <w:b/>
                <w:bCs/>
                <w:i/>
                <w:iCs/>
              </w:rPr>
              <w:t>BRCA</w:t>
            </w:r>
            <w:proofErr w:type="spellEnd"/>
            <w:r w:rsidRPr="00B6651B">
              <w:rPr>
                <w:rFonts w:ascii="Arial" w:eastAsia="Cambria" w:hAnsi="Arial" w:cs="Arial"/>
                <w:b/>
                <w:bCs/>
              </w:rPr>
              <w:t xml:space="preserve"> (n=105)</w:t>
            </w:r>
          </w:p>
        </w:tc>
        <w:tc>
          <w:tcPr>
            <w:tcW w:w="2160" w:type="dxa"/>
            <w:tcMar>
              <w:left w:w="108" w:type="dxa"/>
              <w:right w:w="108" w:type="dxa"/>
            </w:tcMar>
          </w:tcPr>
          <w:p w14:paraId="71D5C01A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proofErr w:type="spellStart"/>
            <w:r w:rsidRPr="00B6651B">
              <w:rPr>
                <w:rFonts w:ascii="Arial" w:eastAsia="Cambria" w:hAnsi="Arial" w:cs="Arial"/>
                <w:b/>
                <w:bCs/>
              </w:rPr>
              <w:t>wt</w:t>
            </w:r>
            <w:proofErr w:type="spellEnd"/>
            <w:r w:rsidRPr="00B6651B">
              <w:rPr>
                <w:rFonts w:ascii="Arial" w:eastAsia="Cambria" w:hAnsi="Arial" w:cs="Arial"/>
                <w:b/>
                <w:bCs/>
              </w:rPr>
              <w:t>/</w:t>
            </w:r>
            <w:proofErr w:type="spellStart"/>
            <w:r w:rsidRPr="00B6651B">
              <w:rPr>
                <w:rFonts w:ascii="Arial" w:eastAsia="Cambria" w:hAnsi="Arial" w:cs="Arial"/>
                <w:b/>
                <w:bCs/>
              </w:rPr>
              <w:t>unk</w:t>
            </w:r>
            <w:r w:rsidRPr="00EF6ED0">
              <w:rPr>
                <w:rFonts w:ascii="Arial" w:eastAsia="Cambria" w:hAnsi="Arial" w:cs="Arial"/>
                <w:b/>
                <w:bCs/>
                <w:i/>
                <w:iCs/>
              </w:rPr>
              <w:t>BRCA</w:t>
            </w:r>
            <w:proofErr w:type="spellEnd"/>
            <w:r w:rsidRPr="00B6651B">
              <w:rPr>
                <w:rFonts w:ascii="Arial" w:eastAsia="Cambria" w:hAnsi="Arial" w:cs="Arial"/>
                <w:b/>
                <w:bCs/>
              </w:rPr>
              <w:t xml:space="preserve"> (n=621)</w:t>
            </w:r>
          </w:p>
        </w:tc>
        <w:tc>
          <w:tcPr>
            <w:tcW w:w="2160" w:type="dxa"/>
            <w:tcMar>
              <w:left w:w="108" w:type="dxa"/>
              <w:right w:w="108" w:type="dxa"/>
            </w:tcMar>
          </w:tcPr>
          <w:p w14:paraId="3037A918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  <w:b/>
                <w:bCs/>
              </w:rPr>
              <w:t xml:space="preserve">p-value </w:t>
            </w:r>
          </w:p>
        </w:tc>
      </w:tr>
      <w:tr w:rsidR="009C049D" w:rsidRPr="00B6651B" w14:paraId="437E495C" w14:textId="77777777" w:rsidTr="009A078C">
        <w:trPr>
          <w:trHeight w:val="300"/>
        </w:trPr>
        <w:tc>
          <w:tcPr>
            <w:tcW w:w="2160" w:type="dxa"/>
            <w:tcBorders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C55110C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Median age (years)</w:t>
            </w:r>
          </w:p>
        </w:tc>
        <w:tc>
          <w:tcPr>
            <w:tcW w:w="2160" w:type="dxa"/>
            <w:tcBorders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67BFB10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40.2</w:t>
            </w:r>
          </w:p>
        </w:tc>
        <w:tc>
          <w:tcPr>
            <w:tcW w:w="2160" w:type="dxa"/>
            <w:tcBorders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D5B5879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45.3</w:t>
            </w:r>
          </w:p>
        </w:tc>
        <w:tc>
          <w:tcPr>
            <w:tcW w:w="2160" w:type="dxa"/>
            <w:tcBorders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45DF49F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&lt;0.001</w:t>
            </w:r>
          </w:p>
        </w:tc>
      </w:tr>
      <w:tr w:rsidR="009C049D" w:rsidRPr="00B6651B" w14:paraId="11F5D8DF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ED120D7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Premenopausal status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7E5D0D1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 xml:space="preserve"> 61.1%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688AD4D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51.6%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46D58D6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0.029</w:t>
            </w:r>
          </w:p>
        </w:tc>
      </w:tr>
      <w:tr w:rsidR="009C049D" w:rsidRPr="00B6651B" w14:paraId="2447B254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F8D8F4C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Clinical stage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4BF1780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Stage II: 72.0% / Stage III: 27.7%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1F54885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Stage II: 73.0% / Stage III: 27.7%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9EBC094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0.96</w:t>
            </w:r>
          </w:p>
        </w:tc>
      </w:tr>
      <w:tr w:rsidR="009C049D" w:rsidRPr="00B6651B" w14:paraId="5232804C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D9112B6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lastRenderedPageBreak/>
              <w:t>Histologic grade 3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187B3EB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80.2%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E0E3C79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74.2%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332E2C6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0.25</w:t>
            </w:r>
          </w:p>
        </w:tc>
      </w:tr>
      <w:tr w:rsidR="009C049D" w:rsidRPr="00B6651B" w14:paraId="6D32F3ED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670D08E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 xml:space="preserve">Median Ki-67 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0FDCC79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80%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39A2596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70%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BA0A6FC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0.01</w:t>
            </w:r>
          </w:p>
        </w:tc>
      </w:tr>
      <w:tr w:rsidR="009C049D" w:rsidRPr="00B6651B" w14:paraId="38305EFE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6C4B7E4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Histology: NST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3CF9C24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95%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EA5E3A6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88%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D1B3797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—</w:t>
            </w:r>
          </w:p>
        </w:tc>
      </w:tr>
      <w:tr w:rsidR="009C049D" w:rsidRPr="00B6651B" w14:paraId="789D5202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2B90686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TILs ≥</w:t>
            </w:r>
            <w:r w:rsidRPr="00B6651B" w:rsidDel="00692E8E">
              <w:rPr>
                <w:rFonts w:ascii="Arial" w:eastAsia="Cambria" w:hAnsi="Arial" w:cs="Arial"/>
              </w:rPr>
              <w:t xml:space="preserve"> </w:t>
            </w:r>
            <w:r w:rsidRPr="00B6651B">
              <w:rPr>
                <w:rFonts w:ascii="Arial" w:eastAsia="Cambria" w:hAnsi="Arial" w:cs="Arial"/>
              </w:rPr>
              <w:t>30%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F3C0AC2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40.7%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D75AAA4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26.2%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66201A49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0.117</w:t>
            </w:r>
          </w:p>
        </w:tc>
      </w:tr>
      <w:tr w:rsidR="009C049D" w:rsidRPr="00B6651B" w14:paraId="208BFE16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66021B8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Mastectomy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0FA6795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88.3%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164B3DE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34.7%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F55257D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&lt;0.001</w:t>
            </w:r>
          </w:p>
        </w:tc>
      </w:tr>
      <w:tr w:rsidR="009C049D" w:rsidRPr="00B6651B" w14:paraId="7F8A4173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59F4505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Adjuvant chemotherapy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A279F0B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3.3%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D0D34C0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22.2%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EAD75BB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&lt;0.001</w:t>
            </w:r>
          </w:p>
        </w:tc>
      </w:tr>
      <w:tr w:rsidR="009C049D" w:rsidRPr="00B6651B" w14:paraId="536A1F4F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75FDD3A8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Adjuvant immunotherapy (pembrolizumab)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5ADD00A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83.3%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812DACA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78.2%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66031FB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0.98</w:t>
            </w:r>
          </w:p>
        </w:tc>
      </w:tr>
      <w:tr w:rsidR="009C049D" w:rsidRPr="00B6651B" w14:paraId="4F094667" w14:textId="77777777" w:rsidTr="009A078C">
        <w:trPr>
          <w:trHeight w:val="300"/>
        </w:trPr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293FEB39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Adjuvant radiotherapy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142FB52A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64.4%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0545BC5E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87.1%</w:t>
            </w:r>
          </w:p>
        </w:tc>
        <w:tc>
          <w:tcPr>
            <w:tcW w:w="216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5F5806C9" w14:textId="77777777" w:rsidR="009C049D" w:rsidRPr="00B6651B" w:rsidRDefault="009C049D" w:rsidP="009A078C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B6651B">
              <w:rPr>
                <w:rFonts w:ascii="Arial" w:eastAsia="Cambria" w:hAnsi="Arial" w:cs="Arial"/>
              </w:rPr>
              <w:t>&lt;0.001</w:t>
            </w:r>
          </w:p>
        </w:tc>
      </w:tr>
    </w:tbl>
    <w:p w14:paraId="39185090" w14:textId="518A9548" w:rsidR="009C049D" w:rsidRDefault="009C049D"/>
    <w:p w14:paraId="4C8DC43F" w14:textId="75AE7D99" w:rsidR="009C049D" w:rsidRDefault="009C049D"/>
    <w:p w14:paraId="4215592F" w14:textId="480B2AA1" w:rsidR="009C049D" w:rsidRDefault="009C049D"/>
    <w:p w14:paraId="17E065E8" w14:textId="77777777" w:rsidR="009C049D" w:rsidRPr="00B85D3E" w:rsidRDefault="009C049D" w:rsidP="009C049D">
      <w:pPr>
        <w:pStyle w:val="Ttulo2"/>
        <w:spacing w:before="0" w:line="480" w:lineRule="auto"/>
        <w:jc w:val="both"/>
        <w:rPr>
          <w:rFonts w:ascii="Arial" w:eastAsia="Calibri" w:hAnsi="Arial" w:cs="Arial"/>
          <w:b w:val="0"/>
          <w:bCs w:val="0"/>
          <w:color w:val="auto"/>
        </w:rPr>
      </w:pPr>
      <w:r w:rsidRPr="00B85D3E">
        <w:rPr>
          <w:rFonts w:ascii="Arial" w:eastAsia="Calibri" w:hAnsi="Arial" w:cs="Arial"/>
          <w:color w:val="auto"/>
        </w:rPr>
        <w:t xml:space="preserve">Table 3. Univariate and multivariable analysis of factors associated with pathologic complete response. </w:t>
      </w:r>
    </w:p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8"/>
        <w:gridCol w:w="802"/>
        <w:gridCol w:w="1234"/>
        <w:gridCol w:w="979"/>
        <w:gridCol w:w="888"/>
        <w:gridCol w:w="1234"/>
        <w:gridCol w:w="818"/>
        <w:gridCol w:w="22"/>
      </w:tblGrid>
      <w:tr w:rsidR="009C049D" w:rsidRPr="00B6651B" w14:paraId="3902C49C" w14:textId="77777777" w:rsidTr="009A078C">
        <w:trPr>
          <w:trHeight w:val="400"/>
        </w:trPr>
        <w:tc>
          <w:tcPr>
            <w:tcW w:w="3690" w:type="dxa"/>
            <w:tcBorders>
              <w:bottom w:val="single" w:sz="12" w:space="0" w:color="666666"/>
              <w:right w:val="single" w:sz="4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D4B74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46807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Univariate analysis</w:t>
            </w:r>
          </w:p>
        </w:tc>
        <w:tc>
          <w:tcPr>
            <w:tcW w:w="2835" w:type="dxa"/>
            <w:gridSpan w:val="4"/>
            <w:tcBorders>
              <w:left w:val="single" w:sz="4" w:space="0" w:color="666666"/>
              <w:bottom w:val="single" w:sz="12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78194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Multivariable analysis</w:t>
            </w:r>
          </w:p>
        </w:tc>
      </w:tr>
      <w:tr w:rsidR="009C049D" w:rsidRPr="00B6651B" w14:paraId="55AF063B" w14:textId="77777777" w:rsidTr="009A078C">
        <w:trPr>
          <w:gridAfter w:val="1"/>
          <w:wAfter w:w="23" w:type="dxa"/>
          <w:trHeight w:val="58"/>
        </w:trPr>
        <w:tc>
          <w:tcPr>
            <w:tcW w:w="3690" w:type="dxa"/>
            <w:tcBorders>
              <w:top w:val="single" w:sz="12" w:space="0" w:color="666666"/>
              <w:bottom w:val="single" w:sz="12" w:space="0" w:color="666666"/>
              <w:right w:val="single" w:sz="4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D7734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2DA42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1260" w:type="dxa"/>
            <w:tcBorders>
              <w:top w:val="single" w:sz="12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4C040B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990" w:type="dxa"/>
            <w:tcBorders>
              <w:top w:val="single" w:sz="12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413AE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900" w:type="dxa"/>
            <w:tcBorders>
              <w:top w:val="single" w:sz="12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3D373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</w:t>
            </w:r>
          </w:p>
        </w:tc>
        <w:tc>
          <w:tcPr>
            <w:tcW w:w="1260" w:type="dxa"/>
            <w:tcBorders>
              <w:top w:val="single" w:sz="12" w:space="0" w:color="666666"/>
              <w:left w:val="single" w:sz="4" w:space="0" w:color="666666"/>
              <w:bottom w:val="single" w:sz="12" w:space="0" w:color="666666"/>
              <w:right w:val="single" w:sz="4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3C96F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652" w:type="dxa"/>
            <w:tcBorders>
              <w:top w:val="single" w:sz="12" w:space="0" w:color="666666"/>
              <w:left w:val="single" w:sz="4" w:space="0" w:color="666666"/>
              <w:bottom w:val="single" w:sz="12" w:space="0" w:color="666666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354F4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9C049D" w:rsidRPr="00B6651B" w14:paraId="631215C4" w14:textId="77777777" w:rsidTr="009A078C">
        <w:trPr>
          <w:gridAfter w:val="1"/>
          <w:wAfter w:w="23" w:type="dxa"/>
          <w:trHeight w:val="58"/>
        </w:trPr>
        <w:tc>
          <w:tcPr>
            <w:tcW w:w="3690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ED5C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6ED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BRCA</w:t>
            </w: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1/2 (mutated vs </w:t>
            </w:r>
            <w:proofErr w:type="gramStart"/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wild-type</w:t>
            </w:r>
            <w:proofErr w:type="gramEnd"/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/unknown)</w:t>
            </w:r>
          </w:p>
        </w:tc>
        <w:tc>
          <w:tcPr>
            <w:tcW w:w="8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4B9CA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4C48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1.10 – 2.87</w:t>
            </w:r>
          </w:p>
        </w:tc>
        <w:tc>
          <w:tcPr>
            <w:tcW w:w="9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32E16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EA38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3337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sz w:val="20"/>
                <w:szCs w:val="20"/>
              </w:rPr>
              <w:t>1.01 – 2.89</w:t>
            </w:r>
          </w:p>
        </w:tc>
        <w:tc>
          <w:tcPr>
            <w:tcW w:w="6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D31F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sz w:val="20"/>
                <w:szCs w:val="20"/>
              </w:rPr>
              <w:t>0.048</w:t>
            </w:r>
          </w:p>
        </w:tc>
      </w:tr>
      <w:tr w:rsidR="009C049D" w:rsidRPr="00B6651B" w14:paraId="3288FADA" w14:textId="77777777" w:rsidTr="009A078C">
        <w:trPr>
          <w:gridAfter w:val="1"/>
          <w:wAfter w:w="23" w:type="dxa"/>
          <w:trHeight w:val="58"/>
        </w:trPr>
        <w:tc>
          <w:tcPr>
            <w:tcW w:w="3690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9E14F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Ki67 index (</w:t>
            </w:r>
            <w:r w:rsidRPr="00B6651B">
              <w:rPr>
                <w:rFonts w:ascii="Arial" w:eastAsia="Times New Roman" w:hAnsi="Arial" w:cs="Arial"/>
                <w:color w:val="040C28"/>
                <w:sz w:val="20"/>
                <w:szCs w:val="20"/>
              </w:rPr>
              <w:t>≥ 50% vs &lt; 50%)</w:t>
            </w:r>
          </w:p>
        </w:tc>
        <w:tc>
          <w:tcPr>
            <w:tcW w:w="8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A57D20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sz w:val="20"/>
                <w:szCs w:val="20"/>
              </w:rPr>
              <w:t>2.67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DFDE8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 – 3.86</w:t>
            </w:r>
          </w:p>
        </w:tc>
        <w:tc>
          <w:tcPr>
            <w:tcW w:w="9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2797B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0.001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B5979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43F1D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1.56 – 3.58</w:t>
            </w:r>
          </w:p>
        </w:tc>
        <w:tc>
          <w:tcPr>
            <w:tcW w:w="6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D6124D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&lt;0.001</w:t>
            </w:r>
          </w:p>
        </w:tc>
      </w:tr>
      <w:tr w:rsidR="009C049D" w:rsidRPr="00B6651B" w14:paraId="2B440510" w14:textId="77777777" w:rsidTr="009A078C">
        <w:trPr>
          <w:gridAfter w:val="1"/>
          <w:wAfter w:w="23" w:type="dxa"/>
          <w:trHeight w:val="58"/>
        </w:trPr>
        <w:tc>
          <w:tcPr>
            <w:tcW w:w="3690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C3FBB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TILs (</w:t>
            </w:r>
            <w:r w:rsidRPr="00B6651B">
              <w:rPr>
                <w:rFonts w:ascii="Arial" w:eastAsia="Times New Roman" w:hAnsi="Arial" w:cs="Arial"/>
                <w:color w:val="040C28"/>
                <w:sz w:val="20"/>
                <w:szCs w:val="20"/>
              </w:rPr>
              <w:t>≥</w:t>
            </w: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30% vs &lt; 30%)</w:t>
            </w:r>
          </w:p>
        </w:tc>
        <w:tc>
          <w:tcPr>
            <w:tcW w:w="8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5CE2A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2E3F2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 – 5.27</w:t>
            </w:r>
          </w:p>
        </w:tc>
        <w:tc>
          <w:tcPr>
            <w:tcW w:w="9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1F87B8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0.026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65849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5DC6F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6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66816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C049D" w:rsidRPr="00B6651B" w14:paraId="28506B86" w14:textId="77777777" w:rsidTr="009A078C">
        <w:trPr>
          <w:gridAfter w:val="1"/>
          <w:wAfter w:w="23" w:type="dxa"/>
          <w:trHeight w:val="58"/>
        </w:trPr>
        <w:tc>
          <w:tcPr>
            <w:tcW w:w="3690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2EE08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Tumor grade (3 vs 1-2)</w:t>
            </w:r>
          </w:p>
        </w:tc>
        <w:tc>
          <w:tcPr>
            <w:tcW w:w="8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2A417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DD183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1.25 – 2.65</w:t>
            </w:r>
          </w:p>
        </w:tc>
        <w:tc>
          <w:tcPr>
            <w:tcW w:w="9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B492E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36B90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E244E9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0.95 - 2.22</w:t>
            </w:r>
          </w:p>
        </w:tc>
        <w:tc>
          <w:tcPr>
            <w:tcW w:w="6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A7111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0.080</w:t>
            </w:r>
          </w:p>
        </w:tc>
      </w:tr>
      <w:tr w:rsidR="009C049D" w:rsidRPr="00B6651B" w14:paraId="1DC8B629" w14:textId="77777777" w:rsidTr="009A078C">
        <w:trPr>
          <w:gridAfter w:val="1"/>
          <w:wAfter w:w="23" w:type="dxa"/>
          <w:trHeight w:val="58"/>
        </w:trPr>
        <w:tc>
          <w:tcPr>
            <w:tcW w:w="3690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9BF0F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Disease stage (III vs II)</w:t>
            </w:r>
          </w:p>
        </w:tc>
        <w:tc>
          <w:tcPr>
            <w:tcW w:w="8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371F3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74667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0.38 - 0.78</w:t>
            </w:r>
          </w:p>
        </w:tc>
        <w:tc>
          <w:tcPr>
            <w:tcW w:w="9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F4B011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33D11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1A7431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0.35 - 0.78</w:t>
            </w:r>
          </w:p>
        </w:tc>
        <w:tc>
          <w:tcPr>
            <w:tcW w:w="65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84C6C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</w:t>
            </w:r>
          </w:p>
        </w:tc>
      </w:tr>
      <w:tr w:rsidR="009C049D" w:rsidRPr="00B6651B" w14:paraId="57DA4747" w14:textId="77777777" w:rsidTr="009A078C">
        <w:trPr>
          <w:trHeight w:val="58"/>
        </w:trPr>
        <w:tc>
          <w:tcPr>
            <w:tcW w:w="3690" w:type="dxa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FE17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 regimen (dose-dense vs every 3-week)</w:t>
            </w:r>
          </w:p>
        </w:tc>
        <w:tc>
          <w:tcPr>
            <w:tcW w:w="81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07EDE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BB35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 – 1.58</w:t>
            </w:r>
          </w:p>
        </w:tc>
        <w:tc>
          <w:tcPr>
            <w:tcW w:w="99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D8858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0.399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5243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4BA52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C976F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9C049D" w:rsidRPr="00B6651B" w14:paraId="66FEBB6B" w14:textId="77777777" w:rsidTr="009A078C">
        <w:trPr>
          <w:trHeight w:val="58"/>
        </w:trPr>
        <w:tc>
          <w:tcPr>
            <w:tcW w:w="3690" w:type="dxa"/>
            <w:tcBorders>
              <w:top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5358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Number of neoadjuvant pembrolizumab cycles (&lt; 6 versus </w:t>
            </w:r>
            <w:r w:rsidRPr="00B6651B">
              <w:rPr>
                <w:rFonts w:ascii="Arial" w:eastAsia="Times New Roman" w:hAnsi="Arial" w:cs="Arial"/>
                <w:color w:val="040C28"/>
                <w:sz w:val="20"/>
                <w:szCs w:val="20"/>
              </w:rPr>
              <w:t>≥ 6)</w:t>
            </w:r>
          </w:p>
        </w:tc>
        <w:tc>
          <w:tcPr>
            <w:tcW w:w="81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34E09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5483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0.34 – 0.80</w:t>
            </w:r>
          </w:p>
        </w:tc>
        <w:tc>
          <w:tcPr>
            <w:tcW w:w="99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7E3A2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</w:t>
            </w:r>
          </w:p>
        </w:tc>
        <w:tc>
          <w:tcPr>
            <w:tcW w:w="90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809C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260" w:type="dxa"/>
            <w:tcBorders>
              <w:top w:val="single" w:sz="4" w:space="0" w:color="666666"/>
              <w:left w:val="single" w:sz="4" w:space="0" w:color="666666"/>
              <w:righ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DACD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0.30 - 0.76</w:t>
            </w:r>
          </w:p>
        </w:tc>
        <w:tc>
          <w:tcPr>
            <w:tcW w:w="675" w:type="dxa"/>
            <w:gridSpan w:val="2"/>
            <w:tcBorders>
              <w:top w:val="single" w:sz="4" w:space="0" w:color="666666"/>
              <w:left w:val="single" w:sz="4" w:space="0" w:color="666666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4EDAD" w14:textId="77777777" w:rsidR="009C049D" w:rsidRPr="00B6651B" w:rsidRDefault="009C049D" w:rsidP="009A078C">
            <w:pPr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B6651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</w:t>
            </w:r>
          </w:p>
        </w:tc>
      </w:tr>
    </w:tbl>
    <w:p w14:paraId="6F6F320F" w14:textId="771C60A4" w:rsidR="009C049D" w:rsidRDefault="009C049D"/>
    <w:p w14:paraId="16B460E7" w14:textId="20F631FF" w:rsidR="009C049D" w:rsidRDefault="009C049D"/>
    <w:p w14:paraId="1FE8C055" w14:textId="3F27354D" w:rsidR="009C049D" w:rsidRDefault="009C049D"/>
    <w:p w14:paraId="2359001C" w14:textId="77777777" w:rsidR="009C049D" w:rsidRPr="001B1988" w:rsidRDefault="009C049D" w:rsidP="009C049D">
      <w:pPr>
        <w:pStyle w:val="NormalWeb"/>
        <w:jc w:val="both"/>
        <w:rPr>
          <w:rFonts w:ascii="Arial" w:hAnsi="Arial" w:cs="Arial"/>
          <w:b/>
          <w:bCs/>
          <w:color w:val="000000" w:themeColor="text1"/>
          <w:sz w:val="26"/>
          <w:szCs w:val="26"/>
          <w:lang w:val="en-US"/>
        </w:rPr>
      </w:pPr>
      <w:r w:rsidRPr="001B1988">
        <w:rPr>
          <w:rFonts w:ascii="Arial" w:eastAsiaTheme="majorEastAsia" w:hAnsi="Arial" w:cs="Arial"/>
          <w:b/>
          <w:bCs/>
          <w:color w:val="000000" w:themeColor="text1"/>
          <w:kern w:val="2"/>
          <w:sz w:val="26"/>
          <w:szCs w:val="26"/>
          <w:lang w:val="en-US" w:eastAsia="en-US"/>
          <w14:ligatures w14:val="standardContextual"/>
        </w:rPr>
        <w:t xml:space="preserve">Table 4. </w:t>
      </w:r>
      <w:proofErr w:type="spellStart"/>
      <w:r w:rsidRPr="001B1988">
        <w:rPr>
          <w:rFonts w:ascii="Arial" w:hAnsi="Arial" w:cs="Arial"/>
          <w:b/>
          <w:bCs/>
          <w:color w:val="000000" w:themeColor="text1"/>
          <w:sz w:val="26"/>
          <w:szCs w:val="26"/>
          <w:lang w:val="en-US"/>
        </w:rPr>
        <w:t>pCR</w:t>
      </w:r>
      <w:proofErr w:type="spellEnd"/>
      <w:r w:rsidRPr="001B1988">
        <w:rPr>
          <w:rFonts w:ascii="Arial" w:hAnsi="Arial" w:cs="Arial"/>
          <w:b/>
          <w:bCs/>
          <w:color w:val="000000" w:themeColor="text1"/>
          <w:sz w:val="26"/>
          <w:szCs w:val="26"/>
          <w:lang w:val="en-US"/>
        </w:rPr>
        <w:t xml:space="preserve"> and survival according to germline </w:t>
      </w:r>
      <w:proofErr w:type="spellStart"/>
      <w:r w:rsidRPr="001B1988">
        <w:rPr>
          <w:rFonts w:ascii="Arial" w:hAnsi="Arial" w:cs="Arial"/>
          <w:b/>
          <w:bCs/>
          <w:i/>
          <w:iCs/>
          <w:color w:val="000000" w:themeColor="text1"/>
          <w:sz w:val="26"/>
          <w:szCs w:val="26"/>
          <w:lang w:val="en-US"/>
        </w:rPr>
        <w:t>mBRCA</w:t>
      </w:r>
      <w:proofErr w:type="spellEnd"/>
      <w:r w:rsidRPr="001B1988">
        <w:rPr>
          <w:rFonts w:ascii="Arial" w:hAnsi="Arial" w:cs="Arial"/>
          <w:b/>
          <w:bCs/>
          <w:color w:val="000000" w:themeColor="text1"/>
          <w:sz w:val="26"/>
          <w:szCs w:val="26"/>
          <w:lang w:val="en-US"/>
        </w:rPr>
        <w:t xml:space="preserve"> status in TNBC treated with KEYNOTE-522–based regimens</w:t>
      </w:r>
    </w:p>
    <w:tbl>
      <w:tblPr>
        <w:tblW w:w="0" w:type="auto"/>
        <w:jc w:val="center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584"/>
        <w:gridCol w:w="864"/>
        <w:gridCol w:w="2016"/>
        <w:gridCol w:w="1440"/>
        <w:gridCol w:w="1008"/>
        <w:gridCol w:w="2448"/>
      </w:tblGrid>
      <w:tr w:rsidR="009C049D" w:rsidRPr="00932C2A" w14:paraId="081F0C4D" w14:textId="77777777" w:rsidTr="009A078C">
        <w:trPr>
          <w:jc w:val="center"/>
        </w:trPr>
        <w:tc>
          <w:tcPr>
            <w:tcW w:w="1584" w:type="dxa"/>
            <w:tcBorders>
              <w:bottom w:val="single" w:sz="8" w:space="0" w:color="000000"/>
            </w:tcBorders>
            <w:vAlign w:val="center"/>
          </w:tcPr>
          <w:p w14:paraId="61D29121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b/>
                <w:sz w:val="20"/>
                <w:szCs w:val="20"/>
              </w:rPr>
              <w:t>Study / year</w:t>
            </w:r>
          </w:p>
        </w:tc>
        <w:tc>
          <w:tcPr>
            <w:tcW w:w="864" w:type="dxa"/>
            <w:tcBorders>
              <w:bottom w:val="single" w:sz="8" w:space="0" w:color="000000"/>
            </w:tcBorders>
            <w:vAlign w:val="center"/>
          </w:tcPr>
          <w:p w14:paraId="6616826B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b/>
                <w:sz w:val="20"/>
                <w:szCs w:val="20"/>
              </w:rPr>
              <w:t>Total N</w:t>
            </w:r>
          </w:p>
        </w:tc>
        <w:tc>
          <w:tcPr>
            <w:tcW w:w="2016" w:type="dxa"/>
            <w:tcBorders>
              <w:bottom w:val="single" w:sz="8" w:space="0" w:color="000000"/>
            </w:tcBorders>
            <w:vAlign w:val="center"/>
          </w:tcPr>
          <w:p w14:paraId="08961E23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AE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BRCA</w:t>
            </w:r>
            <w:r w:rsidRPr="00932C2A">
              <w:rPr>
                <w:rFonts w:ascii="Arial" w:hAnsi="Arial" w:cs="Arial"/>
                <w:b/>
                <w:sz w:val="20"/>
                <w:szCs w:val="20"/>
              </w:rPr>
              <w:t xml:space="preserve"> status distribution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  <w:vAlign w:val="center"/>
          </w:tcPr>
          <w:p w14:paraId="020EE156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32C2A">
              <w:rPr>
                <w:rFonts w:ascii="Arial" w:hAnsi="Arial" w:cs="Arial"/>
                <w:b/>
                <w:sz w:val="20"/>
                <w:szCs w:val="20"/>
              </w:rPr>
              <w:t>pCR</w:t>
            </w:r>
            <w:proofErr w:type="spellEnd"/>
            <w:r w:rsidRPr="00932C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6450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mBRCA</w:t>
            </w:r>
            <w:proofErr w:type="spellEnd"/>
            <w:r w:rsidRPr="00932C2A">
              <w:rPr>
                <w:rFonts w:ascii="Arial" w:hAnsi="Arial" w:cs="Arial"/>
                <w:b/>
                <w:sz w:val="20"/>
                <w:szCs w:val="20"/>
              </w:rPr>
              <w:t xml:space="preserve"> vs </w:t>
            </w:r>
            <w:proofErr w:type="spellStart"/>
            <w:r w:rsidRPr="00932C2A">
              <w:rPr>
                <w:rFonts w:ascii="Arial" w:hAnsi="Arial" w:cs="Arial"/>
                <w:b/>
                <w:sz w:val="20"/>
                <w:szCs w:val="20"/>
              </w:rPr>
              <w:t>wt</w:t>
            </w:r>
            <w:r w:rsidRPr="00762AE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BRCA</w:t>
            </w:r>
            <w:proofErr w:type="spellEnd"/>
            <w:r w:rsidRPr="00932C2A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008" w:type="dxa"/>
            <w:tcBorders>
              <w:bottom w:val="single" w:sz="8" w:space="0" w:color="000000"/>
            </w:tcBorders>
            <w:vAlign w:val="center"/>
          </w:tcPr>
          <w:p w14:paraId="0FE751B3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b/>
                <w:sz w:val="20"/>
                <w:szCs w:val="20"/>
              </w:rPr>
              <w:t>p-value (</w:t>
            </w:r>
            <w:proofErr w:type="spellStart"/>
            <w:r w:rsidRPr="00932C2A">
              <w:rPr>
                <w:rFonts w:ascii="Arial" w:hAnsi="Arial" w:cs="Arial"/>
                <w:b/>
                <w:sz w:val="20"/>
                <w:szCs w:val="20"/>
              </w:rPr>
              <w:t>pCR</w:t>
            </w:r>
            <w:proofErr w:type="spellEnd"/>
            <w:r w:rsidRPr="00932C2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448" w:type="dxa"/>
            <w:tcBorders>
              <w:bottom w:val="single" w:sz="8" w:space="0" w:color="000000"/>
            </w:tcBorders>
            <w:vAlign w:val="center"/>
          </w:tcPr>
          <w:p w14:paraId="3835EF03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b/>
                <w:sz w:val="20"/>
                <w:szCs w:val="20"/>
              </w:rPr>
              <w:t>Survival signal (</w:t>
            </w:r>
            <w:proofErr w:type="spellStart"/>
            <w:r w:rsidRPr="0006450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mBRCA</w:t>
            </w:r>
            <w:proofErr w:type="spellEnd"/>
            <w:r w:rsidRPr="00932C2A">
              <w:rPr>
                <w:rFonts w:ascii="Arial" w:hAnsi="Arial" w:cs="Arial"/>
                <w:b/>
                <w:sz w:val="20"/>
                <w:szCs w:val="20"/>
              </w:rPr>
              <w:t xml:space="preserve"> vs </w:t>
            </w:r>
            <w:proofErr w:type="spellStart"/>
            <w:r w:rsidRPr="0006450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wtBRCA</w:t>
            </w:r>
            <w:proofErr w:type="spellEnd"/>
            <w:r w:rsidRPr="0006450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</w:t>
            </w:r>
          </w:p>
        </w:tc>
      </w:tr>
      <w:tr w:rsidR="009C049D" w:rsidRPr="00CB39CE" w14:paraId="624D4413" w14:textId="77777777" w:rsidTr="009A078C">
        <w:trPr>
          <w:jc w:val="center"/>
        </w:trPr>
        <w:tc>
          <w:tcPr>
            <w:tcW w:w="1584" w:type="dxa"/>
            <w:vAlign w:val="center"/>
          </w:tcPr>
          <w:p w14:paraId="2A27A105" w14:textId="77777777" w:rsidR="009C049D" w:rsidRPr="00932C2A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Fedele et al., 2025</w:t>
            </w:r>
          </w:p>
        </w:tc>
        <w:tc>
          <w:tcPr>
            <w:tcW w:w="864" w:type="dxa"/>
            <w:vAlign w:val="center"/>
          </w:tcPr>
          <w:p w14:paraId="4D58F563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2016" w:type="dxa"/>
            <w:vAlign w:val="center"/>
          </w:tcPr>
          <w:p w14:paraId="68CAB61F" w14:textId="77777777" w:rsidR="009C049D" w:rsidRPr="00932C2A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450C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932C2A">
              <w:rPr>
                <w:rFonts w:ascii="Arial" w:hAnsi="Arial" w:cs="Arial"/>
                <w:sz w:val="20"/>
                <w:szCs w:val="20"/>
              </w:rPr>
              <w:t xml:space="preserve"> 37 (20.1%); </w:t>
            </w: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wtBRCA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932C2A">
              <w:rPr>
                <w:rFonts w:ascii="Arial" w:hAnsi="Arial" w:cs="Arial"/>
                <w:sz w:val="20"/>
                <w:szCs w:val="20"/>
              </w:rPr>
              <w:t xml:space="preserve"> 147 (79.9%)</w:t>
            </w:r>
          </w:p>
        </w:tc>
        <w:tc>
          <w:tcPr>
            <w:tcW w:w="1440" w:type="dxa"/>
            <w:vAlign w:val="center"/>
          </w:tcPr>
          <w:p w14:paraId="43B9B753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78.4 vs 61.1</w:t>
            </w:r>
          </w:p>
        </w:tc>
        <w:tc>
          <w:tcPr>
            <w:tcW w:w="1008" w:type="dxa"/>
            <w:vAlign w:val="center"/>
          </w:tcPr>
          <w:p w14:paraId="46BAD2DA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2448" w:type="dxa"/>
            <w:vAlign w:val="center"/>
          </w:tcPr>
          <w:p w14:paraId="0837DE06" w14:textId="77777777" w:rsidR="009C049D" w:rsidRPr="00EF5384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r w:rsidRPr="00EF5384">
              <w:rPr>
                <w:rFonts w:ascii="Arial" w:hAnsi="Arial" w:cs="Arial"/>
                <w:sz w:val="20"/>
                <w:szCs w:val="20"/>
              </w:rPr>
              <w:t xml:space="preserve">Higher </w:t>
            </w:r>
            <w:proofErr w:type="spellStart"/>
            <w:r w:rsidRPr="00EF5384">
              <w:rPr>
                <w:rFonts w:ascii="Arial" w:hAnsi="Arial" w:cs="Arial"/>
                <w:sz w:val="20"/>
                <w:szCs w:val="20"/>
              </w:rPr>
              <w:t>pCR</w:t>
            </w:r>
            <w:proofErr w:type="spellEnd"/>
            <w:r w:rsidRPr="00EF5384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  <w:r w:rsidRPr="00EF5384">
              <w:rPr>
                <w:rFonts w:ascii="Arial" w:hAnsi="Arial" w:cs="Arial"/>
                <w:sz w:val="20"/>
                <w:szCs w:val="20"/>
              </w:rPr>
              <w:t xml:space="preserve"> survival data immature/not reported.</w:t>
            </w:r>
          </w:p>
        </w:tc>
      </w:tr>
      <w:tr w:rsidR="009C049D" w:rsidRPr="00CB39CE" w14:paraId="498818A6" w14:textId="77777777" w:rsidTr="009A078C">
        <w:trPr>
          <w:jc w:val="center"/>
        </w:trPr>
        <w:tc>
          <w:tcPr>
            <w:tcW w:w="1584" w:type="dxa"/>
            <w:vAlign w:val="center"/>
          </w:tcPr>
          <w:p w14:paraId="49397A13" w14:textId="77777777" w:rsidR="009C049D" w:rsidRPr="00932C2A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Bae / Kim et al., 2024</w:t>
            </w:r>
          </w:p>
        </w:tc>
        <w:tc>
          <w:tcPr>
            <w:tcW w:w="864" w:type="dxa"/>
            <w:vAlign w:val="center"/>
          </w:tcPr>
          <w:p w14:paraId="3D0CF754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2016" w:type="dxa"/>
            <w:vAlign w:val="center"/>
          </w:tcPr>
          <w:p w14:paraId="357935D8" w14:textId="77777777" w:rsidR="009C049D" w:rsidRPr="00932C2A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450C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932C2A">
              <w:rPr>
                <w:rFonts w:ascii="Arial" w:hAnsi="Arial" w:cs="Arial"/>
                <w:sz w:val="20"/>
                <w:szCs w:val="20"/>
              </w:rPr>
              <w:t xml:space="preserve"> 49 (24.6%); </w:t>
            </w: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wtBRCA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932C2A">
              <w:rPr>
                <w:rFonts w:ascii="Arial" w:hAnsi="Arial" w:cs="Arial"/>
                <w:sz w:val="20"/>
                <w:szCs w:val="20"/>
              </w:rPr>
              <w:t xml:space="preserve"> 150 (75.4%)</w:t>
            </w:r>
          </w:p>
        </w:tc>
        <w:tc>
          <w:tcPr>
            <w:tcW w:w="1440" w:type="dxa"/>
            <w:vAlign w:val="center"/>
          </w:tcPr>
          <w:p w14:paraId="061381A1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73.5 vs 59.3</w:t>
            </w:r>
          </w:p>
        </w:tc>
        <w:tc>
          <w:tcPr>
            <w:tcW w:w="1008" w:type="dxa"/>
            <w:vAlign w:val="center"/>
          </w:tcPr>
          <w:p w14:paraId="3560AF04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0.075</w:t>
            </w:r>
          </w:p>
        </w:tc>
        <w:tc>
          <w:tcPr>
            <w:tcW w:w="2448" w:type="dxa"/>
            <w:vAlign w:val="center"/>
          </w:tcPr>
          <w:p w14:paraId="592708C3" w14:textId="77777777" w:rsidR="009C049D" w:rsidRPr="00EF5384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r w:rsidRPr="00EF5384">
              <w:rPr>
                <w:rFonts w:ascii="Arial" w:hAnsi="Arial" w:cs="Arial"/>
                <w:sz w:val="20"/>
                <w:szCs w:val="20"/>
              </w:rPr>
              <w:t xml:space="preserve">No clear DFS difference by </w:t>
            </w: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  <w:r w:rsidRPr="00EF5384">
              <w:rPr>
                <w:rFonts w:ascii="Arial" w:hAnsi="Arial" w:cs="Arial"/>
                <w:sz w:val="20"/>
                <w:szCs w:val="20"/>
              </w:rPr>
              <w:t xml:space="preserve"> no significant interaction with pembrolizumab.</w:t>
            </w:r>
          </w:p>
        </w:tc>
      </w:tr>
      <w:tr w:rsidR="009C049D" w:rsidRPr="00CB39CE" w14:paraId="44380AF6" w14:textId="77777777" w:rsidTr="009A078C">
        <w:trPr>
          <w:jc w:val="center"/>
        </w:trPr>
        <w:tc>
          <w:tcPr>
            <w:tcW w:w="1584" w:type="dxa"/>
            <w:vAlign w:val="center"/>
          </w:tcPr>
          <w:p w14:paraId="05268328" w14:textId="77777777" w:rsidR="009C049D" w:rsidRPr="00932C2A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Etan et al., 2025</w:t>
            </w:r>
          </w:p>
        </w:tc>
        <w:tc>
          <w:tcPr>
            <w:tcW w:w="864" w:type="dxa"/>
            <w:vAlign w:val="center"/>
          </w:tcPr>
          <w:p w14:paraId="318249C2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≈100</w:t>
            </w:r>
          </w:p>
        </w:tc>
        <w:tc>
          <w:tcPr>
            <w:tcW w:w="2016" w:type="dxa"/>
            <w:vAlign w:val="center"/>
          </w:tcPr>
          <w:p w14:paraId="6E54621A" w14:textId="77777777" w:rsidR="009C049D" w:rsidRPr="00932C2A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932C2A">
              <w:rPr>
                <w:rFonts w:ascii="Arial" w:hAnsi="Arial" w:cs="Arial"/>
                <w:sz w:val="20"/>
                <w:szCs w:val="20"/>
              </w:rPr>
              <w:t xml:space="preserve"> 32 (≈32%); </w:t>
            </w: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wtBRCA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932C2A">
              <w:rPr>
                <w:rFonts w:ascii="Arial" w:hAnsi="Arial" w:cs="Arial"/>
                <w:sz w:val="20"/>
                <w:szCs w:val="20"/>
              </w:rPr>
              <w:t xml:space="preserve"> 68 (≈68%)</w:t>
            </w:r>
          </w:p>
        </w:tc>
        <w:tc>
          <w:tcPr>
            <w:tcW w:w="1440" w:type="dxa"/>
            <w:vAlign w:val="center"/>
          </w:tcPr>
          <w:p w14:paraId="36447C5A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100 vs 64.7</w:t>
            </w:r>
          </w:p>
        </w:tc>
        <w:tc>
          <w:tcPr>
            <w:tcW w:w="1008" w:type="dxa"/>
            <w:vAlign w:val="center"/>
          </w:tcPr>
          <w:p w14:paraId="7C635ABD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2448" w:type="dxa"/>
            <w:vAlign w:val="center"/>
          </w:tcPr>
          <w:p w14:paraId="0A9D00E5" w14:textId="77777777" w:rsidR="009C049D" w:rsidRPr="00EF5384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r w:rsidRPr="00EF5384">
              <w:rPr>
                <w:rFonts w:ascii="Arial" w:hAnsi="Arial" w:cs="Arial"/>
                <w:sz w:val="20"/>
                <w:szCs w:val="20"/>
              </w:rPr>
              <w:t xml:space="preserve">KN522 improves OS/EFS vs ACTC overall; outcomes mainly driven by </w:t>
            </w:r>
            <w:proofErr w:type="spellStart"/>
            <w:r w:rsidRPr="00EF5384">
              <w:rPr>
                <w:rFonts w:ascii="Arial" w:hAnsi="Arial" w:cs="Arial"/>
                <w:sz w:val="20"/>
                <w:szCs w:val="20"/>
              </w:rPr>
              <w:t>pCR</w:t>
            </w:r>
            <w:proofErr w:type="spellEnd"/>
            <w:r w:rsidRPr="00EF5384">
              <w:rPr>
                <w:rFonts w:ascii="Arial" w:hAnsi="Arial" w:cs="Arial"/>
                <w:sz w:val="20"/>
                <w:szCs w:val="20"/>
              </w:rPr>
              <w:t xml:space="preserve">, not </w:t>
            </w: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EF5384">
              <w:rPr>
                <w:rFonts w:ascii="Arial" w:hAnsi="Arial" w:cs="Arial"/>
                <w:sz w:val="20"/>
                <w:szCs w:val="20"/>
              </w:rPr>
              <w:t xml:space="preserve"> status alone.</w:t>
            </w:r>
          </w:p>
        </w:tc>
      </w:tr>
      <w:tr w:rsidR="009C049D" w:rsidRPr="00CB39CE" w14:paraId="15A3D1B8" w14:textId="77777777" w:rsidTr="009A078C">
        <w:trPr>
          <w:jc w:val="center"/>
        </w:trPr>
        <w:tc>
          <w:tcPr>
            <w:tcW w:w="1584" w:type="dxa"/>
            <w:vAlign w:val="center"/>
          </w:tcPr>
          <w:p w14:paraId="35095AEE" w14:textId="77777777" w:rsidR="009C049D" w:rsidRPr="00932C2A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Park et al., 2025</w:t>
            </w:r>
          </w:p>
        </w:tc>
        <w:tc>
          <w:tcPr>
            <w:tcW w:w="864" w:type="dxa"/>
            <w:vAlign w:val="center"/>
          </w:tcPr>
          <w:p w14:paraId="42F234F4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2016" w:type="dxa"/>
            <w:vAlign w:val="center"/>
          </w:tcPr>
          <w:p w14:paraId="60E63BF8" w14:textId="77777777" w:rsidR="009C049D" w:rsidRPr="00932C2A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932C2A">
              <w:rPr>
                <w:rFonts w:ascii="Arial" w:hAnsi="Arial" w:cs="Arial"/>
                <w:sz w:val="20"/>
                <w:szCs w:val="20"/>
              </w:rPr>
              <w:t xml:space="preserve">: 46 (14.6%); </w:t>
            </w: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wtBRCA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932C2A">
              <w:rPr>
                <w:rFonts w:ascii="Arial" w:hAnsi="Arial" w:cs="Arial"/>
                <w:sz w:val="20"/>
                <w:szCs w:val="20"/>
              </w:rPr>
              <w:t xml:space="preserve"> 270 (85.4%)</w:t>
            </w:r>
          </w:p>
        </w:tc>
        <w:tc>
          <w:tcPr>
            <w:tcW w:w="1440" w:type="dxa"/>
            <w:vAlign w:val="center"/>
          </w:tcPr>
          <w:p w14:paraId="7B97964C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73.9 vs 59.3</w:t>
            </w:r>
          </w:p>
        </w:tc>
        <w:tc>
          <w:tcPr>
            <w:tcW w:w="1008" w:type="dxa"/>
            <w:vAlign w:val="center"/>
          </w:tcPr>
          <w:p w14:paraId="016DCF75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0.040</w:t>
            </w:r>
          </w:p>
        </w:tc>
        <w:tc>
          <w:tcPr>
            <w:tcW w:w="2448" w:type="dxa"/>
            <w:vAlign w:val="center"/>
          </w:tcPr>
          <w:p w14:paraId="6CBC7A11" w14:textId="77777777" w:rsidR="009C049D" w:rsidRPr="00EF5384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F5384">
              <w:rPr>
                <w:rFonts w:ascii="Arial" w:hAnsi="Arial" w:cs="Arial"/>
                <w:sz w:val="20"/>
                <w:szCs w:val="20"/>
              </w:rPr>
              <w:t xml:space="preserve">not independent for DFS (HR 1.71; 95% CI 0.63–4.65); </w:t>
            </w:r>
            <w:proofErr w:type="spellStart"/>
            <w:r w:rsidRPr="00EF5384">
              <w:rPr>
                <w:rFonts w:ascii="Arial" w:hAnsi="Arial" w:cs="Arial"/>
                <w:sz w:val="20"/>
                <w:szCs w:val="20"/>
              </w:rPr>
              <w:t>pCR</w:t>
            </w:r>
            <w:proofErr w:type="spellEnd"/>
            <w:r w:rsidRPr="00EF5384">
              <w:rPr>
                <w:rFonts w:ascii="Arial" w:hAnsi="Arial" w:cs="Arial"/>
                <w:sz w:val="20"/>
                <w:szCs w:val="20"/>
              </w:rPr>
              <w:t xml:space="preserve"> strongly prognostic.</w:t>
            </w:r>
          </w:p>
        </w:tc>
      </w:tr>
      <w:tr w:rsidR="009C049D" w:rsidRPr="00CB39CE" w14:paraId="68A3CA25" w14:textId="77777777" w:rsidTr="009A078C">
        <w:trPr>
          <w:jc w:val="center"/>
        </w:trPr>
        <w:tc>
          <w:tcPr>
            <w:tcW w:w="1584" w:type="dxa"/>
            <w:vAlign w:val="center"/>
          </w:tcPr>
          <w:p w14:paraId="48B1424E" w14:textId="77777777" w:rsidR="009C049D" w:rsidRPr="00EF5384" w:rsidRDefault="009C049D" w:rsidP="009A078C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F5384">
              <w:rPr>
                <w:rFonts w:ascii="Arial" w:hAnsi="Arial" w:cs="Arial"/>
                <w:sz w:val="20"/>
                <w:szCs w:val="20"/>
                <w:lang w:val="es-ES_tradnl"/>
              </w:rPr>
              <w:t>Tavares et al., 2025 (Neo-Real)</w:t>
            </w:r>
          </w:p>
        </w:tc>
        <w:tc>
          <w:tcPr>
            <w:tcW w:w="864" w:type="dxa"/>
            <w:vAlign w:val="center"/>
          </w:tcPr>
          <w:p w14:paraId="53498898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726</w:t>
            </w:r>
          </w:p>
        </w:tc>
        <w:tc>
          <w:tcPr>
            <w:tcW w:w="2016" w:type="dxa"/>
            <w:vAlign w:val="center"/>
          </w:tcPr>
          <w:p w14:paraId="470A1C64" w14:textId="77777777" w:rsidR="009C049D" w:rsidRPr="00932C2A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932C2A">
              <w:rPr>
                <w:rFonts w:ascii="Arial" w:hAnsi="Arial" w:cs="Arial"/>
                <w:sz w:val="20"/>
                <w:szCs w:val="20"/>
              </w:rPr>
              <w:t xml:space="preserve">: 105 (14.5%); </w:t>
            </w: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wtBRCA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  <w:r w:rsidRPr="00932C2A">
              <w:rPr>
                <w:rFonts w:ascii="Arial" w:hAnsi="Arial" w:cs="Arial"/>
                <w:sz w:val="20"/>
                <w:szCs w:val="20"/>
              </w:rPr>
              <w:t xml:space="preserve"> 621 (85.5%)</w:t>
            </w:r>
          </w:p>
        </w:tc>
        <w:tc>
          <w:tcPr>
            <w:tcW w:w="1440" w:type="dxa"/>
            <w:vAlign w:val="center"/>
          </w:tcPr>
          <w:p w14:paraId="69EFF4C1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74.0 vs 61.7</w:t>
            </w:r>
          </w:p>
        </w:tc>
        <w:tc>
          <w:tcPr>
            <w:tcW w:w="1008" w:type="dxa"/>
            <w:vAlign w:val="center"/>
          </w:tcPr>
          <w:p w14:paraId="358D7471" w14:textId="77777777" w:rsidR="009C049D" w:rsidRPr="00932C2A" w:rsidRDefault="009C049D" w:rsidP="009A0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C2A">
              <w:rPr>
                <w:rFonts w:ascii="Arial" w:hAnsi="Arial" w:cs="Arial"/>
                <w:sz w:val="20"/>
                <w:szCs w:val="20"/>
              </w:rPr>
              <w:t>0.0244</w:t>
            </w:r>
          </w:p>
        </w:tc>
        <w:tc>
          <w:tcPr>
            <w:tcW w:w="2448" w:type="dxa"/>
            <w:vAlign w:val="center"/>
          </w:tcPr>
          <w:p w14:paraId="0EB8F536" w14:textId="77777777" w:rsidR="009C049D" w:rsidRPr="00EF5384" w:rsidRDefault="009C049D" w:rsidP="009A078C">
            <w:pPr>
              <w:rPr>
                <w:rFonts w:ascii="Arial" w:hAnsi="Arial" w:cs="Arial"/>
                <w:sz w:val="20"/>
                <w:szCs w:val="20"/>
              </w:rPr>
            </w:pPr>
            <w:r w:rsidRPr="00EF5384">
              <w:rPr>
                <w:rFonts w:ascii="Arial" w:hAnsi="Arial" w:cs="Arial"/>
                <w:sz w:val="20"/>
                <w:szCs w:val="20"/>
              </w:rPr>
              <w:t xml:space="preserve">Trend to better EFS in </w:t>
            </w:r>
            <w:proofErr w:type="spellStart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mBRCA</w:t>
            </w:r>
            <w:proofErr w:type="spellEnd"/>
            <w:r w:rsidRPr="00D119A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  <w:r w:rsidRPr="00EF5384">
              <w:rPr>
                <w:rFonts w:ascii="Arial" w:hAnsi="Arial" w:cs="Arial"/>
                <w:sz w:val="20"/>
                <w:szCs w:val="20"/>
              </w:rPr>
              <w:t xml:space="preserve"> survival predominantly driven by achievement of </w:t>
            </w:r>
            <w:proofErr w:type="spellStart"/>
            <w:r w:rsidRPr="00EF5384">
              <w:rPr>
                <w:rFonts w:ascii="Arial" w:hAnsi="Arial" w:cs="Arial"/>
                <w:sz w:val="20"/>
                <w:szCs w:val="20"/>
              </w:rPr>
              <w:t>pCR</w:t>
            </w:r>
            <w:proofErr w:type="spellEnd"/>
            <w:r w:rsidRPr="00EF53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E349C32" w14:textId="77777777" w:rsidR="009C049D" w:rsidRDefault="009C049D"/>
    <w:sectPr w:rsidR="009C049D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8641164">
    <w:abstractNumId w:val="8"/>
  </w:num>
  <w:num w:numId="2" w16cid:durableId="1860780626">
    <w:abstractNumId w:val="6"/>
  </w:num>
  <w:num w:numId="3" w16cid:durableId="94789511">
    <w:abstractNumId w:val="5"/>
  </w:num>
  <w:num w:numId="4" w16cid:durableId="465315673">
    <w:abstractNumId w:val="4"/>
  </w:num>
  <w:num w:numId="5" w16cid:durableId="1722360550">
    <w:abstractNumId w:val="7"/>
  </w:num>
  <w:num w:numId="6" w16cid:durableId="1998874548">
    <w:abstractNumId w:val="3"/>
  </w:num>
  <w:num w:numId="7" w16cid:durableId="375542067">
    <w:abstractNumId w:val="2"/>
  </w:num>
  <w:num w:numId="8" w16cid:durableId="861474588">
    <w:abstractNumId w:val="1"/>
  </w:num>
  <w:num w:numId="9" w16cid:durableId="182913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55E6"/>
    <w:rsid w:val="009C049D"/>
    <w:rsid w:val="00A92202"/>
    <w:rsid w:val="00AA1D8D"/>
    <w:rsid w:val="00B47730"/>
    <w:rsid w:val="00B85D3E"/>
    <w:rsid w:val="00CB0664"/>
    <w:rsid w:val="00DA0A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98078"/>
  <w14:defaultImageDpi w14:val="300"/>
  <w15:docId w15:val="{4F161823-4E53-404E-AA41-920BFF86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C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453</Words>
  <Characters>2450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    Table 1. Germline BRCA Testing Overview </vt:lpstr>
      <vt:lpstr>    Table 2. Comparative Clinical and Treatment Characteristics: mBRCA vs wt/unkBRCA</vt:lpstr>
      <vt:lpstr>    Table 3. Univariate and multivariable analysis of factors associated with pathol</vt:lpstr>
      <vt:lpstr/>
    </vt:vector>
  </TitlesOfParts>
  <Manager/>
  <Company/>
  <LinksUpToDate>false</LinksUpToDate>
  <CharactersWithSpaces>2898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Monique Tavares</cp:lastModifiedBy>
  <cp:revision>5</cp:revision>
  <dcterms:created xsi:type="dcterms:W3CDTF">2026-02-20T21:10:00Z</dcterms:created>
  <dcterms:modified xsi:type="dcterms:W3CDTF">2026-02-20T21:11:00Z</dcterms:modified>
  <cp:category/>
</cp:coreProperties>
</file>