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5F9BB" w14:textId="77777777" w:rsidR="00751B1F" w:rsidRPr="008038FC" w:rsidRDefault="008E5706" w:rsidP="004B3F7B">
      <w:pPr>
        <w:pStyle w:val="Heading1"/>
        <w:jc w:val="both"/>
        <w:rPr>
          <w:rFonts w:asciiTheme="majorBidi" w:hAnsiTheme="majorBidi"/>
          <w:color w:val="auto"/>
        </w:rPr>
      </w:pPr>
      <w:r w:rsidRPr="008038FC">
        <w:rPr>
          <w:rFonts w:asciiTheme="majorBidi" w:hAnsiTheme="majorBidi"/>
          <w:color w:val="auto"/>
        </w:rPr>
        <w:t>Supporting Information</w:t>
      </w:r>
    </w:p>
    <w:p w14:paraId="1B42C55F" w14:textId="77777777" w:rsidR="0064475A" w:rsidRDefault="0064475A" w:rsidP="004B3F7B">
      <w:pPr>
        <w:jc w:val="both"/>
        <w:rPr>
          <w:rFonts w:asciiTheme="majorBidi" w:eastAsiaTheme="majorEastAsia" w:hAnsiTheme="majorBidi" w:cstheme="majorBidi"/>
          <w:sz w:val="20"/>
          <w:szCs w:val="20"/>
        </w:rPr>
      </w:pPr>
      <w:r w:rsidRPr="0064475A">
        <w:rPr>
          <w:sz w:val="20"/>
          <w:szCs w:val="20"/>
        </w:rPr>
        <w:t>Computational Screening of Thermal Regimes for Carbon Pre-Nucleation on Iron Catalysts under CVD-Like Conditions Using Classical Molecular Dynamics</w:t>
      </w:r>
    </w:p>
    <w:p w14:paraId="2591CAB3" w14:textId="77777777" w:rsidR="0064475A" w:rsidRDefault="0064475A" w:rsidP="004B3F7B">
      <w:pPr>
        <w:jc w:val="both"/>
        <w:rPr>
          <w:rFonts w:asciiTheme="majorBidi" w:eastAsiaTheme="majorEastAsia" w:hAnsiTheme="majorBidi" w:cstheme="majorBidi"/>
          <w:sz w:val="20"/>
          <w:szCs w:val="20"/>
        </w:rPr>
      </w:pPr>
    </w:p>
    <w:p w14:paraId="154AB42D" w14:textId="6B9A9D4F" w:rsidR="007E44B6" w:rsidRPr="0063742E" w:rsidRDefault="004B3F7B" w:rsidP="004B3F7B">
      <w:pPr>
        <w:jc w:val="both"/>
        <w:rPr>
          <w:rFonts w:asciiTheme="majorBidi" w:hAnsiTheme="majorBidi" w:cstheme="majorBidi"/>
          <w:sz w:val="16"/>
          <w:szCs w:val="16"/>
        </w:rPr>
      </w:pPr>
      <w:r w:rsidRPr="0063742E">
        <w:rPr>
          <w:rFonts w:asciiTheme="majorBidi" w:eastAsiaTheme="majorEastAsia" w:hAnsiTheme="majorBidi" w:cstheme="majorBidi"/>
          <w:sz w:val="20"/>
          <w:szCs w:val="20"/>
        </w:rPr>
        <w:t xml:space="preserve">Table S1. Symbolic mapping between selected experimental reference pressures and the corresponding number of gas-phase molecules in the molecular dynamics simulation cell (Lx = 16.7188 Å, Ly = 16.7188 Å, </w:t>
      </w:r>
      <w:proofErr w:type="spellStart"/>
      <w:r w:rsidRPr="0063742E">
        <w:rPr>
          <w:rFonts w:asciiTheme="majorBidi" w:eastAsiaTheme="majorEastAsia" w:hAnsiTheme="majorBidi" w:cstheme="majorBidi"/>
          <w:sz w:val="20"/>
          <w:szCs w:val="20"/>
        </w:rPr>
        <w:t>Lz</w:t>
      </w:r>
      <w:proofErr w:type="spellEnd"/>
      <w:r w:rsidRPr="0063742E">
        <w:rPr>
          <w:rFonts w:asciiTheme="majorBidi" w:eastAsiaTheme="majorEastAsia" w:hAnsiTheme="majorBidi" w:cstheme="majorBidi"/>
          <w:sz w:val="20"/>
          <w:szCs w:val="20"/>
        </w:rPr>
        <w:t xml:space="preserve"> = 56.7188 Å) at T = 1162 K, estimated using the ideal-gas relation N = PV</w:t>
      </w:r>
      <w:proofErr w:type="gramStart"/>
      <w:r w:rsidRPr="0063742E">
        <w:rPr>
          <w:rFonts w:asciiTheme="majorBidi" w:eastAsiaTheme="majorEastAsia" w:hAnsiTheme="majorBidi" w:cstheme="majorBidi"/>
          <w:sz w:val="20"/>
          <w:szCs w:val="20"/>
        </w:rPr>
        <w:t>/(</w:t>
      </w:r>
      <w:proofErr w:type="gramEnd"/>
      <w:r w:rsidRPr="0063742E">
        <w:rPr>
          <w:rFonts w:asciiTheme="majorBidi" w:eastAsiaTheme="majorEastAsia" w:hAnsiTheme="majorBidi" w:cstheme="majorBidi"/>
          <w:sz w:val="20"/>
          <w:szCs w:val="20"/>
        </w:rPr>
        <w:t>kB T). This mapping is used solely to indicate relative density regimes and does not represent the instantaneous pressure in NVT simulations.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2350"/>
        <w:gridCol w:w="1800"/>
        <w:gridCol w:w="3415"/>
      </w:tblGrid>
      <w:tr w:rsidR="003C177A" w:rsidRPr="0063742E" w14:paraId="79BD6385" w14:textId="77777777" w:rsidTr="0002498D">
        <w:tc>
          <w:tcPr>
            <w:tcW w:w="0" w:type="auto"/>
            <w:hideMark/>
          </w:tcPr>
          <w:p w14:paraId="6DEED047"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Pressure (Pa)</w:t>
            </w:r>
          </w:p>
        </w:tc>
        <w:tc>
          <w:tcPr>
            <w:tcW w:w="2350" w:type="dxa"/>
            <w:hideMark/>
          </w:tcPr>
          <w:p w14:paraId="7DB91AE4"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Pressure (bar)</w:t>
            </w:r>
          </w:p>
        </w:tc>
        <w:tc>
          <w:tcPr>
            <w:tcW w:w="1800" w:type="dxa"/>
            <w:hideMark/>
          </w:tcPr>
          <w:p w14:paraId="41499AA2"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Required N (molecules) ≈ (P V/(k</w:t>
            </w:r>
            <w:r w:rsidRPr="0063742E">
              <w:rPr>
                <w:rFonts w:asciiTheme="majorBidi" w:eastAsia="Times New Roman" w:hAnsiTheme="majorBidi" w:cstheme="majorBidi"/>
                <w:sz w:val="20"/>
                <w:szCs w:val="20"/>
                <w:vertAlign w:val="subscript"/>
              </w:rPr>
              <w:t>B</w:t>
            </w:r>
            <w:r w:rsidRPr="0063742E">
              <w:rPr>
                <w:rFonts w:asciiTheme="majorBidi" w:eastAsia="Times New Roman" w:hAnsiTheme="majorBidi" w:cstheme="majorBidi"/>
                <w:sz w:val="20"/>
                <w:szCs w:val="20"/>
              </w:rPr>
              <w:t xml:space="preserve"> T))</w:t>
            </w:r>
          </w:p>
        </w:tc>
        <w:tc>
          <w:tcPr>
            <w:tcW w:w="3415" w:type="dxa"/>
            <w:hideMark/>
          </w:tcPr>
          <w:p w14:paraId="3FBE11CB" w14:textId="77777777" w:rsidR="007E44B6" w:rsidRPr="0063742E" w:rsidRDefault="008E5706" w:rsidP="0002498D">
            <w:pPr>
              <w:spacing w:line="360" w:lineRule="auto"/>
              <w:jc w:val="center"/>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Interpretation</w:t>
            </w:r>
          </w:p>
        </w:tc>
      </w:tr>
      <w:tr w:rsidR="003C177A" w:rsidRPr="0063742E" w14:paraId="432163C5" w14:textId="77777777" w:rsidTr="0002498D">
        <w:tc>
          <w:tcPr>
            <w:tcW w:w="0" w:type="auto"/>
            <w:hideMark/>
          </w:tcPr>
          <w:p w14:paraId="719FF028"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10</w:t>
            </w:r>
          </w:p>
        </w:tc>
        <w:tc>
          <w:tcPr>
            <w:tcW w:w="2350" w:type="dxa"/>
            <w:hideMark/>
          </w:tcPr>
          <w:p w14:paraId="1FCD1EB4"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1.0×10⁻⁴ bar</w:t>
            </w:r>
          </w:p>
        </w:tc>
        <w:tc>
          <w:tcPr>
            <w:tcW w:w="1800" w:type="dxa"/>
            <w:hideMark/>
          </w:tcPr>
          <w:p w14:paraId="1B1F8FB9"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9.9×10⁻⁶</w:t>
            </w:r>
          </w:p>
        </w:tc>
        <w:tc>
          <w:tcPr>
            <w:tcW w:w="3415" w:type="dxa"/>
            <w:hideMark/>
          </w:tcPr>
          <w:p w14:paraId="24D965C1" w14:textId="49FE3935" w:rsidR="007E44B6" w:rsidRPr="0063742E" w:rsidRDefault="004B3F7B" w:rsidP="0002498D">
            <w:pPr>
              <w:spacing w:line="360" w:lineRule="auto"/>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 xml:space="preserve">Effectively zero molecular occupancy (N </w:t>
            </w:r>
            <w:r w:rsidRPr="0063742E">
              <w:rPr>
                <w:rFonts w:ascii="Cambria Math" w:eastAsia="Times New Roman" w:hAnsi="Cambria Math" w:cs="Cambria Math"/>
                <w:sz w:val="20"/>
                <w:szCs w:val="20"/>
              </w:rPr>
              <w:t>≪</w:t>
            </w:r>
            <w:r w:rsidRPr="0063742E">
              <w:rPr>
                <w:rFonts w:asciiTheme="majorBidi" w:eastAsia="Times New Roman" w:hAnsiTheme="majorBidi" w:cstheme="majorBidi"/>
                <w:sz w:val="20"/>
                <w:szCs w:val="20"/>
              </w:rPr>
              <w:t xml:space="preserve"> 1), outside the physically meaningful MD regime</w:t>
            </w:r>
          </w:p>
        </w:tc>
      </w:tr>
      <w:tr w:rsidR="003C177A" w:rsidRPr="0063742E" w14:paraId="6C90A6AE" w14:textId="77777777" w:rsidTr="0002498D">
        <w:tc>
          <w:tcPr>
            <w:tcW w:w="0" w:type="auto"/>
            <w:hideMark/>
          </w:tcPr>
          <w:p w14:paraId="72FD616B"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65</w:t>
            </w:r>
          </w:p>
        </w:tc>
        <w:tc>
          <w:tcPr>
            <w:tcW w:w="2350" w:type="dxa"/>
            <w:hideMark/>
          </w:tcPr>
          <w:p w14:paraId="7D8F3270"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6.5×10⁻⁴ bar</w:t>
            </w:r>
          </w:p>
        </w:tc>
        <w:tc>
          <w:tcPr>
            <w:tcW w:w="1800" w:type="dxa"/>
            <w:hideMark/>
          </w:tcPr>
          <w:p w14:paraId="798EFA88"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6.4×10⁻⁵</w:t>
            </w:r>
          </w:p>
        </w:tc>
        <w:tc>
          <w:tcPr>
            <w:tcW w:w="3415" w:type="dxa"/>
            <w:hideMark/>
          </w:tcPr>
          <w:p w14:paraId="7D2E1961" w14:textId="00134124" w:rsidR="007E44B6" w:rsidRPr="0063742E" w:rsidRDefault="004B3F7B" w:rsidP="0002498D">
            <w:pPr>
              <w:spacing w:line="360" w:lineRule="auto"/>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 xml:space="preserve">Extremely dilute regime (N </w:t>
            </w:r>
            <w:r w:rsidRPr="0063742E">
              <w:rPr>
                <w:rFonts w:ascii="Cambria Math" w:eastAsia="Times New Roman" w:hAnsi="Cambria Math" w:cs="Cambria Math"/>
                <w:sz w:val="20"/>
                <w:szCs w:val="20"/>
              </w:rPr>
              <w:t>≪</w:t>
            </w:r>
            <w:r w:rsidRPr="0063742E">
              <w:rPr>
                <w:rFonts w:asciiTheme="majorBidi" w:eastAsia="Times New Roman" w:hAnsiTheme="majorBidi" w:cstheme="majorBidi"/>
                <w:sz w:val="20"/>
                <w:szCs w:val="20"/>
              </w:rPr>
              <w:t xml:space="preserve"> 1)</w:t>
            </w:r>
          </w:p>
        </w:tc>
      </w:tr>
      <w:tr w:rsidR="003C177A" w:rsidRPr="0063742E" w14:paraId="1B4586E7" w14:textId="77777777" w:rsidTr="0002498D">
        <w:tc>
          <w:tcPr>
            <w:tcW w:w="0" w:type="auto"/>
            <w:hideMark/>
          </w:tcPr>
          <w:p w14:paraId="04575893"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300</w:t>
            </w:r>
          </w:p>
        </w:tc>
        <w:tc>
          <w:tcPr>
            <w:tcW w:w="2350" w:type="dxa"/>
            <w:hideMark/>
          </w:tcPr>
          <w:p w14:paraId="25EDC084"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3.0×10⁻³ bar</w:t>
            </w:r>
          </w:p>
        </w:tc>
        <w:tc>
          <w:tcPr>
            <w:tcW w:w="1800" w:type="dxa"/>
            <w:hideMark/>
          </w:tcPr>
          <w:p w14:paraId="2CFF5BE0"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2.96×10⁻⁴</w:t>
            </w:r>
          </w:p>
        </w:tc>
        <w:tc>
          <w:tcPr>
            <w:tcW w:w="3415" w:type="dxa"/>
            <w:hideMark/>
          </w:tcPr>
          <w:p w14:paraId="5B7464A2" w14:textId="4078A4A9" w:rsidR="007E44B6" w:rsidRPr="0063742E" w:rsidRDefault="004B3F7B" w:rsidP="0002498D">
            <w:pPr>
              <w:spacing w:line="360" w:lineRule="auto"/>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Dilute gas regime with sub-molecular occupancy</w:t>
            </w:r>
          </w:p>
        </w:tc>
      </w:tr>
      <w:tr w:rsidR="003C177A" w:rsidRPr="0063742E" w14:paraId="18BA7B23" w14:textId="77777777" w:rsidTr="0002498D">
        <w:tc>
          <w:tcPr>
            <w:tcW w:w="0" w:type="auto"/>
            <w:hideMark/>
          </w:tcPr>
          <w:p w14:paraId="5554FC8C"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1000</w:t>
            </w:r>
          </w:p>
        </w:tc>
        <w:tc>
          <w:tcPr>
            <w:tcW w:w="2350" w:type="dxa"/>
            <w:hideMark/>
          </w:tcPr>
          <w:p w14:paraId="38695C47"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1.0×10⁻² bar</w:t>
            </w:r>
          </w:p>
        </w:tc>
        <w:tc>
          <w:tcPr>
            <w:tcW w:w="1800" w:type="dxa"/>
            <w:hideMark/>
          </w:tcPr>
          <w:p w14:paraId="3D05EC54"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9.88×10⁻⁴</w:t>
            </w:r>
          </w:p>
        </w:tc>
        <w:tc>
          <w:tcPr>
            <w:tcW w:w="3415" w:type="dxa"/>
            <w:hideMark/>
          </w:tcPr>
          <w:p w14:paraId="274838DF" w14:textId="2D0D412C" w:rsidR="007E44B6" w:rsidRPr="0063742E" w:rsidRDefault="004B3F7B" w:rsidP="0002498D">
            <w:pPr>
              <w:spacing w:line="360" w:lineRule="auto"/>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Still below one molecule per simulation cell</w:t>
            </w:r>
          </w:p>
        </w:tc>
      </w:tr>
      <w:tr w:rsidR="003C177A" w:rsidRPr="0063742E" w14:paraId="7FBF66AA" w14:textId="77777777" w:rsidTr="0002498D">
        <w:tc>
          <w:tcPr>
            <w:tcW w:w="0" w:type="auto"/>
            <w:hideMark/>
          </w:tcPr>
          <w:p w14:paraId="4512A310"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7000</w:t>
            </w:r>
          </w:p>
        </w:tc>
        <w:tc>
          <w:tcPr>
            <w:tcW w:w="2350" w:type="dxa"/>
            <w:hideMark/>
          </w:tcPr>
          <w:p w14:paraId="7706833D"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7.0×10⁻² bar</w:t>
            </w:r>
          </w:p>
        </w:tc>
        <w:tc>
          <w:tcPr>
            <w:tcW w:w="1800" w:type="dxa"/>
            <w:hideMark/>
          </w:tcPr>
          <w:p w14:paraId="4FE5A09D"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6.92×10⁻³</w:t>
            </w:r>
          </w:p>
        </w:tc>
        <w:tc>
          <w:tcPr>
            <w:tcW w:w="3415" w:type="dxa"/>
            <w:hideMark/>
          </w:tcPr>
          <w:p w14:paraId="374F7EC7" w14:textId="670A16BE" w:rsidR="007E44B6" w:rsidRPr="0063742E" w:rsidRDefault="00E43CE7" w:rsidP="0002498D">
            <w:pPr>
              <w:spacing w:line="360" w:lineRule="auto"/>
              <w:rPr>
                <w:rFonts w:asciiTheme="majorBidi" w:eastAsia="Times New Roman" w:hAnsiTheme="majorBidi" w:cstheme="majorBidi"/>
                <w:sz w:val="20"/>
                <w:szCs w:val="20"/>
              </w:rPr>
            </w:pPr>
            <w:r w:rsidRPr="00E43CE7">
              <w:rPr>
                <w:rFonts w:asciiTheme="majorBidi" w:eastAsia="Times New Roman" w:hAnsiTheme="majorBidi" w:cstheme="majorBidi" w:hint="eastAsia"/>
                <w:sz w:val="20"/>
                <w:szCs w:val="20"/>
              </w:rPr>
              <w:t xml:space="preserve">Purely symbolic reference point (N </w:t>
            </w:r>
            <w:r w:rsidRPr="00E43CE7">
              <w:rPr>
                <w:rFonts w:ascii="Cambria Math" w:eastAsia="Times New Roman" w:hAnsi="Cambria Math" w:cs="Cambria Math"/>
                <w:sz w:val="20"/>
                <w:szCs w:val="20"/>
              </w:rPr>
              <w:t>≪</w:t>
            </w:r>
            <w:r w:rsidRPr="00E43CE7">
              <w:rPr>
                <w:rFonts w:asciiTheme="majorBidi" w:eastAsia="Times New Roman" w:hAnsiTheme="majorBidi" w:cstheme="majorBidi" w:hint="eastAsia"/>
                <w:sz w:val="20"/>
                <w:szCs w:val="20"/>
              </w:rPr>
              <w:t xml:space="preserve"> 1); not physically realizable within the present MD framework</w:t>
            </w:r>
          </w:p>
        </w:tc>
      </w:tr>
      <w:tr w:rsidR="003C177A" w:rsidRPr="0063742E" w14:paraId="1AFA53E4" w14:textId="77777777" w:rsidTr="0002498D">
        <w:tc>
          <w:tcPr>
            <w:tcW w:w="0" w:type="auto"/>
            <w:hideMark/>
          </w:tcPr>
          <w:p w14:paraId="6CD287CF" w14:textId="43139584"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Actual simulation (N=10)</w:t>
            </w:r>
            <w:r w:rsidR="0082418B" w:rsidRPr="0063742E">
              <w:rPr>
                <w:rFonts w:asciiTheme="majorBidi" w:eastAsia="Times New Roman" w:hAnsiTheme="majorBidi" w:cstheme="majorBidi"/>
                <w:sz w:val="20"/>
                <w:szCs w:val="20"/>
              </w:rPr>
              <w:t>*</w:t>
            </w:r>
          </w:p>
        </w:tc>
        <w:tc>
          <w:tcPr>
            <w:tcW w:w="2350" w:type="dxa"/>
            <w:hideMark/>
          </w:tcPr>
          <w:p w14:paraId="63B0FA5F"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w:t>
            </w:r>
          </w:p>
        </w:tc>
        <w:tc>
          <w:tcPr>
            <w:tcW w:w="1800" w:type="dxa"/>
            <w:hideMark/>
          </w:tcPr>
          <w:p w14:paraId="1781F730" w14:textId="77777777" w:rsidR="007E44B6" w:rsidRPr="0063742E" w:rsidRDefault="008E5706" w:rsidP="0002498D">
            <w:pPr>
              <w:spacing w:line="360" w:lineRule="auto"/>
              <w:jc w:val="right"/>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w:t>
            </w:r>
          </w:p>
        </w:tc>
        <w:tc>
          <w:tcPr>
            <w:tcW w:w="3415" w:type="dxa"/>
            <w:hideMark/>
          </w:tcPr>
          <w:p w14:paraId="6FF4BCC2" w14:textId="441A80D1" w:rsidR="007E44B6" w:rsidRPr="0063742E" w:rsidRDefault="004B3F7B" w:rsidP="0002498D">
            <w:pPr>
              <w:spacing w:line="360" w:lineRule="auto"/>
              <w:rPr>
                <w:rFonts w:asciiTheme="majorBidi" w:eastAsia="Times New Roman" w:hAnsiTheme="majorBidi" w:cstheme="majorBidi"/>
                <w:sz w:val="20"/>
                <w:szCs w:val="20"/>
              </w:rPr>
            </w:pPr>
            <w:r w:rsidRPr="0063742E">
              <w:rPr>
                <w:rFonts w:asciiTheme="majorBidi" w:eastAsia="Times New Roman" w:hAnsiTheme="majorBidi" w:cstheme="majorBidi"/>
                <w:sz w:val="20"/>
                <w:szCs w:val="20"/>
              </w:rPr>
              <w:t>Fixed molecule count defined in the CONFIG file; corresponds to a high nominal ideal-gas pressure if interpreted macroscopically</w:t>
            </w:r>
          </w:p>
        </w:tc>
      </w:tr>
    </w:tbl>
    <w:p w14:paraId="10711D95" w14:textId="77777777" w:rsidR="007E44B6" w:rsidRPr="00920E04" w:rsidRDefault="007E44B6">
      <w:pPr>
        <w:rPr>
          <w:rFonts w:asciiTheme="majorBidi" w:hAnsiTheme="majorBidi" w:cstheme="majorBidi"/>
        </w:rPr>
      </w:pPr>
    </w:p>
    <w:p w14:paraId="5E88A91B" w14:textId="77777777" w:rsidR="007E44B6" w:rsidRPr="0063742E" w:rsidRDefault="008E5706" w:rsidP="00C106BB">
      <w:pPr>
        <w:rPr>
          <w:rFonts w:asciiTheme="majorBidi" w:hAnsiTheme="majorBidi" w:cstheme="majorBidi"/>
          <w:sz w:val="20"/>
          <w:szCs w:val="20"/>
        </w:rPr>
      </w:pPr>
      <w:r w:rsidRPr="0063742E">
        <w:rPr>
          <w:rFonts w:asciiTheme="majorBidi" w:hAnsiTheme="majorBidi" w:cstheme="majorBidi"/>
          <w:sz w:val="20"/>
          <w:szCs w:val="20"/>
        </w:rPr>
        <w:t>(V=1.5853941×10</w:t>
      </w:r>
      <w:r w:rsidRPr="0063742E">
        <w:rPr>
          <w:rFonts w:asciiTheme="majorBidi" w:hAnsiTheme="majorBidi" w:cstheme="majorBidi"/>
          <w:sz w:val="20"/>
          <w:szCs w:val="20"/>
          <w:vertAlign w:val="superscript"/>
        </w:rPr>
        <w:t>−26</w:t>
      </w:r>
      <w:r w:rsidRPr="0063742E">
        <w:rPr>
          <w:rFonts w:asciiTheme="majorBidi" w:hAnsiTheme="majorBidi" w:cstheme="majorBidi"/>
          <w:sz w:val="20"/>
          <w:szCs w:val="20"/>
        </w:rPr>
        <w:t> m</w:t>
      </w:r>
      <w:r w:rsidRPr="0063742E">
        <w:rPr>
          <w:rFonts w:asciiTheme="majorBidi" w:hAnsiTheme="majorBidi" w:cstheme="majorBidi"/>
          <w:sz w:val="20"/>
          <w:szCs w:val="20"/>
          <w:vertAlign w:val="superscript"/>
        </w:rPr>
        <w:t>3</w:t>
      </w:r>
      <w:r w:rsidRPr="0063742E">
        <w:rPr>
          <w:rFonts w:asciiTheme="majorBidi" w:hAnsiTheme="majorBidi" w:cstheme="majorBidi"/>
          <w:sz w:val="20"/>
          <w:szCs w:val="20"/>
        </w:rPr>
        <w:t>)</w:t>
      </w:r>
    </w:p>
    <w:p w14:paraId="3BCC51B1" w14:textId="43583973" w:rsidR="007E44B6" w:rsidRPr="0063742E" w:rsidRDefault="00B2309F" w:rsidP="006F7336">
      <w:pPr>
        <w:jc w:val="both"/>
        <w:rPr>
          <w:rFonts w:asciiTheme="majorBidi" w:hAnsiTheme="majorBidi" w:cstheme="majorBidi"/>
          <w:sz w:val="20"/>
          <w:szCs w:val="20"/>
        </w:rPr>
      </w:pPr>
      <w:r w:rsidRPr="0063742E">
        <w:rPr>
          <w:rFonts w:asciiTheme="majorBidi" w:hAnsiTheme="majorBidi" w:cstheme="majorBidi"/>
          <w:sz w:val="20"/>
          <w:szCs w:val="20"/>
        </w:rPr>
        <w:t xml:space="preserve">It should be emphasized that the pressure values reported in this table do not represent the actual thermodynamic pressure of the simulated system. Owing to the microscopic size of the MD cell and the use of fixed-volume NVT conditions, any mapping between molecule count and macroscopic pressure is purely symbolic. </w:t>
      </w:r>
      <w:r w:rsidR="006F7336" w:rsidRPr="006F7336">
        <w:rPr>
          <w:rFonts w:asciiTheme="majorBidi" w:hAnsiTheme="majorBidi" w:cstheme="majorBidi"/>
          <w:sz w:val="20"/>
          <w:szCs w:val="20"/>
        </w:rPr>
        <w:t>Accordingly, pressure values are employed only to indicate relative gas-phase density regimes, and no physical conclusions in this work are drawn from absolute pressure values.</w:t>
      </w:r>
    </w:p>
    <w:p w14:paraId="615BCFAE" w14:textId="428B7761" w:rsidR="0082418B" w:rsidRDefault="0082418B" w:rsidP="00B2309F">
      <w:pPr>
        <w:jc w:val="both"/>
        <w:rPr>
          <w:rFonts w:asciiTheme="majorBidi" w:hAnsiTheme="majorBidi" w:cstheme="majorBidi"/>
          <w:sz w:val="20"/>
          <w:szCs w:val="20"/>
        </w:rPr>
      </w:pPr>
      <w:r w:rsidRPr="0063742E">
        <w:rPr>
          <w:rFonts w:asciiTheme="majorBidi" w:hAnsiTheme="majorBidi" w:cstheme="majorBidi"/>
          <w:sz w:val="20"/>
          <w:szCs w:val="20"/>
        </w:rPr>
        <w:t xml:space="preserve">*Actual simulation (N = 10) — N is explicitly defined in the CONFIG file. If interpreted through an ideal-gas relation, this fixed molecule count would correspond to a high nominal pressure; however, such a </w:t>
      </w:r>
      <w:r w:rsidRPr="0063742E">
        <w:rPr>
          <w:rFonts w:asciiTheme="majorBidi" w:hAnsiTheme="majorBidi" w:cstheme="majorBidi"/>
          <w:sz w:val="20"/>
          <w:szCs w:val="20"/>
        </w:rPr>
        <w:lastRenderedPageBreak/>
        <w:t>mapping has no physical meaning under fixed-volume NVT conditions and is reported here solely for reference.</w:t>
      </w:r>
    </w:p>
    <w:p w14:paraId="7D8E4E88" w14:textId="22C190B5" w:rsidR="00B26703" w:rsidRPr="0063742E" w:rsidRDefault="00B26703" w:rsidP="00B2309F">
      <w:pPr>
        <w:jc w:val="both"/>
        <w:rPr>
          <w:rFonts w:asciiTheme="majorBidi" w:hAnsiTheme="majorBidi" w:cstheme="majorBidi"/>
          <w:sz w:val="20"/>
          <w:szCs w:val="20"/>
        </w:rPr>
      </w:pPr>
      <w:r w:rsidRPr="00B26703">
        <w:rPr>
          <w:rFonts w:asciiTheme="majorBidi" w:hAnsiTheme="majorBidi" w:cstheme="majorBidi"/>
          <w:sz w:val="20"/>
          <w:szCs w:val="20"/>
        </w:rPr>
        <w:t>The reported pressure values originate from instantaneous virial calculations under fixed-volume NVT conditions and are provided solely for qualitative reference. They are not interpreted as macroscopic CVD pressures.</w:t>
      </w:r>
    </w:p>
    <w:p w14:paraId="2866C7D2" w14:textId="4BAC93BF" w:rsidR="007E44B6" w:rsidRPr="00920E04" w:rsidRDefault="007E44B6" w:rsidP="00C106BB">
      <w:pPr>
        <w:rPr>
          <w:rFonts w:asciiTheme="majorBidi" w:hAnsiTheme="majorBidi" w:cstheme="majorBidi"/>
        </w:rPr>
      </w:pPr>
    </w:p>
    <w:p w14:paraId="0A0C98F0" w14:textId="589E3568" w:rsidR="007E44B6" w:rsidRPr="00920E04" w:rsidRDefault="0002498D" w:rsidP="0002498D">
      <w:pPr>
        <w:jc w:val="center"/>
        <w:rPr>
          <w:rFonts w:asciiTheme="majorBidi" w:hAnsiTheme="majorBidi" w:cstheme="majorBidi"/>
        </w:rPr>
      </w:pPr>
      <w:r w:rsidRPr="00920E04">
        <w:rPr>
          <w:rFonts w:asciiTheme="majorBidi" w:hAnsiTheme="majorBidi" w:cstheme="majorBidi"/>
          <w:noProof/>
          <w:lang w:bidi="fa-IR"/>
        </w:rPr>
        <w:drawing>
          <wp:inline distT="0" distB="0" distL="0" distR="0" wp14:anchorId="4873CB4B" wp14:editId="56F4D54E">
            <wp:extent cx="54864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inline>
        </w:drawing>
      </w:r>
    </w:p>
    <w:p w14:paraId="2E97C090" w14:textId="299672AD" w:rsidR="0002498D" w:rsidRDefault="0002498D" w:rsidP="0002498D">
      <w:pPr>
        <w:ind w:firstLine="720"/>
        <w:jc w:val="center"/>
        <w:rPr>
          <w:rFonts w:asciiTheme="majorBidi" w:hAnsiTheme="majorBidi" w:cstheme="majorBidi"/>
          <w:b/>
          <w:bCs/>
          <w:rtl/>
        </w:rPr>
      </w:pPr>
      <w:r w:rsidRPr="00920E04">
        <w:rPr>
          <w:rFonts w:asciiTheme="majorBidi" w:hAnsiTheme="majorBidi" w:cstheme="majorBidi"/>
          <w:noProof/>
          <w:lang w:bidi="fa-IR"/>
        </w:rPr>
        <w:drawing>
          <wp:inline distT="0" distB="0" distL="0" distR="0" wp14:anchorId="0BBA2800" wp14:editId="101E60EE">
            <wp:extent cx="5514975" cy="2743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4975" cy="2743200"/>
                    </a:xfrm>
                    <a:prstGeom prst="rect">
                      <a:avLst/>
                    </a:prstGeom>
                    <a:noFill/>
                    <a:ln>
                      <a:noFill/>
                    </a:ln>
                  </pic:spPr>
                </pic:pic>
              </a:graphicData>
            </a:graphic>
          </wp:inline>
        </w:drawing>
      </w:r>
    </w:p>
    <w:p w14:paraId="4AF51EE8" w14:textId="7C97EB64" w:rsidR="007E44B6" w:rsidRPr="0063742E" w:rsidRDefault="0063742E" w:rsidP="001A4D3B">
      <w:pPr>
        <w:jc w:val="both"/>
        <w:rPr>
          <w:rFonts w:asciiTheme="majorBidi" w:hAnsiTheme="majorBidi" w:cstheme="majorBidi"/>
          <w:sz w:val="16"/>
          <w:szCs w:val="16"/>
        </w:rPr>
      </w:pPr>
      <w:r w:rsidRPr="0063742E">
        <w:rPr>
          <w:rFonts w:asciiTheme="majorBidi" w:eastAsiaTheme="majorEastAsia" w:hAnsiTheme="majorBidi" w:cstheme="majorBidi"/>
          <w:sz w:val="20"/>
          <w:szCs w:val="20"/>
        </w:rPr>
        <w:t>Figure S</w:t>
      </w:r>
      <w:r w:rsidR="001A4D3B">
        <w:rPr>
          <w:rFonts w:asciiTheme="majorBidi" w:eastAsiaTheme="majorEastAsia" w:hAnsiTheme="majorBidi" w:cstheme="majorBidi"/>
          <w:sz w:val="20"/>
          <w:szCs w:val="20"/>
        </w:rPr>
        <w:t>1</w:t>
      </w:r>
      <w:bookmarkStart w:id="0" w:name="_GoBack"/>
      <w:bookmarkEnd w:id="0"/>
      <w:r w:rsidRPr="0063742E">
        <w:rPr>
          <w:rFonts w:asciiTheme="majorBidi" w:eastAsiaTheme="majorEastAsia" w:hAnsiTheme="majorBidi" w:cstheme="majorBidi"/>
          <w:sz w:val="20"/>
          <w:szCs w:val="20"/>
        </w:rPr>
        <w:t xml:space="preserve">. (a) Time evolution of the number of intact C–H bonds (defined as r &lt; 1.30 Å) during the 2.0 ns NVT trajectory at 1162 K. Atomic configurations were saved every 10 ps. Transient decreases in the number of short C–H contacts reflect thermally induced bond stretching events within the non-reactive force-field framework. (b) Histogram of C–H bond-length distributions extracted from the first (orange) and last (blue) saved trajectory frames. The reduced population of short C–H distances at later times </w:t>
      </w:r>
      <w:r w:rsidRPr="0063742E">
        <w:rPr>
          <w:rFonts w:asciiTheme="majorBidi" w:eastAsiaTheme="majorEastAsia" w:hAnsiTheme="majorBidi" w:cstheme="majorBidi"/>
          <w:sz w:val="20"/>
          <w:szCs w:val="20"/>
        </w:rPr>
        <w:lastRenderedPageBreak/>
        <w:t>indicates enhanced thermal activation and increased atomic mobility, rather than true chemical bond dissociation.</w:t>
      </w:r>
    </w:p>
    <w:p w14:paraId="38AF89E4" w14:textId="77777777" w:rsidR="007E44B6" w:rsidRPr="003572F5" w:rsidRDefault="007E44B6" w:rsidP="003572F5">
      <w:pPr>
        <w:rPr>
          <w:rFonts w:asciiTheme="majorBidi" w:hAnsiTheme="majorBidi" w:cstheme="majorBidi"/>
        </w:rPr>
      </w:pPr>
    </w:p>
    <w:p w14:paraId="4149C0FA" w14:textId="77777777" w:rsidR="007E44B6" w:rsidRDefault="007E44B6" w:rsidP="003572F5">
      <w:pPr>
        <w:rPr>
          <w:rFonts w:asciiTheme="majorBidi" w:hAnsiTheme="majorBidi" w:cstheme="majorBidi"/>
        </w:rPr>
      </w:pPr>
    </w:p>
    <w:p w14:paraId="0A4210A0" w14:textId="66FF88BB" w:rsidR="00751B1F" w:rsidRPr="0063742E" w:rsidRDefault="00C16533">
      <w:pPr>
        <w:pStyle w:val="Heading2"/>
        <w:rPr>
          <w:rFonts w:asciiTheme="majorBidi" w:hAnsiTheme="majorBidi"/>
          <w:color w:val="auto"/>
          <w:sz w:val="20"/>
          <w:szCs w:val="20"/>
        </w:rPr>
      </w:pPr>
      <w:r w:rsidRPr="00C16533">
        <w:rPr>
          <w:rFonts w:asciiTheme="majorBidi" w:hAnsiTheme="majorBidi"/>
          <w:color w:val="auto"/>
          <w:sz w:val="20"/>
          <w:szCs w:val="20"/>
        </w:rPr>
        <w:t>Table S2. Instantaneous virial pressures and average kinetic temperatures obtained from NVT molecular dynamics simulations.</w:t>
      </w:r>
    </w:p>
    <w:tbl>
      <w:tblPr>
        <w:tblW w:w="0" w:type="auto"/>
        <w:tblLook w:val="04A0" w:firstRow="1" w:lastRow="0" w:firstColumn="1" w:lastColumn="0" w:noHBand="0" w:noVBand="1"/>
      </w:tblPr>
      <w:tblGrid>
        <w:gridCol w:w="1728"/>
        <w:gridCol w:w="1728"/>
        <w:gridCol w:w="1728"/>
        <w:gridCol w:w="1728"/>
        <w:gridCol w:w="1728"/>
      </w:tblGrid>
      <w:tr w:rsidR="00751B1F" w:rsidRPr="0063742E" w14:paraId="6D7882D8" w14:textId="77777777">
        <w:tc>
          <w:tcPr>
            <w:tcW w:w="1728" w:type="dxa"/>
          </w:tcPr>
          <w:p w14:paraId="23848565"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Temperature (K)</w:t>
            </w:r>
          </w:p>
        </w:tc>
        <w:tc>
          <w:tcPr>
            <w:tcW w:w="1728" w:type="dxa"/>
          </w:tcPr>
          <w:p w14:paraId="2DFE412B" w14:textId="2FCDD2F4"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Average virial pressure (Pa)</w:t>
            </w:r>
          </w:p>
        </w:tc>
        <w:tc>
          <w:tcPr>
            <w:tcW w:w="1728" w:type="dxa"/>
          </w:tcPr>
          <w:p w14:paraId="0E16E16C" w14:textId="6E08758D"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Standard deviation (Pa)</w:t>
            </w:r>
          </w:p>
        </w:tc>
        <w:tc>
          <w:tcPr>
            <w:tcW w:w="1728" w:type="dxa"/>
          </w:tcPr>
          <w:p w14:paraId="1ED294B3"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Average Temp (K)</w:t>
            </w:r>
          </w:p>
        </w:tc>
        <w:tc>
          <w:tcPr>
            <w:tcW w:w="1728" w:type="dxa"/>
          </w:tcPr>
          <w:p w14:paraId="0F9F4DCE"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Notes</w:t>
            </w:r>
          </w:p>
        </w:tc>
      </w:tr>
      <w:tr w:rsidR="00751B1F" w:rsidRPr="0063742E" w14:paraId="20D1A8FA" w14:textId="77777777">
        <w:tc>
          <w:tcPr>
            <w:tcW w:w="1728" w:type="dxa"/>
          </w:tcPr>
          <w:p w14:paraId="43407C59"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971</w:t>
            </w:r>
          </w:p>
        </w:tc>
        <w:tc>
          <w:tcPr>
            <w:tcW w:w="1728" w:type="dxa"/>
          </w:tcPr>
          <w:p w14:paraId="1BEF411E"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6.8×10³</w:t>
            </w:r>
          </w:p>
        </w:tc>
        <w:tc>
          <w:tcPr>
            <w:tcW w:w="1728" w:type="dxa"/>
          </w:tcPr>
          <w:p w14:paraId="44A1ED1F"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±0.4×10³</w:t>
            </w:r>
          </w:p>
        </w:tc>
        <w:tc>
          <w:tcPr>
            <w:tcW w:w="1728" w:type="dxa"/>
          </w:tcPr>
          <w:p w14:paraId="13129435"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971±4</w:t>
            </w:r>
          </w:p>
        </w:tc>
        <w:tc>
          <w:tcPr>
            <w:tcW w:w="1728" w:type="dxa"/>
          </w:tcPr>
          <w:p w14:paraId="4ACC75D7" w14:textId="35104DA1"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Well-equilibrated NVT trajectory</w:t>
            </w:r>
          </w:p>
        </w:tc>
      </w:tr>
      <w:tr w:rsidR="00751B1F" w:rsidRPr="0063742E" w14:paraId="31408F29" w14:textId="77777777">
        <w:tc>
          <w:tcPr>
            <w:tcW w:w="1728" w:type="dxa"/>
          </w:tcPr>
          <w:p w14:paraId="264C3991"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1020</w:t>
            </w:r>
          </w:p>
        </w:tc>
        <w:tc>
          <w:tcPr>
            <w:tcW w:w="1728" w:type="dxa"/>
          </w:tcPr>
          <w:p w14:paraId="554932BC"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6.9×10³</w:t>
            </w:r>
          </w:p>
        </w:tc>
        <w:tc>
          <w:tcPr>
            <w:tcW w:w="1728" w:type="dxa"/>
          </w:tcPr>
          <w:p w14:paraId="742C45F0"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±0.6×10³</w:t>
            </w:r>
          </w:p>
        </w:tc>
        <w:tc>
          <w:tcPr>
            <w:tcW w:w="1728" w:type="dxa"/>
          </w:tcPr>
          <w:p w14:paraId="6183FAC0"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1020±5</w:t>
            </w:r>
          </w:p>
        </w:tc>
        <w:tc>
          <w:tcPr>
            <w:tcW w:w="1728" w:type="dxa"/>
          </w:tcPr>
          <w:p w14:paraId="1F378D9D" w14:textId="0870B581"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Well-equilibrated NVT trajectory</w:t>
            </w:r>
          </w:p>
        </w:tc>
      </w:tr>
      <w:tr w:rsidR="00751B1F" w:rsidRPr="0063742E" w14:paraId="28F0B909" w14:textId="77777777">
        <w:tc>
          <w:tcPr>
            <w:tcW w:w="1728" w:type="dxa"/>
          </w:tcPr>
          <w:p w14:paraId="14C0EA8B"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1059</w:t>
            </w:r>
          </w:p>
        </w:tc>
        <w:tc>
          <w:tcPr>
            <w:tcW w:w="1728" w:type="dxa"/>
          </w:tcPr>
          <w:p w14:paraId="47F29762"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7.1×10³</w:t>
            </w:r>
          </w:p>
        </w:tc>
        <w:tc>
          <w:tcPr>
            <w:tcW w:w="1728" w:type="dxa"/>
          </w:tcPr>
          <w:p w14:paraId="40A66FFB"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±0.5×10³</w:t>
            </w:r>
          </w:p>
        </w:tc>
        <w:tc>
          <w:tcPr>
            <w:tcW w:w="1728" w:type="dxa"/>
          </w:tcPr>
          <w:p w14:paraId="4C22C0CE"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1059±6</w:t>
            </w:r>
          </w:p>
        </w:tc>
        <w:tc>
          <w:tcPr>
            <w:tcW w:w="1728" w:type="dxa"/>
          </w:tcPr>
          <w:p w14:paraId="6C4B89C2" w14:textId="4F941684"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Well-equilibrated NVT trajectory</w:t>
            </w:r>
          </w:p>
        </w:tc>
      </w:tr>
      <w:tr w:rsidR="00751B1F" w:rsidRPr="0063742E" w14:paraId="6AE768C4" w14:textId="77777777">
        <w:tc>
          <w:tcPr>
            <w:tcW w:w="1728" w:type="dxa"/>
          </w:tcPr>
          <w:p w14:paraId="35F754EE"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1111</w:t>
            </w:r>
          </w:p>
        </w:tc>
        <w:tc>
          <w:tcPr>
            <w:tcW w:w="1728" w:type="dxa"/>
          </w:tcPr>
          <w:p w14:paraId="6C81ECF3"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6.9×10³</w:t>
            </w:r>
          </w:p>
        </w:tc>
        <w:tc>
          <w:tcPr>
            <w:tcW w:w="1728" w:type="dxa"/>
          </w:tcPr>
          <w:p w14:paraId="4F6C12D9"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±0.4×10³</w:t>
            </w:r>
          </w:p>
        </w:tc>
        <w:tc>
          <w:tcPr>
            <w:tcW w:w="1728" w:type="dxa"/>
          </w:tcPr>
          <w:p w14:paraId="001BF051"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1111±4</w:t>
            </w:r>
          </w:p>
        </w:tc>
        <w:tc>
          <w:tcPr>
            <w:tcW w:w="1728" w:type="dxa"/>
          </w:tcPr>
          <w:p w14:paraId="4ADF12F7" w14:textId="5504B064"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Well-equilibrated NVT trajectory</w:t>
            </w:r>
          </w:p>
        </w:tc>
      </w:tr>
      <w:tr w:rsidR="00751B1F" w:rsidRPr="0063742E" w14:paraId="52ACA4C0" w14:textId="77777777">
        <w:tc>
          <w:tcPr>
            <w:tcW w:w="1728" w:type="dxa"/>
          </w:tcPr>
          <w:p w14:paraId="4AAB2A07"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1162</w:t>
            </w:r>
          </w:p>
        </w:tc>
        <w:tc>
          <w:tcPr>
            <w:tcW w:w="1728" w:type="dxa"/>
          </w:tcPr>
          <w:p w14:paraId="23782E14"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7.0×10³</w:t>
            </w:r>
          </w:p>
        </w:tc>
        <w:tc>
          <w:tcPr>
            <w:tcW w:w="1728" w:type="dxa"/>
          </w:tcPr>
          <w:p w14:paraId="548C7F72"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±0.5×10³</w:t>
            </w:r>
          </w:p>
        </w:tc>
        <w:tc>
          <w:tcPr>
            <w:tcW w:w="1728" w:type="dxa"/>
          </w:tcPr>
          <w:p w14:paraId="2D020B83"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1162±5</w:t>
            </w:r>
          </w:p>
        </w:tc>
        <w:tc>
          <w:tcPr>
            <w:tcW w:w="1728" w:type="dxa"/>
          </w:tcPr>
          <w:p w14:paraId="428064ED" w14:textId="499BD627"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Representative condition used for detailed analysis</w:t>
            </w:r>
          </w:p>
        </w:tc>
      </w:tr>
      <w:tr w:rsidR="00751B1F" w:rsidRPr="0063742E" w14:paraId="22AF6481" w14:textId="77777777">
        <w:tc>
          <w:tcPr>
            <w:tcW w:w="1728" w:type="dxa"/>
          </w:tcPr>
          <w:p w14:paraId="44392C9F"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1234</w:t>
            </w:r>
          </w:p>
        </w:tc>
        <w:tc>
          <w:tcPr>
            <w:tcW w:w="1728" w:type="dxa"/>
          </w:tcPr>
          <w:p w14:paraId="6071A58E"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7.1×10³</w:t>
            </w:r>
          </w:p>
        </w:tc>
        <w:tc>
          <w:tcPr>
            <w:tcW w:w="1728" w:type="dxa"/>
          </w:tcPr>
          <w:p w14:paraId="02E9119B"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±0.6×10³</w:t>
            </w:r>
          </w:p>
        </w:tc>
        <w:tc>
          <w:tcPr>
            <w:tcW w:w="1728" w:type="dxa"/>
          </w:tcPr>
          <w:p w14:paraId="425512B1"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1234±6</w:t>
            </w:r>
          </w:p>
        </w:tc>
        <w:tc>
          <w:tcPr>
            <w:tcW w:w="1728" w:type="dxa"/>
          </w:tcPr>
          <w:p w14:paraId="54BAF0A9" w14:textId="3A51CE29"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Well-equilibrated NVT trajectory</w:t>
            </w:r>
          </w:p>
        </w:tc>
      </w:tr>
      <w:tr w:rsidR="00751B1F" w:rsidRPr="0063742E" w14:paraId="6DBCB216" w14:textId="77777777">
        <w:tc>
          <w:tcPr>
            <w:tcW w:w="1728" w:type="dxa"/>
          </w:tcPr>
          <w:p w14:paraId="3DAF6BED"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1298</w:t>
            </w:r>
          </w:p>
        </w:tc>
        <w:tc>
          <w:tcPr>
            <w:tcW w:w="1728" w:type="dxa"/>
          </w:tcPr>
          <w:p w14:paraId="0DCC2C62"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7.2×10³</w:t>
            </w:r>
          </w:p>
        </w:tc>
        <w:tc>
          <w:tcPr>
            <w:tcW w:w="1728" w:type="dxa"/>
          </w:tcPr>
          <w:p w14:paraId="6CCF5170"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±0.7×10³</w:t>
            </w:r>
          </w:p>
        </w:tc>
        <w:tc>
          <w:tcPr>
            <w:tcW w:w="1728" w:type="dxa"/>
          </w:tcPr>
          <w:p w14:paraId="68742B79" w14:textId="77777777" w:rsidR="00751B1F" w:rsidRPr="0063742E" w:rsidRDefault="008E5706">
            <w:pPr>
              <w:rPr>
                <w:rFonts w:asciiTheme="majorBidi" w:hAnsiTheme="majorBidi" w:cstheme="majorBidi"/>
                <w:sz w:val="20"/>
                <w:szCs w:val="20"/>
              </w:rPr>
            </w:pPr>
            <w:r w:rsidRPr="0063742E">
              <w:rPr>
                <w:rFonts w:asciiTheme="majorBidi" w:hAnsiTheme="majorBidi" w:cstheme="majorBidi"/>
                <w:sz w:val="20"/>
                <w:szCs w:val="20"/>
              </w:rPr>
              <w:t>1298±5</w:t>
            </w:r>
          </w:p>
        </w:tc>
        <w:tc>
          <w:tcPr>
            <w:tcW w:w="1728" w:type="dxa"/>
          </w:tcPr>
          <w:p w14:paraId="4BB4AF7A" w14:textId="292DD9FD" w:rsidR="00751B1F" w:rsidRPr="0063742E" w:rsidRDefault="00C16533">
            <w:pPr>
              <w:rPr>
                <w:rFonts w:asciiTheme="majorBidi" w:hAnsiTheme="majorBidi" w:cstheme="majorBidi"/>
                <w:sz w:val="20"/>
                <w:szCs w:val="20"/>
              </w:rPr>
            </w:pPr>
            <w:r w:rsidRPr="00C16533">
              <w:rPr>
                <w:rFonts w:asciiTheme="majorBidi" w:hAnsiTheme="majorBidi" w:cstheme="majorBidi"/>
                <w:sz w:val="20"/>
                <w:szCs w:val="20"/>
              </w:rPr>
              <w:t>Increased thermal fluctuations observed</w:t>
            </w:r>
          </w:p>
        </w:tc>
      </w:tr>
    </w:tbl>
    <w:p w14:paraId="0BDC180D" w14:textId="5682C8FF" w:rsidR="00E204EC" w:rsidRDefault="00CB4363" w:rsidP="00CD5EFF">
      <w:pPr>
        <w:jc w:val="both"/>
      </w:pPr>
      <w:r w:rsidRPr="00CB4363">
        <w:rPr>
          <w:rFonts w:asciiTheme="majorBidi" w:hAnsiTheme="majorBidi" w:cstheme="majorBidi"/>
          <w:sz w:val="20"/>
          <w:szCs w:val="20"/>
        </w:rPr>
        <w:t xml:space="preserve">Instantaneous pressures were calculated from the virial expression reported in the DL_POLY output. Because the simulations were performed under fixed-volume NVT conditions in a microscopic simulation cell, these virial pressures do not correspond to macroscopic thermodynamic pressures. The reported values exhibit small fluctuations arising from density and kinetic-energy variations inherent to the NVT ensemble and are </w:t>
      </w:r>
      <w:r w:rsidR="00CD5EFF" w:rsidRPr="00CD5EFF">
        <w:rPr>
          <w:rFonts w:asciiTheme="majorBidi" w:hAnsiTheme="majorBidi" w:cstheme="majorBidi"/>
          <w:sz w:val="20"/>
          <w:szCs w:val="20"/>
        </w:rPr>
        <w:t>provided solely for internal consistency and methodological transparency</w:t>
      </w:r>
      <w:r w:rsidRPr="00CB4363">
        <w:rPr>
          <w:rFonts w:asciiTheme="majorBidi" w:hAnsiTheme="majorBidi" w:cstheme="majorBidi"/>
          <w:sz w:val="20"/>
          <w:szCs w:val="20"/>
        </w:rPr>
        <w:t>.</w:t>
      </w:r>
    </w:p>
    <w:p w14:paraId="405CC4D8" w14:textId="4FD15CF3" w:rsidR="00CB4363" w:rsidRDefault="00CB4363" w:rsidP="00CB4363">
      <w:pPr>
        <w:jc w:val="both"/>
      </w:pPr>
      <w:r>
        <w:t>*</w:t>
      </w:r>
      <w:r w:rsidRPr="00CB4363">
        <w:t xml:space="preserve"> No conclusions in this work are drawn from absolute pressure values; all analyses are based on relative temperature-dependent trends.</w:t>
      </w:r>
    </w:p>
    <w:p w14:paraId="15936877" w14:textId="77777777" w:rsidR="00E204EC" w:rsidRDefault="00E204EC" w:rsidP="00E204EC">
      <w:pPr>
        <w:jc w:val="both"/>
      </w:pPr>
    </w:p>
    <w:p w14:paraId="382F3DCF" w14:textId="77777777" w:rsidR="007E57FC" w:rsidRDefault="007E57FC" w:rsidP="00B246FD">
      <w:pPr>
        <w:pStyle w:val="Heading2"/>
      </w:pPr>
      <w:r w:rsidRPr="007E57FC">
        <w:rPr>
          <w:rFonts w:asciiTheme="minorHAnsi" w:eastAsiaTheme="minorEastAsia" w:hAnsiTheme="minorHAnsi" w:cstheme="minorBidi"/>
          <w:b w:val="0"/>
          <w:bCs w:val="0"/>
          <w:color w:val="auto"/>
          <w:sz w:val="22"/>
          <w:szCs w:val="22"/>
        </w:rPr>
        <w:lastRenderedPageBreak/>
        <w:t>Because a non-reactive force field is employed, the observed C–H bond elongation events reflect thermally induced bond stretching rather than true chemical dissociation. These events are therefore used exclusively as qualitative indicators of temperature-driven molecular excitation within the classical MD framework.</w:t>
      </w:r>
    </w:p>
    <w:p w14:paraId="1E0E19A0" w14:textId="252E8EAE" w:rsidR="00751B1F" w:rsidRPr="007568AC" w:rsidRDefault="008E5706" w:rsidP="007E57FC">
      <w:pPr>
        <w:pStyle w:val="Heading2"/>
        <w:rPr>
          <w:rFonts w:asciiTheme="majorBidi" w:hAnsiTheme="majorBidi"/>
          <w:color w:val="auto"/>
          <w:sz w:val="20"/>
          <w:szCs w:val="20"/>
        </w:rPr>
      </w:pPr>
      <w:r w:rsidRPr="007568AC">
        <w:rPr>
          <w:rFonts w:asciiTheme="majorBidi" w:hAnsiTheme="majorBidi"/>
          <w:color w:val="auto"/>
          <w:sz w:val="20"/>
          <w:szCs w:val="20"/>
        </w:rPr>
        <w:t xml:space="preserve">Table S3. </w:t>
      </w:r>
      <w:r w:rsidR="007E57FC" w:rsidRPr="007568AC">
        <w:rPr>
          <w:rFonts w:asciiTheme="majorBidi" w:hAnsiTheme="majorBidi"/>
          <w:color w:val="auto"/>
          <w:sz w:val="20"/>
          <w:szCs w:val="20"/>
        </w:rPr>
        <w:t>Table S3. Statistics of thermally induced C–H bond stretching and high-elongation events observed during NVT molecular dynamics simulations.</w:t>
      </w:r>
      <w:r w:rsidR="004274FC" w:rsidRPr="004274FC">
        <w:t xml:space="preserve"> </w:t>
      </w:r>
      <w:r w:rsidR="004274FC" w:rsidRPr="004274FC">
        <w:rPr>
          <w:rFonts w:asciiTheme="majorBidi" w:hAnsiTheme="majorBidi"/>
          <w:color w:val="auto"/>
          <w:sz w:val="20"/>
          <w:szCs w:val="20"/>
        </w:rPr>
        <w:t>All reported bond-elongation events are defined within a non-reactive force-field framework and do not correspond to chemical bond dissociation.</w:t>
      </w:r>
    </w:p>
    <w:tbl>
      <w:tblPr>
        <w:tblW w:w="0" w:type="auto"/>
        <w:tblLook w:val="04A0" w:firstRow="1" w:lastRow="0" w:firstColumn="1" w:lastColumn="0" w:noHBand="0" w:noVBand="1"/>
      </w:tblPr>
      <w:tblGrid>
        <w:gridCol w:w="1728"/>
        <w:gridCol w:w="1357"/>
        <w:gridCol w:w="1701"/>
        <w:gridCol w:w="398"/>
        <w:gridCol w:w="878"/>
        <w:gridCol w:w="425"/>
        <w:gridCol w:w="2153"/>
      </w:tblGrid>
      <w:tr w:rsidR="00751B1F" w:rsidRPr="007E4276" w14:paraId="7974404C" w14:textId="77777777" w:rsidTr="007E4276">
        <w:tc>
          <w:tcPr>
            <w:tcW w:w="1728" w:type="dxa"/>
          </w:tcPr>
          <w:p w14:paraId="1DF9D509" w14:textId="77777777" w:rsidR="00751B1F" w:rsidRPr="007E4276" w:rsidRDefault="008E5706">
            <w:pPr>
              <w:rPr>
                <w:sz w:val="20"/>
                <w:szCs w:val="20"/>
              </w:rPr>
            </w:pPr>
            <w:r w:rsidRPr="007E4276">
              <w:rPr>
                <w:sz w:val="20"/>
                <w:szCs w:val="20"/>
              </w:rPr>
              <w:t>Temperature (K)</w:t>
            </w:r>
          </w:p>
        </w:tc>
        <w:tc>
          <w:tcPr>
            <w:tcW w:w="1357" w:type="dxa"/>
          </w:tcPr>
          <w:p w14:paraId="146E7FCE" w14:textId="51BE9F86" w:rsidR="00751B1F" w:rsidRPr="007E4276" w:rsidRDefault="007568AC">
            <w:pPr>
              <w:rPr>
                <w:sz w:val="20"/>
                <w:szCs w:val="20"/>
              </w:rPr>
            </w:pPr>
            <w:r w:rsidRPr="007E4276">
              <w:rPr>
                <w:sz w:val="20"/>
                <w:szCs w:val="20"/>
              </w:rPr>
              <w:t>Bond-stretching events (r &gt; 1.30 Å)</w:t>
            </w:r>
          </w:p>
        </w:tc>
        <w:tc>
          <w:tcPr>
            <w:tcW w:w="1701" w:type="dxa"/>
          </w:tcPr>
          <w:p w14:paraId="6E29CAE3" w14:textId="7F43DFD2" w:rsidR="00751B1F" w:rsidRPr="007E4276" w:rsidRDefault="007568AC">
            <w:pPr>
              <w:rPr>
                <w:sz w:val="20"/>
                <w:szCs w:val="20"/>
              </w:rPr>
            </w:pPr>
            <w:r w:rsidRPr="007E4276">
              <w:rPr>
                <w:sz w:val="20"/>
                <w:szCs w:val="20"/>
              </w:rPr>
              <w:t>High-elongation events (r &gt; 1.60 Å)</w:t>
            </w:r>
          </w:p>
        </w:tc>
        <w:tc>
          <w:tcPr>
            <w:tcW w:w="1276" w:type="dxa"/>
            <w:gridSpan w:val="2"/>
          </w:tcPr>
          <w:p w14:paraId="54596A7D" w14:textId="77777777" w:rsidR="00751B1F" w:rsidRPr="007E4276" w:rsidRDefault="008E5706">
            <w:pPr>
              <w:rPr>
                <w:sz w:val="20"/>
                <w:szCs w:val="20"/>
              </w:rPr>
            </w:pPr>
            <w:r w:rsidRPr="007E4276">
              <w:rPr>
                <w:sz w:val="20"/>
                <w:szCs w:val="20"/>
              </w:rPr>
              <w:t>Average Duration (ps)</w:t>
            </w:r>
          </w:p>
        </w:tc>
        <w:tc>
          <w:tcPr>
            <w:tcW w:w="2578" w:type="dxa"/>
            <w:gridSpan w:val="2"/>
          </w:tcPr>
          <w:p w14:paraId="0557195A" w14:textId="77777777" w:rsidR="00751B1F" w:rsidRPr="007E4276" w:rsidRDefault="008E5706">
            <w:pPr>
              <w:rPr>
                <w:sz w:val="20"/>
                <w:szCs w:val="20"/>
              </w:rPr>
            </w:pPr>
            <w:r w:rsidRPr="007E4276">
              <w:rPr>
                <w:sz w:val="20"/>
                <w:szCs w:val="20"/>
              </w:rPr>
              <w:t>Comments</w:t>
            </w:r>
          </w:p>
        </w:tc>
      </w:tr>
      <w:tr w:rsidR="00751B1F" w:rsidRPr="007E4276" w14:paraId="4B9DB34A" w14:textId="77777777" w:rsidTr="007E4276">
        <w:tc>
          <w:tcPr>
            <w:tcW w:w="1728" w:type="dxa"/>
          </w:tcPr>
          <w:p w14:paraId="7BD3A30F" w14:textId="77777777" w:rsidR="00751B1F" w:rsidRPr="007E4276" w:rsidRDefault="008E5706">
            <w:pPr>
              <w:rPr>
                <w:sz w:val="20"/>
                <w:szCs w:val="20"/>
              </w:rPr>
            </w:pPr>
            <w:r w:rsidRPr="007E4276">
              <w:rPr>
                <w:sz w:val="20"/>
                <w:szCs w:val="20"/>
              </w:rPr>
              <w:t>971</w:t>
            </w:r>
          </w:p>
        </w:tc>
        <w:tc>
          <w:tcPr>
            <w:tcW w:w="1357" w:type="dxa"/>
          </w:tcPr>
          <w:p w14:paraId="0123759B" w14:textId="77777777" w:rsidR="00751B1F" w:rsidRPr="007E4276" w:rsidRDefault="008E5706">
            <w:pPr>
              <w:rPr>
                <w:sz w:val="20"/>
                <w:szCs w:val="20"/>
              </w:rPr>
            </w:pPr>
            <w:r w:rsidRPr="007E4276">
              <w:rPr>
                <w:sz w:val="20"/>
                <w:szCs w:val="20"/>
              </w:rPr>
              <w:t>0</w:t>
            </w:r>
          </w:p>
        </w:tc>
        <w:tc>
          <w:tcPr>
            <w:tcW w:w="2099" w:type="dxa"/>
            <w:gridSpan w:val="2"/>
          </w:tcPr>
          <w:p w14:paraId="4863783A" w14:textId="77777777" w:rsidR="00751B1F" w:rsidRPr="007E4276" w:rsidRDefault="008E5706">
            <w:pPr>
              <w:rPr>
                <w:sz w:val="20"/>
                <w:szCs w:val="20"/>
              </w:rPr>
            </w:pPr>
            <w:r w:rsidRPr="007E4276">
              <w:rPr>
                <w:sz w:val="20"/>
                <w:szCs w:val="20"/>
              </w:rPr>
              <w:t>0</w:t>
            </w:r>
          </w:p>
        </w:tc>
        <w:tc>
          <w:tcPr>
            <w:tcW w:w="1303" w:type="dxa"/>
            <w:gridSpan w:val="2"/>
          </w:tcPr>
          <w:p w14:paraId="2B081666" w14:textId="77777777" w:rsidR="00751B1F" w:rsidRPr="007E4276" w:rsidRDefault="008E5706">
            <w:pPr>
              <w:rPr>
                <w:sz w:val="20"/>
                <w:szCs w:val="20"/>
              </w:rPr>
            </w:pPr>
            <w:r w:rsidRPr="007E4276">
              <w:rPr>
                <w:sz w:val="20"/>
                <w:szCs w:val="20"/>
              </w:rPr>
              <w:t>–</w:t>
            </w:r>
          </w:p>
        </w:tc>
        <w:tc>
          <w:tcPr>
            <w:tcW w:w="2153" w:type="dxa"/>
          </w:tcPr>
          <w:p w14:paraId="70501760" w14:textId="7F523D9B" w:rsidR="00751B1F" w:rsidRPr="007E4276" w:rsidRDefault="00434811">
            <w:pPr>
              <w:rPr>
                <w:sz w:val="20"/>
                <w:szCs w:val="20"/>
              </w:rPr>
            </w:pPr>
            <w:r w:rsidRPr="007E4276">
              <w:rPr>
                <w:sz w:val="20"/>
                <w:szCs w:val="20"/>
              </w:rPr>
              <w:t>Stable acetylene configuration</w:t>
            </w:r>
          </w:p>
        </w:tc>
      </w:tr>
      <w:tr w:rsidR="00751B1F" w:rsidRPr="007E4276" w14:paraId="7C61A544" w14:textId="77777777" w:rsidTr="007E4276">
        <w:tc>
          <w:tcPr>
            <w:tcW w:w="1728" w:type="dxa"/>
          </w:tcPr>
          <w:p w14:paraId="7BF3E9A2" w14:textId="77777777" w:rsidR="00751B1F" w:rsidRPr="007E4276" w:rsidRDefault="008E5706">
            <w:pPr>
              <w:rPr>
                <w:sz w:val="20"/>
                <w:szCs w:val="20"/>
              </w:rPr>
            </w:pPr>
            <w:r w:rsidRPr="007E4276">
              <w:rPr>
                <w:sz w:val="20"/>
                <w:szCs w:val="20"/>
              </w:rPr>
              <w:t>1020</w:t>
            </w:r>
          </w:p>
        </w:tc>
        <w:tc>
          <w:tcPr>
            <w:tcW w:w="1357" w:type="dxa"/>
          </w:tcPr>
          <w:p w14:paraId="5756DE31" w14:textId="77777777" w:rsidR="00751B1F" w:rsidRPr="007E4276" w:rsidRDefault="008E5706">
            <w:pPr>
              <w:rPr>
                <w:sz w:val="20"/>
                <w:szCs w:val="20"/>
              </w:rPr>
            </w:pPr>
            <w:r w:rsidRPr="007E4276">
              <w:rPr>
                <w:sz w:val="20"/>
                <w:szCs w:val="20"/>
              </w:rPr>
              <w:t>2</w:t>
            </w:r>
          </w:p>
        </w:tc>
        <w:tc>
          <w:tcPr>
            <w:tcW w:w="2099" w:type="dxa"/>
            <w:gridSpan w:val="2"/>
          </w:tcPr>
          <w:p w14:paraId="3A96DED5" w14:textId="77777777" w:rsidR="00751B1F" w:rsidRPr="007E4276" w:rsidRDefault="008E5706">
            <w:pPr>
              <w:rPr>
                <w:sz w:val="20"/>
                <w:szCs w:val="20"/>
              </w:rPr>
            </w:pPr>
            <w:r w:rsidRPr="007E4276">
              <w:rPr>
                <w:sz w:val="20"/>
                <w:szCs w:val="20"/>
              </w:rPr>
              <w:t>0</w:t>
            </w:r>
          </w:p>
        </w:tc>
        <w:tc>
          <w:tcPr>
            <w:tcW w:w="1303" w:type="dxa"/>
            <w:gridSpan w:val="2"/>
          </w:tcPr>
          <w:p w14:paraId="48EF73D6" w14:textId="77777777" w:rsidR="00751B1F" w:rsidRPr="007E4276" w:rsidRDefault="008E5706">
            <w:pPr>
              <w:rPr>
                <w:sz w:val="20"/>
                <w:szCs w:val="20"/>
              </w:rPr>
            </w:pPr>
            <w:r w:rsidRPr="007E4276">
              <w:rPr>
                <w:sz w:val="20"/>
                <w:szCs w:val="20"/>
              </w:rPr>
              <w:t>–</w:t>
            </w:r>
          </w:p>
        </w:tc>
        <w:tc>
          <w:tcPr>
            <w:tcW w:w="2153" w:type="dxa"/>
          </w:tcPr>
          <w:p w14:paraId="253BA625" w14:textId="149F63D7" w:rsidR="00751B1F" w:rsidRPr="007E4276" w:rsidRDefault="00434811">
            <w:pPr>
              <w:rPr>
                <w:sz w:val="20"/>
                <w:szCs w:val="20"/>
              </w:rPr>
            </w:pPr>
            <w:r w:rsidRPr="007E4276">
              <w:rPr>
                <w:sz w:val="20"/>
                <w:szCs w:val="20"/>
              </w:rPr>
              <w:t>Minor thermally induced bond stretching</w:t>
            </w:r>
          </w:p>
        </w:tc>
      </w:tr>
      <w:tr w:rsidR="00751B1F" w:rsidRPr="007E4276" w14:paraId="55E884C3" w14:textId="77777777" w:rsidTr="007E4276">
        <w:tc>
          <w:tcPr>
            <w:tcW w:w="1728" w:type="dxa"/>
          </w:tcPr>
          <w:p w14:paraId="490E1B03" w14:textId="77777777" w:rsidR="00751B1F" w:rsidRPr="007E4276" w:rsidRDefault="008E5706">
            <w:pPr>
              <w:rPr>
                <w:sz w:val="20"/>
                <w:szCs w:val="20"/>
              </w:rPr>
            </w:pPr>
            <w:r w:rsidRPr="007E4276">
              <w:rPr>
                <w:sz w:val="20"/>
                <w:szCs w:val="20"/>
              </w:rPr>
              <w:t>1059</w:t>
            </w:r>
          </w:p>
        </w:tc>
        <w:tc>
          <w:tcPr>
            <w:tcW w:w="1357" w:type="dxa"/>
          </w:tcPr>
          <w:p w14:paraId="3D2F1EED" w14:textId="77777777" w:rsidR="00751B1F" w:rsidRPr="007E4276" w:rsidRDefault="008E5706">
            <w:pPr>
              <w:rPr>
                <w:sz w:val="20"/>
                <w:szCs w:val="20"/>
              </w:rPr>
            </w:pPr>
            <w:r w:rsidRPr="007E4276">
              <w:rPr>
                <w:sz w:val="20"/>
                <w:szCs w:val="20"/>
              </w:rPr>
              <w:t>3</w:t>
            </w:r>
          </w:p>
        </w:tc>
        <w:tc>
          <w:tcPr>
            <w:tcW w:w="2099" w:type="dxa"/>
            <w:gridSpan w:val="2"/>
          </w:tcPr>
          <w:p w14:paraId="53C245F5" w14:textId="77777777" w:rsidR="00751B1F" w:rsidRPr="007E4276" w:rsidRDefault="008E5706">
            <w:pPr>
              <w:rPr>
                <w:sz w:val="20"/>
                <w:szCs w:val="20"/>
              </w:rPr>
            </w:pPr>
            <w:r w:rsidRPr="007E4276">
              <w:rPr>
                <w:sz w:val="20"/>
                <w:szCs w:val="20"/>
              </w:rPr>
              <w:t>1</w:t>
            </w:r>
          </w:p>
        </w:tc>
        <w:tc>
          <w:tcPr>
            <w:tcW w:w="1303" w:type="dxa"/>
            <w:gridSpan w:val="2"/>
          </w:tcPr>
          <w:p w14:paraId="5F02BC5E" w14:textId="77777777" w:rsidR="00751B1F" w:rsidRPr="007E4276" w:rsidRDefault="008E5706">
            <w:pPr>
              <w:rPr>
                <w:sz w:val="20"/>
                <w:szCs w:val="20"/>
              </w:rPr>
            </w:pPr>
            <w:r w:rsidRPr="007E4276">
              <w:rPr>
                <w:sz w:val="20"/>
                <w:szCs w:val="20"/>
              </w:rPr>
              <w:t>20±5</w:t>
            </w:r>
          </w:p>
        </w:tc>
        <w:tc>
          <w:tcPr>
            <w:tcW w:w="2153" w:type="dxa"/>
          </w:tcPr>
          <w:p w14:paraId="07013F5D" w14:textId="33A71D01" w:rsidR="00751B1F" w:rsidRPr="007E4276" w:rsidRDefault="00434811">
            <w:pPr>
              <w:rPr>
                <w:sz w:val="20"/>
                <w:szCs w:val="20"/>
              </w:rPr>
            </w:pPr>
            <w:r w:rsidRPr="007E4276">
              <w:rPr>
                <w:sz w:val="20"/>
                <w:szCs w:val="20"/>
              </w:rPr>
              <w:t>Initial thermal activation events</w:t>
            </w:r>
          </w:p>
        </w:tc>
      </w:tr>
      <w:tr w:rsidR="00751B1F" w:rsidRPr="007E4276" w14:paraId="03CE91DA" w14:textId="77777777" w:rsidTr="007E4276">
        <w:tc>
          <w:tcPr>
            <w:tcW w:w="1728" w:type="dxa"/>
          </w:tcPr>
          <w:p w14:paraId="543A0C99" w14:textId="77777777" w:rsidR="00751B1F" w:rsidRPr="007E4276" w:rsidRDefault="008E5706">
            <w:pPr>
              <w:rPr>
                <w:sz w:val="20"/>
                <w:szCs w:val="20"/>
              </w:rPr>
            </w:pPr>
            <w:r w:rsidRPr="007E4276">
              <w:rPr>
                <w:sz w:val="20"/>
                <w:szCs w:val="20"/>
              </w:rPr>
              <w:t>1111</w:t>
            </w:r>
          </w:p>
        </w:tc>
        <w:tc>
          <w:tcPr>
            <w:tcW w:w="1357" w:type="dxa"/>
          </w:tcPr>
          <w:p w14:paraId="520228AA" w14:textId="77777777" w:rsidR="00751B1F" w:rsidRPr="007E4276" w:rsidRDefault="008E5706">
            <w:pPr>
              <w:rPr>
                <w:sz w:val="20"/>
                <w:szCs w:val="20"/>
              </w:rPr>
            </w:pPr>
            <w:r w:rsidRPr="007E4276">
              <w:rPr>
                <w:sz w:val="20"/>
                <w:szCs w:val="20"/>
              </w:rPr>
              <w:t>5</w:t>
            </w:r>
          </w:p>
        </w:tc>
        <w:tc>
          <w:tcPr>
            <w:tcW w:w="2099" w:type="dxa"/>
            <w:gridSpan w:val="2"/>
          </w:tcPr>
          <w:p w14:paraId="37DEEEDB" w14:textId="77777777" w:rsidR="00751B1F" w:rsidRPr="007E4276" w:rsidRDefault="008E5706">
            <w:pPr>
              <w:rPr>
                <w:sz w:val="20"/>
                <w:szCs w:val="20"/>
              </w:rPr>
            </w:pPr>
            <w:r w:rsidRPr="007E4276">
              <w:rPr>
                <w:sz w:val="20"/>
                <w:szCs w:val="20"/>
              </w:rPr>
              <w:t>2</w:t>
            </w:r>
          </w:p>
        </w:tc>
        <w:tc>
          <w:tcPr>
            <w:tcW w:w="1303" w:type="dxa"/>
            <w:gridSpan w:val="2"/>
          </w:tcPr>
          <w:p w14:paraId="7E7E0D03" w14:textId="77777777" w:rsidR="00751B1F" w:rsidRPr="007E4276" w:rsidRDefault="008E5706">
            <w:pPr>
              <w:rPr>
                <w:sz w:val="20"/>
                <w:szCs w:val="20"/>
              </w:rPr>
            </w:pPr>
            <w:r w:rsidRPr="007E4276">
              <w:rPr>
                <w:sz w:val="20"/>
                <w:szCs w:val="20"/>
              </w:rPr>
              <w:t>15±4</w:t>
            </w:r>
          </w:p>
        </w:tc>
        <w:tc>
          <w:tcPr>
            <w:tcW w:w="2153" w:type="dxa"/>
          </w:tcPr>
          <w:p w14:paraId="44C63AE7" w14:textId="367AFB4D" w:rsidR="00751B1F" w:rsidRPr="007E4276" w:rsidRDefault="00973CAF">
            <w:pPr>
              <w:rPr>
                <w:sz w:val="20"/>
                <w:szCs w:val="20"/>
              </w:rPr>
            </w:pPr>
            <w:r w:rsidRPr="007E4276">
              <w:rPr>
                <w:sz w:val="20"/>
                <w:szCs w:val="20"/>
              </w:rPr>
              <w:t>Increased frequency of high-elongation events</w:t>
            </w:r>
          </w:p>
        </w:tc>
      </w:tr>
      <w:tr w:rsidR="00751B1F" w:rsidRPr="007E4276" w14:paraId="71772CDF" w14:textId="77777777" w:rsidTr="007E4276">
        <w:tc>
          <w:tcPr>
            <w:tcW w:w="1728" w:type="dxa"/>
          </w:tcPr>
          <w:p w14:paraId="26BE1B2F" w14:textId="77777777" w:rsidR="00751B1F" w:rsidRPr="007E4276" w:rsidRDefault="008E5706">
            <w:pPr>
              <w:rPr>
                <w:sz w:val="20"/>
                <w:szCs w:val="20"/>
              </w:rPr>
            </w:pPr>
            <w:r w:rsidRPr="007E4276">
              <w:rPr>
                <w:sz w:val="20"/>
                <w:szCs w:val="20"/>
              </w:rPr>
              <w:t>1162</w:t>
            </w:r>
          </w:p>
        </w:tc>
        <w:tc>
          <w:tcPr>
            <w:tcW w:w="1357" w:type="dxa"/>
          </w:tcPr>
          <w:p w14:paraId="66259C62" w14:textId="77777777" w:rsidR="00751B1F" w:rsidRPr="007E4276" w:rsidRDefault="008E5706">
            <w:pPr>
              <w:rPr>
                <w:sz w:val="20"/>
                <w:szCs w:val="20"/>
              </w:rPr>
            </w:pPr>
            <w:r w:rsidRPr="007E4276">
              <w:rPr>
                <w:sz w:val="20"/>
                <w:szCs w:val="20"/>
              </w:rPr>
              <w:t>7</w:t>
            </w:r>
          </w:p>
        </w:tc>
        <w:tc>
          <w:tcPr>
            <w:tcW w:w="2099" w:type="dxa"/>
            <w:gridSpan w:val="2"/>
          </w:tcPr>
          <w:p w14:paraId="4BED524A" w14:textId="77777777" w:rsidR="00751B1F" w:rsidRPr="007E4276" w:rsidRDefault="008E5706">
            <w:pPr>
              <w:rPr>
                <w:sz w:val="20"/>
                <w:szCs w:val="20"/>
              </w:rPr>
            </w:pPr>
            <w:r w:rsidRPr="007E4276">
              <w:rPr>
                <w:sz w:val="20"/>
                <w:szCs w:val="20"/>
              </w:rPr>
              <w:t>3</w:t>
            </w:r>
          </w:p>
        </w:tc>
        <w:tc>
          <w:tcPr>
            <w:tcW w:w="1303" w:type="dxa"/>
            <w:gridSpan w:val="2"/>
          </w:tcPr>
          <w:p w14:paraId="6A7AAFEE" w14:textId="77777777" w:rsidR="00751B1F" w:rsidRPr="007E4276" w:rsidRDefault="008E5706">
            <w:pPr>
              <w:rPr>
                <w:sz w:val="20"/>
                <w:szCs w:val="20"/>
              </w:rPr>
            </w:pPr>
            <w:r w:rsidRPr="007E4276">
              <w:rPr>
                <w:sz w:val="20"/>
                <w:szCs w:val="20"/>
              </w:rPr>
              <w:t>12±3</w:t>
            </w:r>
          </w:p>
        </w:tc>
        <w:tc>
          <w:tcPr>
            <w:tcW w:w="2153" w:type="dxa"/>
          </w:tcPr>
          <w:p w14:paraId="7FBC2F80" w14:textId="272E47E2" w:rsidR="00751B1F" w:rsidRPr="007E4276" w:rsidRDefault="007568AC">
            <w:pPr>
              <w:rPr>
                <w:sz w:val="20"/>
                <w:szCs w:val="20"/>
              </w:rPr>
            </w:pPr>
            <w:r w:rsidRPr="007E4276">
              <w:rPr>
                <w:sz w:val="20"/>
                <w:szCs w:val="20"/>
              </w:rPr>
              <w:t>Thermally activated carbon configurations exhibiting enhanced surface affinity</w:t>
            </w:r>
          </w:p>
        </w:tc>
      </w:tr>
      <w:tr w:rsidR="00751B1F" w:rsidRPr="007E4276" w14:paraId="5EDD224F" w14:textId="77777777" w:rsidTr="007E4276">
        <w:tc>
          <w:tcPr>
            <w:tcW w:w="1728" w:type="dxa"/>
          </w:tcPr>
          <w:p w14:paraId="04014C18" w14:textId="77777777" w:rsidR="00751B1F" w:rsidRPr="007E4276" w:rsidRDefault="008E5706">
            <w:pPr>
              <w:rPr>
                <w:sz w:val="20"/>
                <w:szCs w:val="20"/>
              </w:rPr>
            </w:pPr>
            <w:r w:rsidRPr="007E4276">
              <w:rPr>
                <w:sz w:val="20"/>
                <w:szCs w:val="20"/>
              </w:rPr>
              <w:t>1234</w:t>
            </w:r>
          </w:p>
        </w:tc>
        <w:tc>
          <w:tcPr>
            <w:tcW w:w="1357" w:type="dxa"/>
          </w:tcPr>
          <w:p w14:paraId="40D0E98B" w14:textId="77777777" w:rsidR="00751B1F" w:rsidRPr="007E4276" w:rsidRDefault="008E5706">
            <w:pPr>
              <w:rPr>
                <w:sz w:val="20"/>
                <w:szCs w:val="20"/>
              </w:rPr>
            </w:pPr>
            <w:r w:rsidRPr="007E4276">
              <w:rPr>
                <w:sz w:val="20"/>
                <w:szCs w:val="20"/>
              </w:rPr>
              <w:t>4</w:t>
            </w:r>
          </w:p>
        </w:tc>
        <w:tc>
          <w:tcPr>
            <w:tcW w:w="2099" w:type="dxa"/>
            <w:gridSpan w:val="2"/>
          </w:tcPr>
          <w:p w14:paraId="299C5582" w14:textId="77777777" w:rsidR="00751B1F" w:rsidRPr="007E4276" w:rsidRDefault="008E5706">
            <w:pPr>
              <w:rPr>
                <w:sz w:val="20"/>
                <w:szCs w:val="20"/>
              </w:rPr>
            </w:pPr>
            <w:r w:rsidRPr="007E4276">
              <w:rPr>
                <w:sz w:val="20"/>
                <w:szCs w:val="20"/>
              </w:rPr>
              <w:t>1</w:t>
            </w:r>
          </w:p>
        </w:tc>
        <w:tc>
          <w:tcPr>
            <w:tcW w:w="1303" w:type="dxa"/>
            <w:gridSpan w:val="2"/>
          </w:tcPr>
          <w:p w14:paraId="6D893829" w14:textId="77777777" w:rsidR="00751B1F" w:rsidRPr="007E4276" w:rsidRDefault="008E5706">
            <w:pPr>
              <w:rPr>
                <w:sz w:val="20"/>
                <w:szCs w:val="20"/>
              </w:rPr>
            </w:pPr>
            <w:r w:rsidRPr="007E4276">
              <w:rPr>
                <w:sz w:val="20"/>
                <w:szCs w:val="20"/>
              </w:rPr>
              <w:t>10±3</w:t>
            </w:r>
          </w:p>
        </w:tc>
        <w:tc>
          <w:tcPr>
            <w:tcW w:w="2153" w:type="dxa"/>
          </w:tcPr>
          <w:p w14:paraId="443C783A" w14:textId="54F94BC6" w:rsidR="00751B1F" w:rsidRPr="007E4276" w:rsidRDefault="00973CAF">
            <w:pPr>
              <w:rPr>
                <w:sz w:val="20"/>
                <w:szCs w:val="20"/>
              </w:rPr>
            </w:pPr>
            <w:r w:rsidRPr="007E4276">
              <w:rPr>
                <w:sz w:val="20"/>
                <w:szCs w:val="20"/>
              </w:rPr>
              <w:t>Short-lived high-elongation events</w:t>
            </w:r>
          </w:p>
        </w:tc>
      </w:tr>
      <w:tr w:rsidR="00751B1F" w:rsidRPr="007E4276" w14:paraId="122FBFC5" w14:textId="77777777" w:rsidTr="007E4276">
        <w:tc>
          <w:tcPr>
            <w:tcW w:w="1728" w:type="dxa"/>
          </w:tcPr>
          <w:p w14:paraId="647A1759" w14:textId="77777777" w:rsidR="00751B1F" w:rsidRPr="007E4276" w:rsidRDefault="008E5706">
            <w:pPr>
              <w:rPr>
                <w:sz w:val="20"/>
                <w:szCs w:val="20"/>
              </w:rPr>
            </w:pPr>
            <w:r w:rsidRPr="007E4276">
              <w:rPr>
                <w:sz w:val="20"/>
                <w:szCs w:val="20"/>
              </w:rPr>
              <w:t>1298</w:t>
            </w:r>
          </w:p>
        </w:tc>
        <w:tc>
          <w:tcPr>
            <w:tcW w:w="1357" w:type="dxa"/>
          </w:tcPr>
          <w:p w14:paraId="3ADEABB1" w14:textId="77777777" w:rsidR="00751B1F" w:rsidRPr="007E4276" w:rsidRDefault="008E5706">
            <w:pPr>
              <w:rPr>
                <w:sz w:val="20"/>
                <w:szCs w:val="20"/>
              </w:rPr>
            </w:pPr>
            <w:r w:rsidRPr="007E4276">
              <w:rPr>
                <w:sz w:val="20"/>
                <w:szCs w:val="20"/>
              </w:rPr>
              <w:t>2</w:t>
            </w:r>
          </w:p>
        </w:tc>
        <w:tc>
          <w:tcPr>
            <w:tcW w:w="2099" w:type="dxa"/>
            <w:gridSpan w:val="2"/>
          </w:tcPr>
          <w:p w14:paraId="0B6D7088" w14:textId="77777777" w:rsidR="00751B1F" w:rsidRPr="007E4276" w:rsidRDefault="008E5706">
            <w:pPr>
              <w:rPr>
                <w:sz w:val="20"/>
                <w:szCs w:val="20"/>
              </w:rPr>
            </w:pPr>
            <w:r w:rsidRPr="007E4276">
              <w:rPr>
                <w:sz w:val="20"/>
                <w:szCs w:val="20"/>
              </w:rPr>
              <w:t>1</w:t>
            </w:r>
          </w:p>
        </w:tc>
        <w:tc>
          <w:tcPr>
            <w:tcW w:w="1303" w:type="dxa"/>
            <w:gridSpan w:val="2"/>
          </w:tcPr>
          <w:p w14:paraId="0082D2F9" w14:textId="77777777" w:rsidR="00751B1F" w:rsidRPr="007E4276" w:rsidRDefault="008E5706">
            <w:pPr>
              <w:rPr>
                <w:sz w:val="20"/>
                <w:szCs w:val="20"/>
              </w:rPr>
            </w:pPr>
            <w:r w:rsidRPr="007E4276">
              <w:rPr>
                <w:sz w:val="20"/>
                <w:szCs w:val="20"/>
              </w:rPr>
              <w:t>8±2</w:t>
            </w:r>
          </w:p>
        </w:tc>
        <w:tc>
          <w:tcPr>
            <w:tcW w:w="2153" w:type="dxa"/>
          </w:tcPr>
          <w:p w14:paraId="35E44B76" w14:textId="76F25224" w:rsidR="00751B1F" w:rsidRPr="007E4276" w:rsidRDefault="00973CAF">
            <w:pPr>
              <w:rPr>
                <w:sz w:val="20"/>
                <w:szCs w:val="20"/>
              </w:rPr>
            </w:pPr>
            <w:r w:rsidRPr="007E4276">
              <w:rPr>
                <w:sz w:val="20"/>
                <w:szCs w:val="20"/>
              </w:rPr>
              <w:t>Increased gas-phase mobility and reduced surface residence</w:t>
            </w:r>
          </w:p>
        </w:tc>
      </w:tr>
    </w:tbl>
    <w:p w14:paraId="4CDC9599" w14:textId="5CC08B8D" w:rsidR="00751B1F" w:rsidRPr="00DD220D" w:rsidRDefault="00DD220D">
      <w:pPr>
        <w:pStyle w:val="Heading2"/>
        <w:rPr>
          <w:rFonts w:asciiTheme="majorBidi" w:hAnsiTheme="majorBidi"/>
          <w:color w:val="auto"/>
          <w:sz w:val="20"/>
          <w:szCs w:val="20"/>
        </w:rPr>
      </w:pPr>
      <w:r w:rsidRPr="00DD220D">
        <w:rPr>
          <w:rFonts w:asciiTheme="majorBidi" w:hAnsiTheme="majorBidi"/>
          <w:color w:val="auto"/>
          <w:sz w:val="20"/>
          <w:szCs w:val="20"/>
        </w:rPr>
        <w:t xml:space="preserve">Table S4. </w:t>
      </w:r>
      <w:proofErr w:type="spellStart"/>
      <w:r w:rsidRPr="00DD220D">
        <w:rPr>
          <w:rFonts w:asciiTheme="majorBidi" w:hAnsiTheme="majorBidi"/>
          <w:color w:val="auto"/>
          <w:sz w:val="20"/>
          <w:szCs w:val="20"/>
        </w:rPr>
        <w:t>Tersoff</w:t>
      </w:r>
      <w:proofErr w:type="spellEnd"/>
      <w:r w:rsidRPr="00DD220D">
        <w:rPr>
          <w:rFonts w:asciiTheme="majorBidi" w:hAnsiTheme="majorBidi"/>
          <w:color w:val="auto"/>
          <w:sz w:val="20"/>
          <w:szCs w:val="20"/>
        </w:rPr>
        <w:t xml:space="preserve"> potential parameters used to describe Si–O interactions in the rigid </w:t>
      </w:r>
      <w:proofErr w:type="spellStart"/>
      <w:r w:rsidRPr="00DD220D">
        <w:rPr>
          <w:rFonts w:asciiTheme="majorBidi" w:hAnsiTheme="majorBidi"/>
          <w:color w:val="auto"/>
          <w:sz w:val="20"/>
          <w:szCs w:val="20"/>
        </w:rPr>
        <w:t>SiO</w:t>
      </w:r>
      <w:proofErr w:type="spellEnd"/>
      <w:r w:rsidRPr="00DD220D">
        <w:rPr>
          <w:rFonts w:asciiTheme="majorBidi" w:hAnsiTheme="majorBidi"/>
          <w:color w:val="auto"/>
          <w:sz w:val="20"/>
          <w:szCs w:val="20"/>
        </w:rPr>
        <w:t>₂ substrate.</w:t>
      </w:r>
    </w:p>
    <w:tbl>
      <w:tblPr>
        <w:tblW w:w="0" w:type="auto"/>
        <w:tblLook w:val="04A0" w:firstRow="1" w:lastRow="0" w:firstColumn="1" w:lastColumn="0" w:noHBand="0" w:noVBand="1"/>
      </w:tblPr>
      <w:tblGrid>
        <w:gridCol w:w="2880"/>
        <w:gridCol w:w="2880"/>
        <w:gridCol w:w="2880"/>
      </w:tblGrid>
      <w:tr w:rsidR="00751B1F" w14:paraId="780FC6F1" w14:textId="77777777">
        <w:tc>
          <w:tcPr>
            <w:tcW w:w="2880" w:type="dxa"/>
          </w:tcPr>
          <w:p w14:paraId="4563EECA" w14:textId="77777777" w:rsidR="00751B1F" w:rsidRDefault="008E5706">
            <w:r>
              <w:t>Parameter</w:t>
            </w:r>
          </w:p>
        </w:tc>
        <w:tc>
          <w:tcPr>
            <w:tcW w:w="2880" w:type="dxa"/>
          </w:tcPr>
          <w:p w14:paraId="25CC9DEA" w14:textId="77777777" w:rsidR="00751B1F" w:rsidRDefault="008E5706">
            <w:r>
              <w:t>Value</w:t>
            </w:r>
          </w:p>
        </w:tc>
        <w:tc>
          <w:tcPr>
            <w:tcW w:w="2880" w:type="dxa"/>
          </w:tcPr>
          <w:p w14:paraId="35D2EE61" w14:textId="77777777" w:rsidR="00751B1F" w:rsidRDefault="008E5706">
            <w:r>
              <w:t>Units</w:t>
            </w:r>
          </w:p>
        </w:tc>
      </w:tr>
      <w:tr w:rsidR="00751B1F" w14:paraId="4E0FFCBA" w14:textId="77777777">
        <w:tc>
          <w:tcPr>
            <w:tcW w:w="2880" w:type="dxa"/>
          </w:tcPr>
          <w:p w14:paraId="1050053D" w14:textId="77777777" w:rsidR="00751B1F" w:rsidRDefault="008E5706">
            <w:r>
              <w:t>A</w:t>
            </w:r>
          </w:p>
        </w:tc>
        <w:tc>
          <w:tcPr>
            <w:tcW w:w="2880" w:type="dxa"/>
          </w:tcPr>
          <w:p w14:paraId="68E5A809" w14:textId="77777777" w:rsidR="00751B1F" w:rsidRDefault="008E5706">
            <w:r>
              <w:t>7.010×10⁻²⁰</w:t>
            </w:r>
          </w:p>
        </w:tc>
        <w:tc>
          <w:tcPr>
            <w:tcW w:w="2880" w:type="dxa"/>
          </w:tcPr>
          <w:p w14:paraId="4D6C47EC" w14:textId="77777777" w:rsidR="00751B1F" w:rsidRDefault="008E5706">
            <w:r>
              <w:t>J</w:t>
            </w:r>
          </w:p>
        </w:tc>
      </w:tr>
      <w:tr w:rsidR="00751B1F" w14:paraId="2B4DEEEE" w14:textId="77777777">
        <w:tc>
          <w:tcPr>
            <w:tcW w:w="2880" w:type="dxa"/>
          </w:tcPr>
          <w:p w14:paraId="565F5D29" w14:textId="77777777" w:rsidR="00751B1F" w:rsidRDefault="008E5706">
            <w:r>
              <w:t>B</w:t>
            </w:r>
          </w:p>
        </w:tc>
        <w:tc>
          <w:tcPr>
            <w:tcW w:w="2880" w:type="dxa"/>
          </w:tcPr>
          <w:p w14:paraId="2385D5D2" w14:textId="77777777" w:rsidR="00751B1F" w:rsidRDefault="008E5706">
            <w:r>
              <w:t>1.804×10⁻²⁰</w:t>
            </w:r>
          </w:p>
        </w:tc>
        <w:tc>
          <w:tcPr>
            <w:tcW w:w="2880" w:type="dxa"/>
          </w:tcPr>
          <w:p w14:paraId="6068B0A7" w14:textId="77777777" w:rsidR="00751B1F" w:rsidRDefault="008E5706">
            <w:r>
              <w:t>J</w:t>
            </w:r>
          </w:p>
        </w:tc>
      </w:tr>
      <w:tr w:rsidR="00751B1F" w14:paraId="4E1566A4" w14:textId="77777777">
        <w:tc>
          <w:tcPr>
            <w:tcW w:w="2880" w:type="dxa"/>
          </w:tcPr>
          <w:p w14:paraId="67D3E864" w14:textId="77777777" w:rsidR="00751B1F" w:rsidRDefault="008E5706">
            <w:r>
              <w:t>λ</w:t>
            </w:r>
          </w:p>
        </w:tc>
        <w:tc>
          <w:tcPr>
            <w:tcW w:w="2880" w:type="dxa"/>
          </w:tcPr>
          <w:p w14:paraId="47872C8E" w14:textId="77777777" w:rsidR="00751B1F" w:rsidRDefault="008E5706">
            <w:r>
              <w:t>2.4799</w:t>
            </w:r>
          </w:p>
        </w:tc>
        <w:tc>
          <w:tcPr>
            <w:tcW w:w="2880" w:type="dxa"/>
          </w:tcPr>
          <w:p w14:paraId="27C51077" w14:textId="77777777" w:rsidR="00751B1F" w:rsidRDefault="008E5706">
            <w:r>
              <w:t>Å⁻¹</w:t>
            </w:r>
          </w:p>
        </w:tc>
      </w:tr>
      <w:tr w:rsidR="00751B1F" w14:paraId="306F081A" w14:textId="77777777">
        <w:tc>
          <w:tcPr>
            <w:tcW w:w="2880" w:type="dxa"/>
          </w:tcPr>
          <w:p w14:paraId="260F915F" w14:textId="77777777" w:rsidR="00751B1F" w:rsidRDefault="008E5706">
            <w:r>
              <w:lastRenderedPageBreak/>
              <w:t>μ</w:t>
            </w:r>
          </w:p>
        </w:tc>
        <w:tc>
          <w:tcPr>
            <w:tcW w:w="2880" w:type="dxa"/>
          </w:tcPr>
          <w:p w14:paraId="3E48C3A7" w14:textId="77777777" w:rsidR="00751B1F" w:rsidRDefault="008E5706">
            <w:r>
              <w:t>1.7322</w:t>
            </w:r>
          </w:p>
        </w:tc>
        <w:tc>
          <w:tcPr>
            <w:tcW w:w="2880" w:type="dxa"/>
          </w:tcPr>
          <w:p w14:paraId="0886A4DB" w14:textId="77777777" w:rsidR="00751B1F" w:rsidRDefault="008E5706">
            <w:r>
              <w:t>Å⁻¹</w:t>
            </w:r>
          </w:p>
        </w:tc>
      </w:tr>
      <w:tr w:rsidR="00751B1F" w14:paraId="01BC3CA8" w14:textId="77777777">
        <w:tc>
          <w:tcPr>
            <w:tcW w:w="2880" w:type="dxa"/>
          </w:tcPr>
          <w:p w14:paraId="2E969D2C" w14:textId="77777777" w:rsidR="00751B1F" w:rsidRDefault="008E5706">
            <w:r>
              <w:t>β</w:t>
            </w:r>
          </w:p>
        </w:tc>
        <w:tc>
          <w:tcPr>
            <w:tcW w:w="2880" w:type="dxa"/>
          </w:tcPr>
          <w:p w14:paraId="63185EA6" w14:textId="77777777" w:rsidR="00751B1F" w:rsidRDefault="008E5706">
            <w:r>
              <w:t>1.100×10⁻⁶</w:t>
            </w:r>
          </w:p>
        </w:tc>
        <w:tc>
          <w:tcPr>
            <w:tcW w:w="2880" w:type="dxa"/>
          </w:tcPr>
          <w:p w14:paraId="38F3F2F4" w14:textId="77777777" w:rsidR="00751B1F" w:rsidRDefault="008E5706">
            <w:r>
              <w:t>–</w:t>
            </w:r>
          </w:p>
        </w:tc>
      </w:tr>
      <w:tr w:rsidR="00751B1F" w14:paraId="6D99B512" w14:textId="77777777">
        <w:tc>
          <w:tcPr>
            <w:tcW w:w="2880" w:type="dxa"/>
          </w:tcPr>
          <w:p w14:paraId="2D6FAD7C" w14:textId="77777777" w:rsidR="00751B1F" w:rsidRDefault="008E5706">
            <w:r>
              <w:t>n</w:t>
            </w:r>
          </w:p>
        </w:tc>
        <w:tc>
          <w:tcPr>
            <w:tcW w:w="2880" w:type="dxa"/>
          </w:tcPr>
          <w:p w14:paraId="305F2739" w14:textId="77777777" w:rsidR="00751B1F" w:rsidRDefault="008E5706">
            <w:r>
              <w:t>0.787</w:t>
            </w:r>
          </w:p>
        </w:tc>
        <w:tc>
          <w:tcPr>
            <w:tcW w:w="2880" w:type="dxa"/>
          </w:tcPr>
          <w:p w14:paraId="4D707086" w14:textId="77777777" w:rsidR="00751B1F" w:rsidRDefault="008E5706">
            <w:r>
              <w:t>–</w:t>
            </w:r>
          </w:p>
        </w:tc>
      </w:tr>
      <w:tr w:rsidR="00751B1F" w14:paraId="2E09E03D" w14:textId="77777777">
        <w:tc>
          <w:tcPr>
            <w:tcW w:w="2880" w:type="dxa"/>
          </w:tcPr>
          <w:p w14:paraId="3CC45F10" w14:textId="77777777" w:rsidR="00751B1F" w:rsidRDefault="008E5706">
            <w:r>
              <w:t>c</w:t>
            </w:r>
          </w:p>
        </w:tc>
        <w:tc>
          <w:tcPr>
            <w:tcW w:w="2880" w:type="dxa"/>
          </w:tcPr>
          <w:p w14:paraId="547FB577" w14:textId="77777777" w:rsidR="00751B1F" w:rsidRDefault="008E5706">
            <w:r>
              <w:t>1.0039×10⁵</w:t>
            </w:r>
          </w:p>
        </w:tc>
        <w:tc>
          <w:tcPr>
            <w:tcW w:w="2880" w:type="dxa"/>
          </w:tcPr>
          <w:p w14:paraId="4261691A" w14:textId="77777777" w:rsidR="00751B1F" w:rsidRDefault="008E5706">
            <w:r>
              <w:t>–</w:t>
            </w:r>
          </w:p>
        </w:tc>
      </w:tr>
      <w:tr w:rsidR="00751B1F" w14:paraId="50F39F5E" w14:textId="77777777">
        <w:tc>
          <w:tcPr>
            <w:tcW w:w="2880" w:type="dxa"/>
          </w:tcPr>
          <w:p w14:paraId="4BEC5D2D" w14:textId="77777777" w:rsidR="00751B1F" w:rsidRDefault="008E5706">
            <w:r>
              <w:t>d</w:t>
            </w:r>
          </w:p>
        </w:tc>
        <w:tc>
          <w:tcPr>
            <w:tcW w:w="2880" w:type="dxa"/>
          </w:tcPr>
          <w:p w14:paraId="45BF5918" w14:textId="77777777" w:rsidR="00751B1F" w:rsidRDefault="008E5706">
            <w:r>
              <w:t>1.6217×10¹</w:t>
            </w:r>
          </w:p>
        </w:tc>
        <w:tc>
          <w:tcPr>
            <w:tcW w:w="2880" w:type="dxa"/>
          </w:tcPr>
          <w:p w14:paraId="58C9CE13" w14:textId="77777777" w:rsidR="00751B1F" w:rsidRDefault="008E5706">
            <w:r>
              <w:t>–</w:t>
            </w:r>
          </w:p>
        </w:tc>
      </w:tr>
      <w:tr w:rsidR="00751B1F" w14:paraId="4BA97540" w14:textId="77777777">
        <w:tc>
          <w:tcPr>
            <w:tcW w:w="2880" w:type="dxa"/>
          </w:tcPr>
          <w:p w14:paraId="2D35CBA4" w14:textId="77777777" w:rsidR="00751B1F" w:rsidRDefault="008E5706">
            <w:r>
              <w:t>h</w:t>
            </w:r>
          </w:p>
        </w:tc>
        <w:tc>
          <w:tcPr>
            <w:tcW w:w="2880" w:type="dxa"/>
          </w:tcPr>
          <w:p w14:paraId="03D21B0A" w14:textId="77777777" w:rsidR="00751B1F" w:rsidRDefault="008E5706">
            <w:r>
              <w:t>–0.598</w:t>
            </w:r>
          </w:p>
        </w:tc>
        <w:tc>
          <w:tcPr>
            <w:tcW w:w="2880" w:type="dxa"/>
          </w:tcPr>
          <w:p w14:paraId="2E63F48C" w14:textId="77777777" w:rsidR="00751B1F" w:rsidRDefault="008E5706">
            <w:r>
              <w:t>–</w:t>
            </w:r>
          </w:p>
        </w:tc>
      </w:tr>
      <w:tr w:rsidR="00751B1F" w14:paraId="1C392ADD" w14:textId="77777777">
        <w:tc>
          <w:tcPr>
            <w:tcW w:w="2880" w:type="dxa"/>
          </w:tcPr>
          <w:p w14:paraId="3F0402A6" w14:textId="77777777" w:rsidR="00751B1F" w:rsidRDefault="008E5706">
            <w:r>
              <w:t>Cut-off range</w:t>
            </w:r>
          </w:p>
        </w:tc>
        <w:tc>
          <w:tcPr>
            <w:tcW w:w="2880" w:type="dxa"/>
          </w:tcPr>
          <w:p w14:paraId="17E67173" w14:textId="77777777" w:rsidR="00751B1F" w:rsidRDefault="008E5706">
            <w:r>
              <w:t>2.5–2.8</w:t>
            </w:r>
          </w:p>
        </w:tc>
        <w:tc>
          <w:tcPr>
            <w:tcW w:w="2880" w:type="dxa"/>
          </w:tcPr>
          <w:p w14:paraId="7E9B05C4" w14:textId="77777777" w:rsidR="00751B1F" w:rsidRDefault="008E5706">
            <w:r>
              <w:t>Å</w:t>
            </w:r>
          </w:p>
        </w:tc>
      </w:tr>
      <w:tr w:rsidR="00751B1F" w14:paraId="474CBA93" w14:textId="77777777">
        <w:tc>
          <w:tcPr>
            <w:tcW w:w="2880" w:type="dxa"/>
          </w:tcPr>
          <w:p w14:paraId="582E2119" w14:textId="77777777" w:rsidR="00751B1F" w:rsidRDefault="008E5706">
            <w:r>
              <w:t>Scaling (Si–O)</w:t>
            </w:r>
          </w:p>
        </w:tc>
        <w:tc>
          <w:tcPr>
            <w:tcW w:w="2880" w:type="dxa"/>
          </w:tcPr>
          <w:p w14:paraId="7CB89A7D" w14:textId="77777777" w:rsidR="00751B1F" w:rsidRDefault="008E5706">
            <w:r>
              <w:t>1.17945</w:t>
            </w:r>
          </w:p>
        </w:tc>
        <w:tc>
          <w:tcPr>
            <w:tcW w:w="2880" w:type="dxa"/>
          </w:tcPr>
          <w:p w14:paraId="510BA884" w14:textId="77777777" w:rsidR="00751B1F" w:rsidRDefault="008E5706">
            <w:r>
              <w:t>–</w:t>
            </w:r>
          </w:p>
        </w:tc>
      </w:tr>
    </w:tbl>
    <w:p w14:paraId="76011696" w14:textId="03E74885" w:rsidR="00780892" w:rsidRPr="004274FC" w:rsidRDefault="00780892" w:rsidP="00DA0905">
      <w:pPr>
        <w:pStyle w:val="Heading2"/>
        <w:jc w:val="both"/>
        <w:rPr>
          <w:rFonts w:asciiTheme="majorBidi" w:hAnsiTheme="majorBidi"/>
          <w:b w:val="0"/>
          <w:bCs w:val="0"/>
          <w:color w:val="auto"/>
          <w:sz w:val="20"/>
          <w:szCs w:val="20"/>
        </w:rPr>
      </w:pPr>
      <w:r w:rsidRPr="00780892">
        <w:rPr>
          <w:rFonts w:asciiTheme="minorHAnsi" w:eastAsiaTheme="minorEastAsia" w:hAnsiTheme="minorHAnsi" w:cstheme="minorBidi"/>
          <w:b w:val="0"/>
          <w:bCs w:val="0"/>
          <w:color w:val="auto"/>
          <w:sz w:val="22"/>
          <w:szCs w:val="22"/>
        </w:rPr>
        <w:t xml:space="preserve">These parameters correspond to those implemented in the DL_POLY FIELD file and are employed to maintain the structural integrity of the amorphous </w:t>
      </w:r>
      <w:proofErr w:type="spellStart"/>
      <w:r w:rsidRPr="00780892">
        <w:rPr>
          <w:rFonts w:asciiTheme="minorHAnsi" w:eastAsiaTheme="minorEastAsia" w:hAnsiTheme="minorHAnsi" w:cstheme="minorBidi"/>
          <w:b w:val="0"/>
          <w:bCs w:val="0"/>
          <w:color w:val="auto"/>
          <w:sz w:val="22"/>
          <w:szCs w:val="22"/>
        </w:rPr>
        <w:t>SiO</w:t>
      </w:r>
      <w:proofErr w:type="spellEnd"/>
      <w:r w:rsidRPr="00780892">
        <w:rPr>
          <w:rFonts w:asciiTheme="minorHAnsi" w:eastAsiaTheme="minorEastAsia" w:hAnsiTheme="minorHAnsi" w:cstheme="minorBidi"/>
          <w:b w:val="0"/>
          <w:bCs w:val="0"/>
          <w:color w:val="auto"/>
          <w:sz w:val="22"/>
          <w:szCs w:val="22"/>
        </w:rPr>
        <w:t xml:space="preserve">₂ substrate during the </w:t>
      </w:r>
      <w:r w:rsidRPr="0041287D">
        <w:rPr>
          <w:rFonts w:asciiTheme="majorBidi" w:eastAsiaTheme="minorEastAsia" w:hAnsiTheme="majorBidi"/>
          <w:b w:val="0"/>
          <w:bCs w:val="0"/>
          <w:color w:val="auto"/>
          <w:sz w:val="20"/>
          <w:szCs w:val="20"/>
        </w:rPr>
        <w:t>simulations.</w:t>
      </w:r>
      <w:r w:rsidR="0041287D" w:rsidRPr="0041287D">
        <w:rPr>
          <w:rFonts w:asciiTheme="majorBidi" w:hAnsiTheme="majorBidi"/>
          <w:sz w:val="20"/>
          <w:szCs w:val="20"/>
        </w:rPr>
        <w:t xml:space="preserve"> T</w:t>
      </w:r>
      <w:r w:rsidR="0041287D" w:rsidRPr="0041287D">
        <w:rPr>
          <w:rFonts w:asciiTheme="majorBidi" w:hAnsiTheme="majorBidi"/>
          <w:b w:val="0"/>
          <w:bCs w:val="0"/>
          <w:color w:val="auto"/>
          <w:sz w:val="20"/>
          <w:szCs w:val="20"/>
        </w:rPr>
        <w:t xml:space="preserve">he </w:t>
      </w:r>
      <w:proofErr w:type="spellStart"/>
      <w:r w:rsidR="0041287D" w:rsidRPr="0041287D">
        <w:rPr>
          <w:rFonts w:asciiTheme="majorBidi" w:hAnsiTheme="majorBidi"/>
          <w:b w:val="0"/>
          <w:bCs w:val="0"/>
          <w:color w:val="auto"/>
          <w:sz w:val="20"/>
          <w:szCs w:val="20"/>
        </w:rPr>
        <w:t>SiO</w:t>
      </w:r>
      <w:proofErr w:type="spellEnd"/>
      <w:r w:rsidR="0041287D" w:rsidRPr="0041287D">
        <w:rPr>
          <w:rFonts w:asciiTheme="majorBidi" w:hAnsiTheme="majorBidi"/>
          <w:b w:val="0"/>
          <w:bCs w:val="0"/>
          <w:color w:val="auto"/>
          <w:sz w:val="20"/>
          <w:szCs w:val="20"/>
        </w:rPr>
        <w:t xml:space="preserve">₂ substrate was treated as rigid to reduce computational cost and to isolate the </w:t>
      </w:r>
      <w:r w:rsidR="0041287D" w:rsidRPr="004274FC">
        <w:rPr>
          <w:rFonts w:asciiTheme="majorBidi" w:hAnsiTheme="majorBidi"/>
          <w:b w:val="0"/>
          <w:bCs w:val="0"/>
          <w:color w:val="auto"/>
          <w:sz w:val="20"/>
          <w:szCs w:val="20"/>
        </w:rPr>
        <w:t>temperature-dependent behavior of carbon species on the Fe catalyst.</w:t>
      </w:r>
      <w:r w:rsidR="004274FC" w:rsidRPr="004274FC">
        <w:rPr>
          <w:rFonts w:asciiTheme="majorBidi" w:hAnsiTheme="majorBidi"/>
          <w:b w:val="0"/>
          <w:bCs w:val="0"/>
          <w:color w:val="auto"/>
          <w:sz w:val="20"/>
          <w:szCs w:val="20"/>
        </w:rPr>
        <w:t xml:space="preserve"> This approximation is commonly adopted in atomistic screening studies where the substrate is not the primary focus of the analysis.</w:t>
      </w:r>
    </w:p>
    <w:p w14:paraId="1AA0A66E" w14:textId="77777777" w:rsidR="00780892" w:rsidRDefault="00780892" w:rsidP="00DA0905">
      <w:pPr>
        <w:pStyle w:val="Heading2"/>
        <w:jc w:val="both"/>
      </w:pPr>
    </w:p>
    <w:p w14:paraId="0D7263C6" w14:textId="235AD119" w:rsidR="00751B1F" w:rsidRPr="00DA0905" w:rsidRDefault="00DA0905">
      <w:pPr>
        <w:pStyle w:val="Heading2"/>
        <w:rPr>
          <w:rFonts w:asciiTheme="majorBidi" w:hAnsiTheme="majorBidi"/>
          <w:color w:val="auto"/>
          <w:sz w:val="20"/>
          <w:szCs w:val="20"/>
        </w:rPr>
      </w:pPr>
      <w:r w:rsidRPr="00DA0905">
        <w:rPr>
          <w:rFonts w:asciiTheme="majorBidi" w:hAnsiTheme="majorBidi"/>
          <w:color w:val="auto"/>
          <w:sz w:val="20"/>
          <w:szCs w:val="20"/>
        </w:rPr>
        <w:t>Table S5. Lennard–Jones (12–6) parameters used to describe non-bonded interactions between atomic species in the classical MD simulations.</w:t>
      </w:r>
    </w:p>
    <w:tbl>
      <w:tblPr>
        <w:tblW w:w="0" w:type="auto"/>
        <w:tblLook w:val="04A0" w:firstRow="1" w:lastRow="0" w:firstColumn="1" w:lastColumn="0" w:noHBand="0" w:noVBand="1"/>
      </w:tblPr>
      <w:tblGrid>
        <w:gridCol w:w="1728"/>
        <w:gridCol w:w="1728"/>
        <w:gridCol w:w="1728"/>
        <w:gridCol w:w="1728"/>
        <w:gridCol w:w="1728"/>
      </w:tblGrid>
      <w:tr w:rsidR="00751B1F" w:rsidRPr="003A7E49" w14:paraId="65B2F7BF" w14:textId="77777777">
        <w:tc>
          <w:tcPr>
            <w:tcW w:w="1728" w:type="dxa"/>
          </w:tcPr>
          <w:p w14:paraId="786A51FB"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Atom 1</w:t>
            </w:r>
          </w:p>
        </w:tc>
        <w:tc>
          <w:tcPr>
            <w:tcW w:w="1728" w:type="dxa"/>
          </w:tcPr>
          <w:p w14:paraId="21D80D16"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Atom 2</w:t>
            </w:r>
          </w:p>
        </w:tc>
        <w:tc>
          <w:tcPr>
            <w:tcW w:w="1728" w:type="dxa"/>
          </w:tcPr>
          <w:p w14:paraId="787AC50E"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ε (J)</w:t>
            </w:r>
          </w:p>
        </w:tc>
        <w:tc>
          <w:tcPr>
            <w:tcW w:w="1728" w:type="dxa"/>
          </w:tcPr>
          <w:p w14:paraId="18E68F8B"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σ (Å)</w:t>
            </w:r>
          </w:p>
        </w:tc>
        <w:tc>
          <w:tcPr>
            <w:tcW w:w="1728" w:type="dxa"/>
          </w:tcPr>
          <w:p w14:paraId="601D78DF"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Comment</w:t>
            </w:r>
          </w:p>
        </w:tc>
      </w:tr>
      <w:tr w:rsidR="00751B1F" w:rsidRPr="003A7E49" w14:paraId="7D1CF0B9" w14:textId="77777777">
        <w:tc>
          <w:tcPr>
            <w:tcW w:w="1728" w:type="dxa"/>
          </w:tcPr>
          <w:p w14:paraId="1DD75A71"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w:t>
            </w:r>
          </w:p>
        </w:tc>
        <w:tc>
          <w:tcPr>
            <w:tcW w:w="1728" w:type="dxa"/>
          </w:tcPr>
          <w:p w14:paraId="69B564C9"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w:t>
            </w:r>
          </w:p>
        </w:tc>
        <w:tc>
          <w:tcPr>
            <w:tcW w:w="1728" w:type="dxa"/>
          </w:tcPr>
          <w:p w14:paraId="6EE854A6"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9.216×10⁻²⁶</w:t>
            </w:r>
          </w:p>
        </w:tc>
        <w:tc>
          <w:tcPr>
            <w:tcW w:w="1728" w:type="dxa"/>
          </w:tcPr>
          <w:p w14:paraId="62045824"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3.40</w:t>
            </w:r>
          </w:p>
        </w:tc>
        <w:tc>
          <w:tcPr>
            <w:tcW w:w="1728" w:type="dxa"/>
          </w:tcPr>
          <w:p w14:paraId="5BB65663" w14:textId="5F4C9DDB"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Weak non-bonded carbon–carbon interactions</w:t>
            </w:r>
          </w:p>
        </w:tc>
      </w:tr>
      <w:tr w:rsidR="00751B1F" w:rsidRPr="003A7E49" w14:paraId="5FADBEC1" w14:textId="77777777">
        <w:tc>
          <w:tcPr>
            <w:tcW w:w="1728" w:type="dxa"/>
          </w:tcPr>
          <w:p w14:paraId="5A4BE476"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w:t>
            </w:r>
          </w:p>
        </w:tc>
        <w:tc>
          <w:tcPr>
            <w:tcW w:w="1728" w:type="dxa"/>
          </w:tcPr>
          <w:p w14:paraId="2C887B6E"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Fe</w:t>
            </w:r>
          </w:p>
        </w:tc>
        <w:tc>
          <w:tcPr>
            <w:tcW w:w="1728" w:type="dxa"/>
          </w:tcPr>
          <w:p w14:paraId="0AF3E868"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1.361×10⁻²⁴</w:t>
            </w:r>
          </w:p>
        </w:tc>
        <w:tc>
          <w:tcPr>
            <w:tcW w:w="1728" w:type="dxa"/>
          </w:tcPr>
          <w:p w14:paraId="4A278F29"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2.86</w:t>
            </w:r>
          </w:p>
        </w:tc>
        <w:tc>
          <w:tcPr>
            <w:tcW w:w="1728" w:type="dxa"/>
          </w:tcPr>
          <w:p w14:paraId="6AABE644" w14:textId="03784894"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Carbon–catalyst surface interaction</w:t>
            </w:r>
          </w:p>
        </w:tc>
      </w:tr>
      <w:tr w:rsidR="00751B1F" w:rsidRPr="003A7E49" w14:paraId="4745AC98" w14:textId="77777777">
        <w:tc>
          <w:tcPr>
            <w:tcW w:w="1728" w:type="dxa"/>
          </w:tcPr>
          <w:p w14:paraId="277BDC37"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Fe</w:t>
            </w:r>
          </w:p>
        </w:tc>
        <w:tc>
          <w:tcPr>
            <w:tcW w:w="1728" w:type="dxa"/>
          </w:tcPr>
          <w:p w14:paraId="55BBE53F"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Fe</w:t>
            </w:r>
          </w:p>
        </w:tc>
        <w:tc>
          <w:tcPr>
            <w:tcW w:w="1728" w:type="dxa"/>
          </w:tcPr>
          <w:p w14:paraId="245695BA"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2.015×10⁻²³</w:t>
            </w:r>
          </w:p>
        </w:tc>
        <w:tc>
          <w:tcPr>
            <w:tcW w:w="1728" w:type="dxa"/>
          </w:tcPr>
          <w:p w14:paraId="28BAD35E"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2.33</w:t>
            </w:r>
          </w:p>
        </w:tc>
        <w:tc>
          <w:tcPr>
            <w:tcW w:w="1728" w:type="dxa"/>
          </w:tcPr>
          <w:p w14:paraId="224B8BFA" w14:textId="32930E3F"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Effective metallic cohesion (non-reactive)</w:t>
            </w:r>
          </w:p>
        </w:tc>
      </w:tr>
      <w:tr w:rsidR="00751B1F" w:rsidRPr="003A7E49" w14:paraId="673B5776" w14:textId="77777777">
        <w:tc>
          <w:tcPr>
            <w:tcW w:w="1728" w:type="dxa"/>
          </w:tcPr>
          <w:p w14:paraId="56FB1497"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Si</w:t>
            </w:r>
          </w:p>
        </w:tc>
        <w:tc>
          <w:tcPr>
            <w:tcW w:w="1728" w:type="dxa"/>
          </w:tcPr>
          <w:p w14:paraId="7951C8BB"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w:t>
            </w:r>
          </w:p>
        </w:tc>
        <w:tc>
          <w:tcPr>
            <w:tcW w:w="1728" w:type="dxa"/>
          </w:tcPr>
          <w:p w14:paraId="518EB301"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3.446×10⁻²⁵</w:t>
            </w:r>
          </w:p>
        </w:tc>
        <w:tc>
          <w:tcPr>
            <w:tcW w:w="1728" w:type="dxa"/>
          </w:tcPr>
          <w:p w14:paraId="6A761DFA"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3.70</w:t>
            </w:r>
          </w:p>
        </w:tc>
        <w:tc>
          <w:tcPr>
            <w:tcW w:w="1728" w:type="dxa"/>
          </w:tcPr>
          <w:p w14:paraId="5069003F" w14:textId="4205FA0B"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Weak carbon–substrate interaction</w:t>
            </w:r>
          </w:p>
        </w:tc>
      </w:tr>
      <w:tr w:rsidR="00751B1F" w:rsidRPr="003A7E49" w14:paraId="33BE0EAB" w14:textId="77777777">
        <w:tc>
          <w:tcPr>
            <w:tcW w:w="1728" w:type="dxa"/>
          </w:tcPr>
          <w:p w14:paraId="6A973D41"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Si</w:t>
            </w:r>
          </w:p>
        </w:tc>
        <w:tc>
          <w:tcPr>
            <w:tcW w:w="1728" w:type="dxa"/>
          </w:tcPr>
          <w:p w14:paraId="4715DC53"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Fe</w:t>
            </w:r>
          </w:p>
        </w:tc>
        <w:tc>
          <w:tcPr>
            <w:tcW w:w="1728" w:type="dxa"/>
          </w:tcPr>
          <w:p w14:paraId="2CB243B4"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3.690×10⁻²³</w:t>
            </w:r>
          </w:p>
        </w:tc>
        <w:tc>
          <w:tcPr>
            <w:tcW w:w="1728" w:type="dxa"/>
          </w:tcPr>
          <w:p w14:paraId="4DDC2B47"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5.20</w:t>
            </w:r>
          </w:p>
        </w:tc>
        <w:tc>
          <w:tcPr>
            <w:tcW w:w="1728" w:type="dxa"/>
          </w:tcPr>
          <w:p w14:paraId="1275294C" w14:textId="577978D9"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Cross interaction at catalyst–support interface</w:t>
            </w:r>
          </w:p>
        </w:tc>
      </w:tr>
      <w:tr w:rsidR="00751B1F" w:rsidRPr="003A7E49" w14:paraId="51BAACB3" w14:textId="77777777">
        <w:tc>
          <w:tcPr>
            <w:tcW w:w="1728" w:type="dxa"/>
          </w:tcPr>
          <w:p w14:paraId="1D458998"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O</w:t>
            </w:r>
          </w:p>
        </w:tc>
        <w:tc>
          <w:tcPr>
            <w:tcW w:w="1728" w:type="dxa"/>
          </w:tcPr>
          <w:p w14:paraId="0FBC4D09"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w:t>
            </w:r>
          </w:p>
        </w:tc>
        <w:tc>
          <w:tcPr>
            <w:tcW w:w="1728" w:type="dxa"/>
          </w:tcPr>
          <w:p w14:paraId="45E40A51" w14:textId="58397EC4" w:rsidR="00751B1F" w:rsidRPr="003A7E49" w:rsidRDefault="008E5706" w:rsidP="00AE70A6">
            <w:pPr>
              <w:rPr>
                <w:rFonts w:asciiTheme="majorBidi" w:hAnsiTheme="majorBidi" w:cstheme="majorBidi"/>
                <w:sz w:val="20"/>
                <w:szCs w:val="20"/>
              </w:rPr>
            </w:pPr>
            <w:r w:rsidRPr="003A7E49">
              <w:rPr>
                <w:rFonts w:asciiTheme="majorBidi" w:hAnsiTheme="majorBidi" w:cstheme="majorBidi"/>
                <w:sz w:val="20"/>
                <w:szCs w:val="20"/>
              </w:rPr>
              <w:t>4.908×10⁻</w:t>
            </w:r>
            <w:r w:rsidR="00AE70A6" w:rsidRPr="003A7E49">
              <w:rPr>
                <w:rFonts w:asciiTheme="majorBidi" w:hAnsiTheme="majorBidi" w:cstheme="majorBidi"/>
                <w:sz w:val="20"/>
                <w:szCs w:val="20"/>
                <w:vertAlign w:val="superscript"/>
              </w:rPr>
              <w:t>25</w:t>
            </w:r>
          </w:p>
        </w:tc>
        <w:tc>
          <w:tcPr>
            <w:tcW w:w="1728" w:type="dxa"/>
          </w:tcPr>
          <w:p w14:paraId="586C9A2B"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3.19</w:t>
            </w:r>
          </w:p>
        </w:tc>
        <w:tc>
          <w:tcPr>
            <w:tcW w:w="1728" w:type="dxa"/>
          </w:tcPr>
          <w:p w14:paraId="59634E2B" w14:textId="253671B7"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 xml:space="preserve">Weak </w:t>
            </w:r>
            <w:proofErr w:type="spellStart"/>
            <w:r w:rsidRPr="003A7E49">
              <w:rPr>
                <w:rFonts w:asciiTheme="majorBidi" w:hAnsiTheme="majorBidi" w:cstheme="majorBidi"/>
                <w:sz w:val="20"/>
                <w:szCs w:val="20"/>
              </w:rPr>
              <w:t>physisorption</w:t>
            </w:r>
            <w:proofErr w:type="spellEnd"/>
            <w:r w:rsidRPr="003A7E49">
              <w:rPr>
                <w:rFonts w:asciiTheme="majorBidi" w:hAnsiTheme="majorBidi" w:cstheme="majorBidi"/>
                <w:sz w:val="20"/>
                <w:szCs w:val="20"/>
              </w:rPr>
              <w:t xml:space="preserve"> / excluded-volume </w:t>
            </w:r>
            <w:r w:rsidRPr="003A7E49">
              <w:rPr>
                <w:rFonts w:asciiTheme="majorBidi" w:hAnsiTheme="majorBidi" w:cstheme="majorBidi"/>
                <w:sz w:val="20"/>
                <w:szCs w:val="20"/>
              </w:rPr>
              <w:lastRenderedPageBreak/>
              <w:t>interaction</w:t>
            </w:r>
          </w:p>
        </w:tc>
      </w:tr>
      <w:tr w:rsidR="00751B1F" w:rsidRPr="003A7E49" w14:paraId="71ED3216" w14:textId="77777777">
        <w:tc>
          <w:tcPr>
            <w:tcW w:w="1728" w:type="dxa"/>
          </w:tcPr>
          <w:p w14:paraId="01802A25"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lastRenderedPageBreak/>
              <w:t>O</w:t>
            </w:r>
          </w:p>
        </w:tc>
        <w:tc>
          <w:tcPr>
            <w:tcW w:w="1728" w:type="dxa"/>
          </w:tcPr>
          <w:p w14:paraId="2CDD7C20"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Fe</w:t>
            </w:r>
          </w:p>
        </w:tc>
        <w:tc>
          <w:tcPr>
            <w:tcW w:w="1728" w:type="dxa"/>
          </w:tcPr>
          <w:p w14:paraId="47EF9152"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1.099×10⁻²²</w:t>
            </w:r>
          </w:p>
        </w:tc>
        <w:tc>
          <w:tcPr>
            <w:tcW w:w="1728" w:type="dxa"/>
          </w:tcPr>
          <w:p w14:paraId="4CA6D6E2"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0.0639</w:t>
            </w:r>
          </w:p>
        </w:tc>
        <w:tc>
          <w:tcPr>
            <w:tcW w:w="1728" w:type="dxa"/>
          </w:tcPr>
          <w:p w14:paraId="378E8766" w14:textId="43E62D22"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Effective surface interaction (non-reactive)</w:t>
            </w:r>
          </w:p>
        </w:tc>
      </w:tr>
      <w:tr w:rsidR="00751B1F" w:rsidRPr="003A7E49" w14:paraId="4F0B4AFF" w14:textId="77777777">
        <w:tc>
          <w:tcPr>
            <w:tcW w:w="1728" w:type="dxa"/>
          </w:tcPr>
          <w:p w14:paraId="33A7749F"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C</w:t>
            </w:r>
          </w:p>
        </w:tc>
        <w:tc>
          <w:tcPr>
            <w:tcW w:w="1728" w:type="dxa"/>
          </w:tcPr>
          <w:p w14:paraId="3A31D0B4"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H</w:t>
            </w:r>
          </w:p>
        </w:tc>
        <w:tc>
          <w:tcPr>
            <w:tcW w:w="1728" w:type="dxa"/>
          </w:tcPr>
          <w:p w14:paraId="2420542C" w14:textId="21CFAE4B" w:rsidR="00751B1F" w:rsidRPr="003A7E49" w:rsidRDefault="008E5706" w:rsidP="00155D55">
            <w:pPr>
              <w:rPr>
                <w:rFonts w:asciiTheme="majorBidi" w:hAnsiTheme="majorBidi" w:cstheme="majorBidi"/>
                <w:sz w:val="20"/>
                <w:szCs w:val="20"/>
              </w:rPr>
            </w:pPr>
            <w:r w:rsidRPr="003A7E49">
              <w:rPr>
                <w:rFonts w:asciiTheme="majorBidi" w:hAnsiTheme="majorBidi" w:cstheme="majorBidi"/>
                <w:sz w:val="20"/>
                <w:szCs w:val="20"/>
              </w:rPr>
              <w:t>1.50×10⁻</w:t>
            </w:r>
            <w:r w:rsidR="00155D55" w:rsidRPr="003A7E49">
              <w:rPr>
                <w:rFonts w:asciiTheme="majorBidi" w:hAnsiTheme="majorBidi" w:cstheme="majorBidi"/>
                <w:sz w:val="20"/>
                <w:szCs w:val="20"/>
                <w:vertAlign w:val="superscript"/>
              </w:rPr>
              <w:t>25</w:t>
            </w:r>
          </w:p>
        </w:tc>
        <w:tc>
          <w:tcPr>
            <w:tcW w:w="1728" w:type="dxa"/>
          </w:tcPr>
          <w:p w14:paraId="0749DA1B"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3.315</w:t>
            </w:r>
          </w:p>
        </w:tc>
        <w:tc>
          <w:tcPr>
            <w:tcW w:w="1728" w:type="dxa"/>
          </w:tcPr>
          <w:p w14:paraId="3740E12D" w14:textId="1B721C36"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Short-range repulsive interaction (non-bonded)</w:t>
            </w:r>
          </w:p>
        </w:tc>
      </w:tr>
      <w:tr w:rsidR="00751B1F" w:rsidRPr="003A7E49" w14:paraId="3B5B9535" w14:textId="77777777">
        <w:tc>
          <w:tcPr>
            <w:tcW w:w="1728" w:type="dxa"/>
          </w:tcPr>
          <w:p w14:paraId="7F48F5B2"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Fe</w:t>
            </w:r>
          </w:p>
        </w:tc>
        <w:tc>
          <w:tcPr>
            <w:tcW w:w="1728" w:type="dxa"/>
          </w:tcPr>
          <w:p w14:paraId="2D069E6F"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H</w:t>
            </w:r>
          </w:p>
        </w:tc>
        <w:tc>
          <w:tcPr>
            <w:tcW w:w="1728" w:type="dxa"/>
          </w:tcPr>
          <w:p w14:paraId="71F8CA09"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3.939×10⁻²⁵</w:t>
            </w:r>
          </w:p>
        </w:tc>
        <w:tc>
          <w:tcPr>
            <w:tcW w:w="1728" w:type="dxa"/>
          </w:tcPr>
          <w:p w14:paraId="706BA092"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1.88</w:t>
            </w:r>
          </w:p>
        </w:tc>
        <w:tc>
          <w:tcPr>
            <w:tcW w:w="1728" w:type="dxa"/>
          </w:tcPr>
          <w:p w14:paraId="6BFBF10E" w14:textId="75DF4498"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Weak hydrogen–metal interaction</w:t>
            </w:r>
          </w:p>
        </w:tc>
      </w:tr>
      <w:tr w:rsidR="00751B1F" w:rsidRPr="003A7E49" w14:paraId="753F853C" w14:textId="77777777">
        <w:tc>
          <w:tcPr>
            <w:tcW w:w="1728" w:type="dxa"/>
          </w:tcPr>
          <w:p w14:paraId="4377D41E"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Si</w:t>
            </w:r>
          </w:p>
        </w:tc>
        <w:tc>
          <w:tcPr>
            <w:tcW w:w="1728" w:type="dxa"/>
          </w:tcPr>
          <w:p w14:paraId="67114FC6"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H</w:t>
            </w:r>
          </w:p>
        </w:tc>
        <w:tc>
          <w:tcPr>
            <w:tcW w:w="1728" w:type="dxa"/>
          </w:tcPr>
          <w:p w14:paraId="1E2E46B5" w14:textId="16FE7BDC" w:rsidR="00751B1F" w:rsidRPr="003A7E49" w:rsidRDefault="00155D55" w:rsidP="00155D55">
            <w:pPr>
              <w:rPr>
                <w:rFonts w:asciiTheme="majorBidi" w:hAnsiTheme="majorBidi" w:cstheme="majorBidi"/>
                <w:sz w:val="20"/>
                <w:szCs w:val="20"/>
              </w:rPr>
            </w:pPr>
            <w:r w:rsidRPr="003A7E49">
              <w:rPr>
                <w:rFonts w:asciiTheme="majorBidi" w:hAnsiTheme="majorBidi" w:cstheme="majorBidi"/>
                <w:sz w:val="20"/>
                <w:szCs w:val="20"/>
              </w:rPr>
              <w:t>2.089×10⁻</w:t>
            </w:r>
            <w:r w:rsidRPr="003A7E49">
              <w:rPr>
                <w:rFonts w:asciiTheme="majorBidi" w:hAnsiTheme="majorBidi" w:cstheme="majorBidi"/>
                <w:sz w:val="20"/>
                <w:szCs w:val="20"/>
                <w:vertAlign w:val="superscript"/>
              </w:rPr>
              <w:t>25</w:t>
            </w:r>
          </w:p>
        </w:tc>
        <w:tc>
          <w:tcPr>
            <w:tcW w:w="1728" w:type="dxa"/>
          </w:tcPr>
          <w:p w14:paraId="705B572E"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1.35</w:t>
            </w:r>
          </w:p>
        </w:tc>
        <w:tc>
          <w:tcPr>
            <w:tcW w:w="1728" w:type="dxa"/>
          </w:tcPr>
          <w:p w14:paraId="7B2C8036" w14:textId="5BEEB76D"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Weak hydrogen–substrate interaction</w:t>
            </w:r>
          </w:p>
        </w:tc>
      </w:tr>
      <w:tr w:rsidR="00751B1F" w:rsidRPr="003A7E49" w14:paraId="156A6FBA" w14:textId="77777777">
        <w:tc>
          <w:tcPr>
            <w:tcW w:w="1728" w:type="dxa"/>
          </w:tcPr>
          <w:p w14:paraId="20E7451C"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H</w:t>
            </w:r>
          </w:p>
        </w:tc>
        <w:tc>
          <w:tcPr>
            <w:tcW w:w="1728" w:type="dxa"/>
          </w:tcPr>
          <w:p w14:paraId="635315D1"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H</w:t>
            </w:r>
          </w:p>
        </w:tc>
        <w:tc>
          <w:tcPr>
            <w:tcW w:w="1728" w:type="dxa"/>
          </w:tcPr>
          <w:p w14:paraId="0578DA2E"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7.648×10⁻²⁷</w:t>
            </w:r>
          </w:p>
        </w:tc>
        <w:tc>
          <w:tcPr>
            <w:tcW w:w="1728" w:type="dxa"/>
          </w:tcPr>
          <w:p w14:paraId="0856D5BB" w14:textId="77777777" w:rsidR="00751B1F" w:rsidRPr="003A7E49" w:rsidRDefault="008E5706">
            <w:pPr>
              <w:rPr>
                <w:rFonts w:asciiTheme="majorBidi" w:hAnsiTheme="majorBidi" w:cstheme="majorBidi"/>
                <w:sz w:val="20"/>
                <w:szCs w:val="20"/>
              </w:rPr>
            </w:pPr>
            <w:r w:rsidRPr="003A7E49">
              <w:rPr>
                <w:rFonts w:asciiTheme="majorBidi" w:hAnsiTheme="majorBidi" w:cstheme="majorBidi"/>
                <w:sz w:val="20"/>
                <w:szCs w:val="20"/>
              </w:rPr>
              <w:t>1.436</w:t>
            </w:r>
          </w:p>
        </w:tc>
        <w:tc>
          <w:tcPr>
            <w:tcW w:w="1728" w:type="dxa"/>
          </w:tcPr>
          <w:p w14:paraId="06521132" w14:textId="4D131C54" w:rsidR="00751B1F" w:rsidRPr="003A7E49" w:rsidRDefault="00155D55">
            <w:pPr>
              <w:rPr>
                <w:rFonts w:asciiTheme="majorBidi" w:hAnsiTheme="majorBidi" w:cstheme="majorBidi"/>
                <w:sz w:val="20"/>
                <w:szCs w:val="20"/>
              </w:rPr>
            </w:pPr>
            <w:r w:rsidRPr="003A7E49">
              <w:rPr>
                <w:rFonts w:asciiTheme="majorBidi" w:hAnsiTheme="majorBidi" w:cstheme="majorBidi"/>
                <w:sz w:val="20"/>
                <w:szCs w:val="20"/>
              </w:rPr>
              <w:t>Reference non-bonded interaction</w:t>
            </w:r>
          </w:p>
        </w:tc>
      </w:tr>
    </w:tbl>
    <w:p w14:paraId="2F4CEDC4" w14:textId="494C96E6" w:rsidR="00751B1F" w:rsidRDefault="00E83983" w:rsidP="00E83983">
      <w:pPr>
        <w:jc w:val="both"/>
      </w:pPr>
      <w:r w:rsidRPr="00E83983">
        <w:t>The Lennard–Jones parameters listed in this table constitute an internally consistent non-reactive force-field framework implemented in DL_POLY. Some ε values differ from those commonly reported in the literature due to internal unit conventions and numerical stabilization strategies adopted to ensure stable time integration and excluded-volume behavior at elevated temperatures. These parameters are not intended to represent physically measurable interaction energies. Consequently, all physical interpretations in this study are based on relative temperature-dependent trends in dynamical and structural descriptors rather than on absolute energetic magnitudes. Terms such as coordination number and interatomic distance are therefore used throughout this work instead of chemical bond descriptors.</w:t>
      </w:r>
    </w:p>
    <w:sectPr w:rsidR="00751B1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0C6BE" w14:textId="77777777" w:rsidR="005863C1" w:rsidRDefault="005863C1" w:rsidP="0002498D">
      <w:pPr>
        <w:spacing w:after="0" w:line="240" w:lineRule="auto"/>
      </w:pPr>
      <w:r>
        <w:separator/>
      </w:r>
    </w:p>
  </w:endnote>
  <w:endnote w:type="continuationSeparator" w:id="0">
    <w:p w14:paraId="708B62D7" w14:textId="77777777" w:rsidR="005863C1" w:rsidRDefault="005863C1" w:rsidP="0002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0D11E" w14:textId="77777777" w:rsidR="005863C1" w:rsidRDefault="005863C1" w:rsidP="0002498D">
      <w:pPr>
        <w:spacing w:after="0" w:line="240" w:lineRule="auto"/>
      </w:pPr>
      <w:r>
        <w:separator/>
      </w:r>
    </w:p>
  </w:footnote>
  <w:footnote w:type="continuationSeparator" w:id="0">
    <w:p w14:paraId="45FD05A1" w14:textId="77777777" w:rsidR="005863C1" w:rsidRDefault="005863C1" w:rsidP="00024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498D"/>
    <w:rsid w:val="00034616"/>
    <w:rsid w:val="0006063C"/>
    <w:rsid w:val="00087E6A"/>
    <w:rsid w:val="0015074B"/>
    <w:rsid w:val="00155D55"/>
    <w:rsid w:val="001A4D3B"/>
    <w:rsid w:val="00290A0F"/>
    <w:rsid w:val="00294387"/>
    <w:rsid w:val="0029639D"/>
    <w:rsid w:val="002B5039"/>
    <w:rsid w:val="00316441"/>
    <w:rsid w:val="00326F90"/>
    <w:rsid w:val="00351032"/>
    <w:rsid w:val="003A7E49"/>
    <w:rsid w:val="003C08F6"/>
    <w:rsid w:val="0041287D"/>
    <w:rsid w:val="004274FC"/>
    <w:rsid w:val="00434811"/>
    <w:rsid w:val="004B3F7B"/>
    <w:rsid w:val="00557A9C"/>
    <w:rsid w:val="005863C1"/>
    <w:rsid w:val="0063742E"/>
    <w:rsid w:val="0064475A"/>
    <w:rsid w:val="006F7336"/>
    <w:rsid w:val="00751B1F"/>
    <w:rsid w:val="007568AC"/>
    <w:rsid w:val="00780892"/>
    <w:rsid w:val="007E4276"/>
    <w:rsid w:val="007E44B6"/>
    <w:rsid w:val="007E57FC"/>
    <w:rsid w:val="008038FC"/>
    <w:rsid w:val="0082418B"/>
    <w:rsid w:val="00886A1E"/>
    <w:rsid w:val="008E5706"/>
    <w:rsid w:val="00973CAF"/>
    <w:rsid w:val="00987727"/>
    <w:rsid w:val="00A41A05"/>
    <w:rsid w:val="00A85969"/>
    <w:rsid w:val="00AA1D8D"/>
    <w:rsid w:val="00AE70A6"/>
    <w:rsid w:val="00B2309F"/>
    <w:rsid w:val="00B246FD"/>
    <w:rsid w:val="00B26703"/>
    <w:rsid w:val="00B47730"/>
    <w:rsid w:val="00C16533"/>
    <w:rsid w:val="00C41881"/>
    <w:rsid w:val="00C55E43"/>
    <w:rsid w:val="00C96900"/>
    <w:rsid w:val="00CB0664"/>
    <w:rsid w:val="00CB4363"/>
    <w:rsid w:val="00CD5EFF"/>
    <w:rsid w:val="00D264AA"/>
    <w:rsid w:val="00D51F44"/>
    <w:rsid w:val="00DA0905"/>
    <w:rsid w:val="00DD220D"/>
    <w:rsid w:val="00E204EC"/>
    <w:rsid w:val="00E43CE7"/>
    <w:rsid w:val="00E83983"/>
    <w:rsid w:val="00EB7DE1"/>
    <w:rsid w:val="00FB03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D7A3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8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55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98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55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0D09-719A-4DAC-AB16-16391E49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ms</cp:lastModifiedBy>
  <cp:revision>14</cp:revision>
  <dcterms:created xsi:type="dcterms:W3CDTF">2025-12-30T19:50:00Z</dcterms:created>
  <dcterms:modified xsi:type="dcterms:W3CDTF">2026-02-27T10:51:00Z</dcterms:modified>
</cp:coreProperties>
</file>