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9AAED" w14:textId="77777777" w:rsidR="0089442F" w:rsidRPr="001A5F49" w:rsidRDefault="0089442F" w:rsidP="0089442F">
      <w:pPr>
        <w:rPr>
          <w:rFonts w:ascii="Times New Roman" w:hAnsi="Times New Roman" w:cs="Times New Roman"/>
          <w:b/>
          <w:bCs/>
        </w:rPr>
      </w:pPr>
      <w:r w:rsidRPr="001A5F49">
        <w:rPr>
          <w:rFonts w:ascii="Times New Roman" w:hAnsi="Times New Roman" w:cs="Times New Roman"/>
          <w:b/>
          <w:bCs/>
        </w:rPr>
        <w:t>Effort and Substance Use: Differentiating Tobacco Use Through Reinforcement Learning of Effort Based Decision Making</w:t>
      </w:r>
    </w:p>
    <w:p w14:paraId="169F233D" w14:textId="77777777" w:rsidR="0089442F" w:rsidRPr="001A5F49" w:rsidRDefault="0089442F" w:rsidP="0089442F">
      <w:pPr>
        <w:rPr>
          <w:rFonts w:ascii="Times New Roman" w:hAnsi="Times New Roman" w:cs="Times New Roman"/>
          <w:b/>
          <w:bCs/>
        </w:rPr>
      </w:pPr>
    </w:p>
    <w:p w14:paraId="7217862B" w14:textId="77777777" w:rsidR="0089442F" w:rsidRPr="001A5F49" w:rsidRDefault="0089442F" w:rsidP="0089442F">
      <w:pPr>
        <w:rPr>
          <w:rFonts w:ascii="Times New Roman" w:hAnsi="Times New Roman" w:cs="Times New Roman"/>
          <w:vertAlign w:val="superscript"/>
        </w:rPr>
      </w:pPr>
      <w:r w:rsidRPr="001A5F49">
        <w:rPr>
          <w:rFonts w:ascii="Times New Roman" w:hAnsi="Times New Roman" w:cs="Times New Roman"/>
          <w:b/>
          <w:bCs/>
        </w:rPr>
        <w:t>Authors:</w:t>
      </w:r>
      <w:r w:rsidRPr="001A5F49">
        <w:rPr>
          <w:rFonts w:ascii="Times New Roman" w:hAnsi="Times New Roman" w:cs="Times New Roman"/>
        </w:rPr>
        <w:t xml:space="preserve"> Kasey P. Spry</w:t>
      </w:r>
      <w:r w:rsidRPr="001A5F49">
        <w:rPr>
          <w:rFonts w:ascii="Times New Roman" w:hAnsi="Times New Roman" w:cs="Times New Roman"/>
          <w:vertAlign w:val="superscript"/>
        </w:rPr>
        <w:t>1,2</w:t>
      </w:r>
      <w:r w:rsidRPr="001A5F49">
        <w:rPr>
          <w:rFonts w:ascii="Times New Roman" w:hAnsi="Times New Roman" w:cs="Times New Roman"/>
        </w:rPr>
        <w:t>, Jazmyne James</w:t>
      </w:r>
      <w:r w:rsidRPr="001A5F49">
        <w:rPr>
          <w:rFonts w:ascii="Times New Roman" w:hAnsi="Times New Roman" w:cs="Times New Roman"/>
          <w:vertAlign w:val="superscript"/>
        </w:rPr>
        <w:t>1</w:t>
      </w:r>
      <w:r w:rsidRPr="001A5F49">
        <w:rPr>
          <w:rFonts w:ascii="Times New Roman" w:hAnsi="Times New Roman" w:cs="Times New Roman"/>
        </w:rPr>
        <w:t>, Alison H. Oliveto</w:t>
      </w:r>
      <w:r w:rsidRPr="001A5F49">
        <w:rPr>
          <w:rFonts w:ascii="Times New Roman" w:hAnsi="Times New Roman" w:cs="Times New Roman"/>
          <w:vertAlign w:val="superscript"/>
        </w:rPr>
        <w:t>3</w:t>
      </w:r>
      <w:r w:rsidRPr="001A5F49">
        <w:rPr>
          <w:rFonts w:ascii="Times New Roman" w:hAnsi="Times New Roman" w:cs="Times New Roman"/>
        </w:rPr>
        <w:t>, Michael Mancino</w:t>
      </w:r>
      <w:r w:rsidRPr="001A5F49">
        <w:rPr>
          <w:rFonts w:ascii="Times New Roman" w:hAnsi="Times New Roman" w:cs="Times New Roman"/>
          <w:vertAlign w:val="superscript"/>
        </w:rPr>
        <w:t>3</w:t>
      </w:r>
      <w:r w:rsidRPr="001A5F49">
        <w:rPr>
          <w:rFonts w:ascii="Times New Roman" w:hAnsi="Times New Roman" w:cs="Times New Roman"/>
        </w:rPr>
        <w:t>, Kenneth T. Kishida</w:t>
      </w:r>
      <w:r w:rsidRPr="001A5F49">
        <w:rPr>
          <w:rFonts w:ascii="Times New Roman" w:hAnsi="Times New Roman" w:cs="Times New Roman"/>
          <w:vertAlign w:val="superscript"/>
        </w:rPr>
        <w:t xml:space="preserve">1,4,5 † </w:t>
      </w:r>
      <w:r w:rsidRPr="001A5F49">
        <w:rPr>
          <w:rFonts w:ascii="Times New Roman" w:hAnsi="Times New Roman" w:cs="Times New Roman"/>
        </w:rPr>
        <w:t>, Merideth A. Addicott</w:t>
      </w:r>
      <w:r w:rsidRPr="001A5F49">
        <w:rPr>
          <w:rFonts w:ascii="Times New Roman" w:hAnsi="Times New Roman" w:cs="Times New Roman"/>
          <w:vertAlign w:val="superscript"/>
        </w:rPr>
        <w:t>1†</w:t>
      </w:r>
    </w:p>
    <w:p w14:paraId="0B830381" w14:textId="77777777" w:rsidR="0089442F" w:rsidRPr="001A5F49" w:rsidRDefault="0089442F" w:rsidP="0089442F">
      <w:pPr>
        <w:rPr>
          <w:rFonts w:ascii="Times New Roman" w:hAnsi="Times New Roman" w:cs="Times New Roman"/>
        </w:rPr>
      </w:pPr>
    </w:p>
    <w:p w14:paraId="3C2A2449" w14:textId="77777777" w:rsidR="0089442F" w:rsidRPr="001A5F49" w:rsidRDefault="0089442F" w:rsidP="0089442F">
      <w:pPr>
        <w:rPr>
          <w:rFonts w:ascii="Times New Roman" w:hAnsi="Times New Roman" w:cs="Times New Roman"/>
        </w:rPr>
      </w:pPr>
      <w:r w:rsidRPr="001A5F49">
        <w:rPr>
          <w:rFonts w:ascii="Times New Roman" w:hAnsi="Times New Roman" w:cs="Times New Roman"/>
          <w:b/>
          <w:bCs/>
        </w:rPr>
        <w:t>Affiliations:</w:t>
      </w:r>
      <w:r w:rsidRPr="001A5F49">
        <w:rPr>
          <w:rFonts w:ascii="Times New Roman" w:hAnsi="Times New Roman" w:cs="Times New Roman"/>
        </w:rPr>
        <w:t xml:space="preserve"> </w:t>
      </w:r>
    </w:p>
    <w:p w14:paraId="37BED5BE" w14:textId="77777777" w:rsidR="0089442F" w:rsidRPr="001A5F49" w:rsidRDefault="0089442F" w:rsidP="0089442F">
      <w:pPr>
        <w:spacing w:line="276" w:lineRule="auto"/>
        <w:rPr>
          <w:rFonts w:ascii="Times New Roman" w:hAnsi="Times New Roman" w:cs="Times New Roman"/>
        </w:rPr>
      </w:pPr>
      <w:r w:rsidRPr="001A5F49">
        <w:rPr>
          <w:rFonts w:ascii="Times New Roman" w:hAnsi="Times New Roman" w:cs="Times New Roman"/>
          <w:vertAlign w:val="superscript"/>
        </w:rPr>
        <w:t xml:space="preserve">1 </w:t>
      </w:r>
      <w:r w:rsidRPr="001A5F49">
        <w:rPr>
          <w:rFonts w:ascii="Times New Roman" w:hAnsi="Times New Roman" w:cs="Times New Roman"/>
        </w:rPr>
        <w:t>Department of Translational Neuroscience, Wake Forest University School of Medicine, Winston-Salem, NC</w:t>
      </w:r>
      <w:r>
        <w:rPr>
          <w:rFonts w:ascii="Times New Roman" w:hAnsi="Times New Roman" w:cs="Times New Roman"/>
        </w:rPr>
        <w:t>, USA</w:t>
      </w:r>
    </w:p>
    <w:p w14:paraId="2F1AAFF8" w14:textId="77777777" w:rsidR="0089442F" w:rsidRPr="001A5F49" w:rsidRDefault="0089442F" w:rsidP="0089442F">
      <w:pPr>
        <w:spacing w:line="276" w:lineRule="auto"/>
        <w:rPr>
          <w:rFonts w:ascii="Times New Roman" w:hAnsi="Times New Roman" w:cs="Times New Roman"/>
        </w:rPr>
      </w:pPr>
      <w:r w:rsidRPr="001A5F49">
        <w:rPr>
          <w:rFonts w:ascii="Times New Roman" w:hAnsi="Times New Roman" w:cs="Times New Roman"/>
          <w:vertAlign w:val="superscript"/>
        </w:rPr>
        <w:t xml:space="preserve">2 </w:t>
      </w:r>
      <w:r w:rsidRPr="001A5F49">
        <w:rPr>
          <w:rFonts w:ascii="Times New Roman" w:hAnsi="Times New Roman" w:cs="Times New Roman"/>
        </w:rPr>
        <w:t>Neuroscience Graduate Program, Wake Forest University Graduate School of Arts and Sciences, Winston-Salem, NC</w:t>
      </w:r>
      <w:r>
        <w:rPr>
          <w:rFonts w:ascii="Times New Roman" w:hAnsi="Times New Roman" w:cs="Times New Roman"/>
        </w:rPr>
        <w:t>, USA</w:t>
      </w:r>
    </w:p>
    <w:p w14:paraId="2DDD7DAF" w14:textId="77777777" w:rsidR="0089442F" w:rsidRPr="001A5F49" w:rsidRDefault="0089442F" w:rsidP="0089442F">
      <w:pPr>
        <w:spacing w:line="276" w:lineRule="auto"/>
        <w:rPr>
          <w:rFonts w:ascii="Times New Roman" w:hAnsi="Times New Roman" w:cs="Times New Roman"/>
        </w:rPr>
      </w:pPr>
      <w:r w:rsidRPr="001A5F49">
        <w:rPr>
          <w:rFonts w:ascii="Times New Roman" w:hAnsi="Times New Roman" w:cs="Times New Roman"/>
          <w:vertAlign w:val="superscript"/>
        </w:rPr>
        <w:t xml:space="preserve">3 </w:t>
      </w:r>
      <w:r w:rsidRPr="001A5F49">
        <w:rPr>
          <w:rFonts w:ascii="Times New Roman" w:hAnsi="Times New Roman" w:cs="Times New Roman"/>
        </w:rPr>
        <w:t>Department of Psychiatry , University of Arkansas for Medical Sciences, Little Rock, AR</w:t>
      </w:r>
      <w:r>
        <w:rPr>
          <w:rFonts w:ascii="Times New Roman" w:hAnsi="Times New Roman" w:cs="Times New Roman"/>
        </w:rPr>
        <w:t>, USA</w:t>
      </w:r>
    </w:p>
    <w:p w14:paraId="252B6C15" w14:textId="77777777" w:rsidR="0089442F" w:rsidRPr="001A5F49" w:rsidRDefault="0089442F" w:rsidP="0089442F">
      <w:pPr>
        <w:spacing w:line="276" w:lineRule="auto"/>
        <w:rPr>
          <w:rFonts w:ascii="Times New Roman" w:hAnsi="Times New Roman" w:cs="Times New Roman"/>
        </w:rPr>
      </w:pPr>
      <w:r w:rsidRPr="001A5F49">
        <w:rPr>
          <w:rFonts w:ascii="Times New Roman" w:hAnsi="Times New Roman" w:cs="Times New Roman"/>
          <w:vertAlign w:val="superscript"/>
        </w:rPr>
        <w:t>4</w:t>
      </w:r>
      <w:r w:rsidRPr="001A5F49">
        <w:rPr>
          <w:rFonts w:ascii="Times New Roman" w:hAnsi="Times New Roman" w:cs="Times New Roman"/>
        </w:rPr>
        <w:t xml:space="preserve"> Department of Biology, Wake Forest University, Winston-Salem, NC</w:t>
      </w:r>
      <w:r>
        <w:rPr>
          <w:rFonts w:ascii="Times New Roman" w:hAnsi="Times New Roman" w:cs="Times New Roman"/>
        </w:rPr>
        <w:t>, USA</w:t>
      </w:r>
    </w:p>
    <w:p w14:paraId="0DDE1C60" w14:textId="77777777" w:rsidR="0089442F" w:rsidRPr="001A5F49" w:rsidRDefault="0089442F" w:rsidP="0089442F">
      <w:pPr>
        <w:spacing w:line="276" w:lineRule="auto"/>
        <w:rPr>
          <w:rFonts w:ascii="Times New Roman" w:hAnsi="Times New Roman" w:cs="Times New Roman"/>
        </w:rPr>
      </w:pPr>
      <w:r w:rsidRPr="001A5F49">
        <w:rPr>
          <w:rFonts w:ascii="Times New Roman" w:hAnsi="Times New Roman" w:cs="Times New Roman"/>
          <w:vertAlign w:val="superscript"/>
        </w:rPr>
        <w:t xml:space="preserve">5 </w:t>
      </w:r>
      <w:r w:rsidRPr="001A5F49">
        <w:rPr>
          <w:rFonts w:ascii="Times New Roman" w:hAnsi="Times New Roman" w:cs="Times New Roman"/>
        </w:rPr>
        <w:t>Department of Neurosurgery, Wake Forest University School of Medicine, Winston-Salem, NC</w:t>
      </w:r>
      <w:r>
        <w:rPr>
          <w:rFonts w:ascii="Times New Roman" w:hAnsi="Times New Roman" w:cs="Times New Roman"/>
        </w:rPr>
        <w:t>, USA</w:t>
      </w:r>
    </w:p>
    <w:p w14:paraId="1CF351F0" w14:textId="77777777" w:rsidR="0089442F" w:rsidRPr="001A5F49" w:rsidRDefault="0089442F" w:rsidP="0089442F">
      <w:pPr>
        <w:spacing w:line="276" w:lineRule="auto"/>
        <w:rPr>
          <w:rFonts w:ascii="Times New Roman" w:hAnsi="Times New Roman" w:cs="Times New Roman"/>
        </w:rPr>
      </w:pPr>
      <w:r w:rsidRPr="001A5F49">
        <w:rPr>
          <w:rFonts w:ascii="Times New Roman" w:hAnsi="Times New Roman" w:cs="Times New Roman"/>
          <w:vertAlign w:val="superscript"/>
        </w:rPr>
        <w:t xml:space="preserve">† </w:t>
      </w:r>
      <w:r w:rsidRPr="001A5F49">
        <w:rPr>
          <w:rFonts w:ascii="Times New Roman" w:hAnsi="Times New Roman" w:cs="Times New Roman"/>
        </w:rPr>
        <w:t>Merideth A. Addicott and Kenneth T. Kishida are co-senior authors</w:t>
      </w:r>
    </w:p>
    <w:p w14:paraId="3D9B2D78" w14:textId="77777777" w:rsidR="0089442F" w:rsidRPr="001A5F49" w:rsidRDefault="0089442F" w:rsidP="0089442F">
      <w:pPr>
        <w:spacing w:line="276" w:lineRule="auto"/>
        <w:rPr>
          <w:rFonts w:ascii="Times New Roman" w:hAnsi="Times New Roman" w:cs="Times New Roman"/>
        </w:rPr>
      </w:pPr>
    </w:p>
    <w:p w14:paraId="052C20CD" w14:textId="77777777" w:rsidR="0089442F" w:rsidRPr="001A5F49" w:rsidRDefault="0089442F" w:rsidP="0089442F">
      <w:pPr>
        <w:spacing w:line="276" w:lineRule="auto"/>
        <w:rPr>
          <w:rFonts w:ascii="Times New Roman" w:hAnsi="Times New Roman" w:cs="Times New Roman"/>
          <w:b/>
          <w:bCs/>
        </w:rPr>
      </w:pPr>
      <w:r w:rsidRPr="001A5F49">
        <w:rPr>
          <w:rFonts w:ascii="Times New Roman" w:hAnsi="Times New Roman" w:cs="Times New Roman"/>
          <w:b/>
          <w:bCs/>
        </w:rPr>
        <w:t>Corresponding Author</w:t>
      </w:r>
      <w:r>
        <w:rPr>
          <w:rFonts w:ascii="Times New Roman" w:hAnsi="Times New Roman" w:cs="Times New Roman"/>
          <w:b/>
          <w:bCs/>
        </w:rPr>
        <w:t>s</w:t>
      </w:r>
      <w:r w:rsidRPr="001A5F49">
        <w:rPr>
          <w:rFonts w:ascii="Times New Roman" w:hAnsi="Times New Roman" w:cs="Times New Roman"/>
          <w:b/>
          <w:bCs/>
        </w:rPr>
        <w:t>:</w:t>
      </w:r>
    </w:p>
    <w:p w14:paraId="08F30189" w14:textId="77777777" w:rsidR="0089442F" w:rsidRDefault="0089442F" w:rsidP="0089442F">
      <w:pPr>
        <w:spacing w:line="276" w:lineRule="auto"/>
        <w:rPr>
          <w:rFonts w:ascii="Times New Roman" w:hAnsi="Times New Roman" w:cs="Times New Roman"/>
        </w:rPr>
      </w:pPr>
      <w:r>
        <w:rPr>
          <w:rFonts w:ascii="Times New Roman" w:hAnsi="Times New Roman" w:cs="Times New Roman"/>
        </w:rPr>
        <w:t xml:space="preserve">Kasey P. Spry: </w:t>
      </w:r>
      <w:hyperlink r:id="rId7" w:history="1">
        <w:r w:rsidRPr="00A63413">
          <w:rPr>
            <w:rStyle w:val="Hyperlink"/>
            <w:rFonts w:ascii="Times New Roman" w:hAnsi="Times New Roman" w:cs="Times New Roman"/>
          </w:rPr>
          <w:t>kasey.spry@wfusm.edu</w:t>
        </w:r>
      </w:hyperlink>
    </w:p>
    <w:p w14:paraId="6D8EACEC" w14:textId="77777777" w:rsidR="0089442F" w:rsidRPr="001A5F49" w:rsidRDefault="0089442F" w:rsidP="0089442F">
      <w:pPr>
        <w:spacing w:line="276" w:lineRule="auto"/>
        <w:rPr>
          <w:rFonts w:ascii="Times New Roman" w:hAnsi="Times New Roman" w:cs="Times New Roman"/>
        </w:rPr>
      </w:pPr>
      <w:r w:rsidRPr="001A5F49">
        <w:rPr>
          <w:rFonts w:ascii="Times New Roman" w:hAnsi="Times New Roman" w:cs="Times New Roman"/>
        </w:rPr>
        <w:t>Merideth A. Addicott</w:t>
      </w:r>
      <w:r>
        <w:rPr>
          <w:rFonts w:ascii="Times New Roman" w:hAnsi="Times New Roman" w:cs="Times New Roman"/>
        </w:rPr>
        <w:t xml:space="preserve">: </w:t>
      </w:r>
      <w:hyperlink r:id="rId8" w:history="1">
        <w:r w:rsidRPr="00AA5B9B">
          <w:rPr>
            <w:rStyle w:val="Hyperlink"/>
            <w:rFonts w:ascii="Times New Roman" w:hAnsi="Times New Roman" w:cs="Times New Roman"/>
          </w:rPr>
          <w:t>Merideth.Addicott@wfusm.edu</w:t>
        </w:r>
      </w:hyperlink>
    </w:p>
    <w:p w14:paraId="586A5F51" w14:textId="77777777" w:rsidR="0089442F" w:rsidRDefault="0089442F">
      <w:pPr>
        <w:rPr>
          <w:rFonts w:ascii="Times New Roman" w:hAnsi="Times New Roman" w:cs="Times New Roman"/>
          <w:b/>
          <w:bCs/>
        </w:rPr>
      </w:pPr>
      <w:r>
        <w:rPr>
          <w:rFonts w:ascii="Times New Roman" w:hAnsi="Times New Roman" w:cs="Times New Roman"/>
          <w:b/>
          <w:bCs/>
        </w:rPr>
        <w:br w:type="page"/>
      </w:r>
    </w:p>
    <w:p w14:paraId="2D3087C8" w14:textId="411186BA" w:rsidR="004E4AE4" w:rsidRPr="00830AAC" w:rsidRDefault="004E4AE4">
      <w:pPr>
        <w:rPr>
          <w:rFonts w:ascii="Times New Roman" w:hAnsi="Times New Roman" w:cs="Times New Roman"/>
          <w:b/>
          <w:bCs/>
        </w:rPr>
      </w:pPr>
      <w:r w:rsidRPr="00830AAC">
        <w:rPr>
          <w:rFonts w:ascii="Times New Roman" w:hAnsi="Times New Roman" w:cs="Times New Roman"/>
          <w:b/>
          <w:bCs/>
        </w:rPr>
        <w:lastRenderedPageBreak/>
        <w:t xml:space="preserve">SUPPLEMENTAL </w:t>
      </w:r>
      <w:r w:rsidR="00316B1D">
        <w:rPr>
          <w:rFonts w:ascii="Times New Roman" w:hAnsi="Times New Roman" w:cs="Times New Roman"/>
          <w:b/>
          <w:bCs/>
        </w:rPr>
        <w:t xml:space="preserve">METHODS, </w:t>
      </w:r>
      <w:r w:rsidRPr="00830AAC">
        <w:rPr>
          <w:rFonts w:ascii="Times New Roman" w:hAnsi="Times New Roman" w:cs="Times New Roman"/>
          <w:b/>
          <w:bCs/>
        </w:rPr>
        <w:t>RESULTS</w:t>
      </w:r>
      <w:r w:rsidR="00815CA9">
        <w:rPr>
          <w:rFonts w:ascii="Times New Roman" w:hAnsi="Times New Roman" w:cs="Times New Roman"/>
          <w:b/>
          <w:bCs/>
        </w:rPr>
        <w:t xml:space="preserve"> AND FIGURES</w:t>
      </w:r>
    </w:p>
    <w:p w14:paraId="5FE5CEA9" w14:textId="77777777" w:rsidR="00316B1D" w:rsidRPr="001A5F49" w:rsidRDefault="00316B1D" w:rsidP="00316B1D">
      <w:pPr>
        <w:spacing w:line="276" w:lineRule="auto"/>
        <w:rPr>
          <w:rFonts w:ascii="Times New Roman" w:eastAsiaTheme="minorEastAsia" w:hAnsi="Times New Roman" w:cs="Times New Roman"/>
          <w:b/>
          <w:bCs/>
          <w:iCs/>
          <w:color w:val="000000"/>
        </w:rPr>
      </w:pPr>
      <w:r w:rsidRPr="001A5F49">
        <w:rPr>
          <w:rFonts w:ascii="Times New Roman" w:eastAsiaTheme="minorEastAsia" w:hAnsi="Times New Roman" w:cs="Times New Roman"/>
          <w:b/>
          <w:bCs/>
          <w:iCs/>
          <w:color w:val="000000"/>
        </w:rPr>
        <w:t>EEfRT Performance</w:t>
      </w:r>
    </w:p>
    <w:p w14:paraId="4FF5D00B" w14:textId="77777777" w:rsidR="00221E20" w:rsidRPr="001A5F49" w:rsidRDefault="00221E20" w:rsidP="00221E20">
      <w:pPr>
        <w:spacing w:line="276" w:lineRule="auto"/>
        <w:rPr>
          <w:rFonts w:ascii="Times New Roman" w:eastAsiaTheme="minorEastAsia" w:hAnsi="Times New Roman" w:cs="Times New Roman"/>
          <w:iCs/>
          <w:color w:val="000000"/>
        </w:rPr>
      </w:pPr>
      <w:r w:rsidRPr="001A5F49">
        <w:rPr>
          <w:rFonts w:ascii="Times New Roman" w:eastAsiaTheme="minorEastAsia" w:hAnsi="Times New Roman" w:cs="Times New Roman"/>
          <w:iCs/>
          <w:color w:val="000000"/>
        </w:rPr>
        <w:t xml:space="preserve">Participants performed an average of 65.2 trials during the 20 minutes of the EEfRT (SD = 7.5, range 51 – 87 trials). One-way ANOVA analyses revealed groups did not differ on the number of total trials (F(3,96) = 1.191, p = 0.317). </w:t>
      </w:r>
    </w:p>
    <w:p w14:paraId="243B118F" w14:textId="77777777" w:rsidR="00221E20" w:rsidRDefault="00221E20" w:rsidP="00221E20">
      <w:pPr>
        <w:spacing w:line="276" w:lineRule="auto"/>
        <w:ind w:firstLine="720"/>
        <w:rPr>
          <w:rFonts w:ascii="Times New Roman" w:eastAsiaTheme="minorEastAsia" w:hAnsi="Times New Roman" w:cs="Times New Roman"/>
          <w:iCs/>
          <w:color w:val="000000"/>
        </w:rPr>
      </w:pPr>
      <w:r w:rsidRPr="001A5F49">
        <w:rPr>
          <w:rFonts w:ascii="Times New Roman" w:eastAsiaTheme="minorEastAsia" w:hAnsi="Times New Roman" w:cs="Times New Roman"/>
          <w:iCs/>
          <w:color w:val="000000"/>
        </w:rPr>
        <w:t>Within the first 50 trials, participants made high-effort selections in 33.4% of trials, the average completion rate for high effort task selections was 79.9%, and the average completion rate for low effort task selection was 96.4%. One-way ANOVA analyses revealed groups did not differ in high effort task selection (F(3,96) = 1.094, p = 0.355), low effort task selection (F(3,96) = 1.094, p = 0.355), high effort task completion rate (F(3,96) = 0.491, p = 0.689), or low effort task completion (F(3,96) = 0.375, p = 0.771).</w:t>
      </w:r>
    </w:p>
    <w:p w14:paraId="338BC14A" w14:textId="79E83D3A" w:rsidR="004E4AE4" w:rsidRPr="00830AAC" w:rsidRDefault="00F30663">
      <w:pPr>
        <w:rPr>
          <w:rFonts w:ascii="Times New Roman" w:hAnsi="Times New Roman" w:cs="Times New Roman"/>
          <w:b/>
          <w:bCs/>
        </w:rPr>
      </w:pPr>
      <w:r w:rsidRPr="00830AAC">
        <w:rPr>
          <w:rFonts w:ascii="Times New Roman" w:hAnsi="Times New Roman" w:cs="Times New Roman"/>
          <w:b/>
          <w:bCs/>
        </w:rPr>
        <w:t>Participant Demographics and TDRL Posterior Parameters</w:t>
      </w:r>
    </w:p>
    <w:p w14:paraId="57779439" w14:textId="77777777" w:rsidR="00221E20" w:rsidRDefault="00221E20" w:rsidP="00221E20">
      <w:pPr>
        <w:spacing w:after="0"/>
        <w:rPr>
          <w:rFonts w:ascii="Times New Roman" w:hAnsi="Times New Roman" w:cs="Times New Roman"/>
          <w:color w:val="000000"/>
          <w:kern w:val="0"/>
          <w14:ligatures w14:val="none"/>
        </w:rPr>
      </w:pPr>
      <w:r w:rsidRPr="00830AAC">
        <w:rPr>
          <w:rFonts w:ascii="Times New Roman" w:hAnsi="Times New Roman" w:cs="Times New Roman"/>
        </w:rPr>
        <w:t xml:space="preserve">We investigated if there were relationships between demographics and TDRL posterior parameters as groups differed in </w:t>
      </w:r>
      <w:r>
        <w:rPr>
          <w:rFonts w:ascii="Times New Roman" w:hAnsi="Times New Roman" w:cs="Times New Roman"/>
        </w:rPr>
        <w:t xml:space="preserve">three </w:t>
      </w:r>
      <w:r w:rsidRPr="00830AAC">
        <w:rPr>
          <w:rFonts w:ascii="Times New Roman" w:hAnsi="Times New Roman" w:cs="Times New Roman"/>
        </w:rPr>
        <w:t>demographic categories (</w:t>
      </w:r>
      <w:r w:rsidRPr="00830AAC">
        <w:rPr>
          <w:rFonts w:ascii="Times New Roman" w:eastAsiaTheme="minorEastAsia" w:hAnsi="Times New Roman" w:cs="Times New Roman"/>
          <w:iCs/>
          <w:color w:val="000000"/>
        </w:rPr>
        <w:t>age (F(3,9</w:t>
      </w:r>
      <w:r>
        <w:rPr>
          <w:rFonts w:ascii="Times New Roman" w:eastAsiaTheme="minorEastAsia" w:hAnsi="Times New Roman" w:cs="Times New Roman"/>
          <w:iCs/>
          <w:color w:val="000000"/>
        </w:rPr>
        <w:t>6</w:t>
      </w:r>
      <w:r w:rsidRPr="00830AAC">
        <w:rPr>
          <w:rFonts w:ascii="Times New Roman" w:eastAsiaTheme="minorEastAsia" w:hAnsi="Times New Roman" w:cs="Times New Roman"/>
          <w:iCs/>
          <w:color w:val="000000"/>
        </w:rPr>
        <w:t>) = 1</w:t>
      </w:r>
      <w:r>
        <w:rPr>
          <w:rFonts w:ascii="Times New Roman" w:eastAsiaTheme="minorEastAsia" w:hAnsi="Times New Roman" w:cs="Times New Roman"/>
          <w:iCs/>
          <w:color w:val="000000"/>
        </w:rPr>
        <w:t>3.88</w:t>
      </w:r>
      <w:r w:rsidRPr="00830AAC">
        <w:rPr>
          <w:rFonts w:ascii="Times New Roman" w:eastAsiaTheme="minorEastAsia" w:hAnsi="Times New Roman" w:cs="Times New Roman"/>
          <w:iCs/>
          <w:color w:val="000000"/>
        </w:rPr>
        <w:t>, p &lt; 0.001)</w:t>
      </w:r>
      <w:r>
        <w:rPr>
          <w:rFonts w:ascii="Times New Roman" w:eastAsiaTheme="minorEastAsia" w:hAnsi="Times New Roman" w:cs="Times New Roman"/>
          <w:iCs/>
          <w:color w:val="000000"/>
        </w:rPr>
        <w:t>, years of education (</w:t>
      </w:r>
      <w:r w:rsidRPr="00502F93">
        <w:rPr>
          <w:rFonts w:ascii="Times New Roman" w:eastAsiaTheme="minorEastAsia" w:hAnsi="Times New Roman" w:cs="Times New Roman"/>
          <w:iCs/>
          <w:color w:val="000000"/>
        </w:rPr>
        <w:t>F(3,96) = 6.40, p &lt; 0.001</w:t>
      </w:r>
      <w:r>
        <w:rPr>
          <w:rFonts w:ascii="Times New Roman" w:eastAsiaTheme="minorEastAsia" w:hAnsi="Times New Roman" w:cs="Times New Roman"/>
          <w:iCs/>
          <w:color w:val="000000"/>
        </w:rPr>
        <w:t>),</w:t>
      </w:r>
      <w:r w:rsidRPr="00830AAC">
        <w:rPr>
          <w:rFonts w:ascii="Times New Roman" w:eastAsiaTheme="minorEastAsia" w:hAnsi="Times New Roman" w:cs="Times New Roman"/>
          <w:iCs/>
          <w:color w:val="000000"/>
        </w:rPr>
        <w:t xml:space="preserve"> and racial distribution (</w:t>
      </w:r>
      <w:r w:rsidRPr="00502F93">
        <w:rPr>
          <w:rFonts w:ascii="Cambria Math" w:eastAsiaTheme="minorEastAsia" w:hAnsi="Cambria Math" w:cs="Cambria Math"/>
          <w:iCs/>
          <w:color w:val="000000"/>
        </w:rPr>
        <w:t>𝛘</w:t>
      </w:r>
      <w:r w:rsidRPr="00CA35A7">
        <w:rPr>
          <w:rFonts w:ascii="Cambria Math" w:eastAsiaTheme="minorEastAsia" w:hAnsi="Cambria Math" w:cs="Cambria Math"/>
          <w:iCs/>
          <w:color w:val="000000"/>
          <w:vertAlign w:val="superscript"/>
        </w:rPr>
        <w:t>2</w:t>
      </w:r>
      <w:r w:rsidRPr="00502F93">
        <w:rPr>
          <w:rFonts w:ascii="Cambria Math" w:eastAsiaTheme="minorEastAsia" w:hAnsi="Cambria Math" w:cs="Cambria Math"/>
          <w:iCs/>
          <w:color w:val="000000"/>
        </w:rPr>
        <w:t>(12) = 42.80, p &lt; 0.001</w:t>
      </w:r>
      <w:r w:rsidRPr="00830AAC">
        <w:rPr>
          <w:rFonts w:ascii="Times New Roman" w:eastAsiaTheme="minorEastAsia" w:hAnsi="Times New Roman" w:cs="Times New Roman"/>
          <w:iCs/>
          <w:color w:val="000000"/>
        </w:rPr>
        <w:t xml:space="preserve">); Table 1). </w:t>
      </w:r>
      <w:r w:rsidRPr="00177B43">
        <w:rPr>
          <w:rFonts w:ascii="Times New Roman" w:eastAsiaTheme="minorEastAsia" w:hAnsi="Times New Roman" w:cs="Times New Roman"/>
          <w:iCs/>
          <w:color w:val="000000"/>
        </w:rPr>
        <w:t>Individual-level TDRL parameter estimates, maximum a posteriori</w:t>
      </w:r>
      <w:r>
        <w:rPr>
          <w:rFonts w:ascii="Times New Roman" w:eastAsiaTheme="minorEastAsia" w:hAnsi="Times New Roman" w:cs="Times New Roman"/>
          <w:iCs/>
          <w:color w:val="000000"/>
        </w:rPr>
        <w:t xml:space="preserve"> estimate</w:t>
      </w:r>
      <w:r w:rsidRPr="00177B43">
        <w:rPr>
          <w:rFonts w:ascii="Times New Roman" w:eastAsiaTheme="minorEastAsia" w:hAnsi="Times New Roman" w:cs="Times New Roman"/>
          <w:iCs/>
          <w:color w:val="000000"/>
        </w:rPr>
        <w:t xml:space="preserve"> (</w:t>
      </w:r>
      <w:r w:rsidRPr="00177B43">
        <w:rPr>
          <w:rFonts w:ascii="Times New Roman" w:hAnsi="Times New Roman" w:cs="Times New Roman"/>
        </w:rPr>
        <w:t>MAP</w:t>
      </w:r>
      <w:r>
        <w:rPr>
          <w:rFonts w:ascii="Times New Roman" w:hAnsi="Times New Roman" w:cs="Times New Roman"/>
        </w:rPr>
        <w:t>;</w:t>
      </w:r>
      <w:r w:rsidRPr="00177B43">
        <w:rPr>
          <w:rFonts w:ascii="Times New Roman" w:hAnsi="Times New Roman" w:cs="Times New Roman"/>
        </w:rPr>
        <w:t xml:space="preserve"> the parameter value that maximizes the posterior distribution </w:t>
      </w:r>
      <w:r>
        <w:rPr>
          <w:rFonts w:ascii="Times New Roman" w:hAnsi="Times New Roman" w:cs="Times New Roman"/>
        </w:rPr>
        <w:t xml:space="preserve">i.e. </w:t>
      </w:r>
      <w:r w:rsidRPr="00177B43">
        <w:rPr>
          <w:rFonts w:ascii="Times New Roman" w:hAnsi="Times New Roman" w:cs="Times New Roman"/>
        </w:rPr>
        <w:t>the mode of the posterior</w:t>
      </w:r>
      <w:r w:rsidRPr="00177B43">
        <w:rPr>
          <w:rFonts w:ascii="Times New Roman" w:eastAsiaTheme="minorEastAsia" w:hAnsi="Times New Roman" w:cs="Times New Roman"/>
          <w:iCs/>
          <w:color w:val="000000"/>
        </w:rPr>
        <w:t>)</w:t>
      </w:r>
      <w:r>
        <w:rPr>
          <w:rFonts w:ascii="Times New Roman" w:eastAsiaTheme="minorEastAsia" w:hAnsi="Times New Roman" w:cs="Times New Roman"/>
          <w:iCs/>
          <w:color w:val="000000"/>
        </w:rPr>
        <w:t xml:space="preserve"> were used as a summary statistic for each participant. </w:t>
      </w:r>
      <w:r w:rsidRPr="00830AAC">
        <w:rPr>
          <w:rFonts w:ascii="Times New Roman" w:eastAsiaTheme="minorEastAsia" w:hAnsi="Times New Roman" w:cs="Times New Roman"/>
          <w:iCs/>
          <w:color w:val="000000"/>
        </w:rPr>
        <w:t>Pearson correlations were conducted to assess the relationship of TDRL parameters with continuous variables</w:t>
      </w:r>
      <w:r>
        <w:rPr>
          <w:rFonts w:ascii="Times New Roman" w:eastAsiaTheme="minorEastAsia" w:hAnsi="Times New Roman" w:cs="Times New Roman"/>
          <w:iCs/>
          <w:color w:val="000000"/>
        </w:rPr>
        <w:t xml:space="preserve"> and</w:t>
      </w:r>
      <w:r w:rsidRPr="00830AAC">
        <w:rPr>
          <w:rFonts w:ascii="Times New Roman" w:eastAsiaTheme="minorEastAsia" w:hAnsi="Times New Roman" w:cs="Times New Roman"/>
          <w:iCs/>
          <w:color w:val="000000"/>
        </w:rPr>
        <w:t xml:space="preserve"> </w:t>
      </w:r>
      <w:r w:rsidRPr="00177B43">
        <w:rPr>
          <w:rFonts w:ascii="Times New Roman" w:hAnsi="Times New Roman" w:cs="Times New Roman"/>
          <w:color w:val="000000"/>
          <w:kern w:val="0"/>
          <w14:ligatures w14:val="none"/>
        </w:rPr>
        <w:t xml:space="preserve">one-way analysis of variance (ANOVA) </w:t>
      </w:r>
      <w:r w:rsidRPr="00830AAC">
        <w:rPr>
          <w:rFonts w:ascii="Times New Roman" w:eastAsiaTheme="minorEastAsia" w:hAnsi="Times New Roman" w:cs="Times New Roman"/>
          <w:iCs/>
          <w:color w:val="000000"/>
        </w:rPr>
        <w:t xml:space="preserve">to assess the relationship of TDRL parameters with </w:t>
      </w:r>
      <w:r w:rsidRPr="00830AAC">
        <w:rPr>
          <w:rFonts w:ascii="Times New Roman" w:hAnsi="Times New Roman" w:cs="Times New Roman"/>
          <w:color w:val="000000"/>
          <w:kern w:val="0"/>
          <w14:ligatures w14:val="none"/>
        </w:rPr>
        <w:t xml:space="preserve">categorical </w:t>
      </w:r>
      <w:r w:rsidRPr="00830AAC">
        <w:rPr>
          <w:rFonts w:ascii="Times New Roman" w:eastAsiaTheme="minorEastAsia" w:hAnsi="Times New Roman" w:cs="Times New Roman"/>
          <w:iCs/>
          <w:color w:val="000000"/>
        </w:rPr>
        <w:t>variables</w:t>
      </w:r>
      <w:r w:rsidRPr="00830AAC">
        <w:rPr>
          <w:rFonts w:ascii="Times New Roman" w:hAnsi="Times New Roman" w:cs="Times New Roman"/>
          <w:color w:val="000000"/>
          <w:kern w:val="0"/>
          <w14:ligatures w14:val="none"/>
        </w:rPr>
        <w:t xml:space="preserve">. </w:t>
      </w:r>
      <w:r>
        <w:rPr>
          <w:rFonts w:ascii="Times New Roman" w:hAnsi="Times New Roman" w:cs="Times New Roman"/>
          <w:color w:val="000000"/>
          <w:kern w:val="0"/>
          <w14:ligatures w14:val="none"/>
        </w:rPr>
        <w:t>When assessing race, participants that identified as American Indian, Asian, Black, and other were grouped together in an overall Minority group due to the limited numbers of some racial categories.</w:t>
      </w:r>
    </w:p>
    <w:p w14:paraId="217E3044" w14:textId="77777777" w:rsidR="00221E20" w:rsidRDefault="00221E20" w:rsidP="00221E20">
      <w:pPr>
        <w:spacing w:after="0"/>
        <w:ind w:firstLine="720"/>
        <w:rPr>
          <w:rFonts w:ascii="Times New Roman" w:eastAsiaTheme="minorEastAsia" w:hAnsi="Times New Roman" w:cs="Times New Roman"/>
          <w:iCs/>
          <w:color w:val="000000"/>
        </w:rPr>
      </w:pPr>
      <w:proofErr w:type="spellStart"/>
      <w:r w:rsidRPr="00830AAC">
        <w:rPr>
          <w:rFonts w:ascii="Times New Roman" w:eastAsiaTheme="minorEastAsia" w:hAnsi="Times New Roman" w:cs="Times New Roman"/>
          <w:iCs/>
          <w:color w:val="000000"/>
        </w:rPr>
        <w:t>Learnrate</w:t>
      </w:r>
      <w:proofErr w:type="spellEnd"/>
      <w:r w:rsidRPr="00830AAC">
        <w:rPr>
          <w:rFonts w:ascii="Times New Roman" w:eastAsiaTheme="minorEastAsia" w:hAnsi="Times New Roman" w:cs="Times New Roman"/>
          <w:iCs/>
          <w:color w:val="000000"/>
        </w:rPr>
        <w:t xml:space="preserve"> (</w:t>
      </w:r>
      <w:r w:rsidRPr="00830AAC">
        <w:rPr>
          <w:rFonts w:ascii="Times New Roman" w:eastAsiaTheme="minorEastAsia" w:hAnsi="Times New Roman" w:cs="Times New Roman"/>
          <w:iCs/>
          <w:color w:val="000000"/>
          <w:lang w:val="el-GR"/>
        </w:rPr>
        <w:t>α</w:t>
      </w:r>
      <w:r w:rsidRPr="00830AAC">
        <w:rPr>
          <w:rFonts w:ascii="Times New Roman" w:eastAsiaTheme="minorEastAsia" w:hAnsi="Times New Roman" w:cs="Times New Roman"/>
          <w:iCs/>
          <w:color w:val="000000"/>
        </w:rPr>
        <w:t>) did not have a significant relationship with age (r(98) = -0.</w:t>
      </w:r>
      <w:r>
        <w:rPr>
          <w:rFonts w:ascii="Times New Roman" w:eastAsiaTheme="minorEastAsia" w:hAnsi="Times New Roman" w:cs="Times New Roman"/>
          <w:iCs/>
          <w:color w:val="000000"/>
        </w:rPr>
        <w:t>127</w:t>
      </w:r>
      <w:r w:rsidRPr="00830AAC">
        <w:rPr>
          <w:rFonts w:ascii="Times New Roman" w:eastAsiaTheme="minorEastAsia" w:hAnsi="Times New Roman" w:cs="Times New Roman"/>
          <w:iCs/>
          <w:color w:val="000000"/>
        </w:rPr>
        <w:t>, p-value = 0.</w:t>
      </w:r>
      <w:r>
        <w:rPr>
          <w:rFonts w:ascii="Times New Roman" w:eastAsiaTheme="minorEastAsia" w:hAnsi="Times New Roman" w:cs="Times New Roman"/>
          <w:iCs/>
          <w:color w:val="000000"/>
        </w:rPr>
        <w:t>209</w:t>
      </w:r>
      <w:r w:rsidRPr="00830AAC">
        <w:rPr>
          <w:rFonts w:ascii="Times New Roman" w:eastAsiaTheme="minorEastAsia" w:hAnsi="Times New Roman" w:cs="Times New Roman"/>
          <w:iCs/>
          <w:color w:val="000000"/>
        </w:rPr>
        <w:t>), years of education (r(98) = 0.0</w:t>
      </w:r>
      <w:r>
        <w:rPr>
          <w:rFonts w:ascii="Times New Roman" w:eastAsiaTheme="minorEastAsia" w:hAnsi="Times New Roman" w:cs="Times New Roman"/>
          <w:iCs/>
          <w:color w:val="000000"/>
        </w:rPr>
        <w:t>21</w:t>
      </w:r>
      <w:r w:rsidRPr="00830AAC">
        <w:rPr>
          <w:rFonts w:ascii="Times New Roman" w:eastAsiaTheme="minorEastAsia" w:hAnsi="Times New Roman" w:cs="Times New Roman"/>
          <w:iCs/>
          <w:color w:val="000000"/>
        </w:rPr>
        <w:t>, p-value = 0.</w:t>
      </w:r>
      <w:r>
        <w:rPr>
          <w:rFonts w:ascii="Times New Roman" w:eastAsiaTheme="minorEastAsia" w:hAnsi="Times New Roman" w:cs="Times New Roman"/>
          <w:iCs/>
          <w:color w:val="000000"/>
        </w:rPr>
        <w:t>838</w:t>
      </w:r>
      <w:r w:rsidRPr="00830AAC">
        <w:rPr>
          <w:rFonts w:ascii="Times New Roman" w:eastAsiaTheme="minorEastAsia" w:hAnsi="Times New Roman" w:cs="Times New Roman"/>
          <w:iCs/>
          <w:color w:val="000000"/>
        </w:rPr>
        <w:t xml:space="preserve">), </w:t>
      </w:r>
      <w:r>
        <w:rPr>
          <w:rFonts w:ascii="Times New Roman" w:eastAsiaTheme="minorEastAsia" w:hAnsi="Times New Roman" w:cs="Times New Roman"/>
          <w:iCs/>
          <w:color w:val="000000"/>
        </w:rPr>
        <w:t xml:space="preserve">nor </w:t>
      </w:r>
      <w:r w:rsidRPr="00830AAC">
        <w:rPr>
          <w:rFonts w:ascii="Times New Roman" w:eastAsiaTheme="minorEastAsia" w:hAnsi="Times New Roman" w:cs="Times New Roman"/>
          <w:iCs/>
          <w:color w:val="000000"/>
        </w:rPr>
        <w:t>rac</w:t>
      </w:r>
      <w:r>
        <w:rPr>
          <w:rFonts w:ascii="Times New Roman" w:eastAsiaTheme="minorEastAsia" w:hAnsi="Times New Roman" w:cs="Times New Roman"/>
          <w:iCs/>
          <w:color w:val="000000"/>
        </w:rPr>
        <w:t>ial distribution</w:t>
      </w:r>
      <w:r w:rsidRPr="00830AAC">
        <w:rPr>
          <w:rFonts w:ascii="Times New Roman" w:eastAsiaTheme="minorEastAsia" w:hAnsi="Times New Roman" w:cs="Times New Roman"/>
          <w:iCs/>
          <w:color w:val="000000"/>
        </w:rPr>
        <w:t xml:space="preserve"> (</w:t>
      </w:r>
      <w:r>
        <w:rPr>
          <w:rFonts w:ascii="Cambria Math" w:eastAsiaTheme="minorEastAsia" w:hAnsi="Cambria Math" w:cs="Cambria Math"/>
          <w:iCs/>
          <w:color w:val="000000"/>
        </w:rPr>
        <w:t>F</w:t>
      </w:r>
      <w:r w:rsidRPr="00830AAC">
        <w:rPr>
          <w:rFonts w:ascii="Times New Roman" w:eastAsiaTheme="minorEastAsia" w:hAnsi="Times New Roman" w:cs="Times New Roman"/>
          <w:iCs/>
          <w:color w:val="000000"/>
        </w:rPr>
        <w:t>(</w:t>
      </w:r>
      <w:r>
        <w:rPr>
          <w:rFonts w:ascii="Times New Roman" w:eastAsiaTheme="minorEastAsia" w:hAnsi="Times New Roman" w:cs="Times New Roman"/>
          <w:iCs/>
          <w:color w:val="000000"/>
        </w:rPr>
        <w:t>1,98</w:t>
      </w:r>
      <w:r w:rsidRPr="00830AAC">
        <w:rPr>
          <w:rFonts w:ascii="Times New Roman" w:eastAsiaTheme="minorEastAsia" w:hAnsi="Times New Roman" w:cs="Times New Roman"/>
          <w:iCs/>
          <w:color w:val="000000"/>
        </w:rPr>
        <w:t xml:space="preserve">) = </w:t>
      </w:r>
      <w:r>
        <w:rPr>
          <w:rFonts w:ascii="Times New Roman" w:eastAsiaTheme="minorEastAsia" w:hAnsi="Times New Roman" w:cs="Times New Roman"/>
          <w:iCs/>
          <w:color w:val="000000"/>
        </w:rPr>
        <w:t>0.098</w:t>
      </w:r>
      <w:r w:rsidRPr="00830AAC">
        <w:rPr>
          <w:rFonts w:ascii="Times New Roman" w:eastAsiaTheme="minorEastAsia" w:hAnsi="Times New Roman" w:cs="Times New Roman"/>
          <w:iCs/>
          <w:color w:val="000000"/>
        </w:rPr>
        <w:t>, p-value = 0.</w:t>
      </w:r>
      <w:r>
        <w:rPr>
          <w:rFonts w:ascii="Times New Roman" w:eastAsiaTheme="minorEastAsia" w:hAnsi="Times New Roman" w:cs="Times New Roman"/>
          <w:iCs/>
          <w:color w:val="000000"/>
        </w:rPr>
        <w:t xml:space="preserve">755). </w:t>
      </w:r>
      <w:r w:rsidRPr="00830AAC">
        <w:rPr>
          <w:rFonts w:ascii="Times New Roman" w:eastAsiaTheme="minorEastAsia" w:hAnsi="Times New Roman" w:cs="Times New Roman"/>
          <w:iCs/>
          <w:color w:val="000000"/>
        </w:rPr>
        <w:t>Discount factor (</w:t>
      </w:r>
      <w:r w:rsidRPr="00830AAC">
        <w:rPr>
          <w:rFonts w:ascii="Times New Roman" w:eastAsiaTheme="minorEastAsia" w:hAnsi="Times New Roman" w:cs="Times New Roman"/>
          <w:iCs/>
          <w:color w:val="000000"/>
          <w:lang w:val="el-GR"/>
        </w:rPr>
        <w:t>γ</w:t>
      </w:r>
      <w:r w:rsidRPr="00830AAC">
        <w:rPr>
          <w:rFonts w:ascii="Times New Roman" w:eastAsiaTheme="minorEastAsia" w:hAnsi="Times New Roman" w:cs="Times New Roman"/>
          <w:iCs/>
          <w:color w:val="000000"/>
        </w:rPr>
        <w:t>) did have a significant relationship with age (r(98) = -0.</w:t>
      </w:r>
      <w:r>
        <w:rPr>
          <w:rFonts w:ascii="Times New Roman" w:eastAsiaTheme="minorEastAsia" w:hAnsi="Times New Roman" w:cs="Times New Roman"/>
          <w:iCs/>
          <w:color w:val="000000"/>
        </w:rPr>
        <w:t>204</w:t>
      </w:r>
      <w:r w:rsidRPr="00830AAC">
        <w:rPr>
          <w:rFonts w:ascii="Times New Roman" w:eastAsiaTheme="minorEastAsia" w:hAnsi="Times New Roman" w:cs="Times New Roman"/>
          <w:iCs/>
          <w:color w:val="000000"/>
        </w:rPr>
        <w:t xml:space="preserve">, p-value </w:t>
      </w:r>
      <w:r>
        <w:rPr>
          <w:rFonts w:ascii="Times New Roman" w:eastAsiaTheme="minorEastAsia" w:hAnsi="Times New Roman" w:cs="Times New Roman"/>
          <w:iCs/>
          <w:color w:val="000000"/>
        </w:rPr>
        <w:t>= 0.042</w:t>
      </w:r>
      <w:r w:rsidRPr="00830AAC">
        <w:rPr>
          <w:rFonts w:ascii="Times New Roman" w:eastAsiaTheme="minorEastAsia" w:hAnsi="Times New Roman" w:cs="Times New Roman"/>
          <w:iCs/>
          <w:color w:val="000000"/>
        </w:rPr>
        <w:t xml:space="preserve">; Supplemental Fig. </w:t>
      </w:r>
      <w:r>
        <w:rPr>
          <w:rFonts w:ascii="Times New Roman" w:eastAsiaTheme="minorEastAsia" w:hAnsi="Times New Roman" w:cs="Times New Roman"/>
          <w:iCs/>
          <w:color w:val="000000"/>
        </w:rPr>
        <w:t>2A</w:t>
      </w:r>
      <w:r w:rsidRPr="00830AAC">
        <w:rPr>
          <w:rFonts w:ascii="Times New Roman" w:eastAsiaTheme="minorEastAsia" w:hAnsi="Times New Roman" w:cs="Times New Roman"/>
          <w:iCs/>
          <w:color w:val="000000"/>
        </w:rPr>
        <w:t>)</w:t>
      </w:r>
      <w:r>
        <w:rPr>
          <w:rFonts w:ascii="Times New Roman" w:eastAsiaTheme="minorEastAsia" w:hAnsi="Times New Roman" w:cs="Times New Roman"/>
          <w:iCs/>
          <w:color w:val="000000"/>
        </w:rPr>
        <w:t xml:space="preserve">, </w:t>
      </w:r>
      <w:r w:rsidRPr="00830AAC">
        <w:rPr>
          <w:rFonts w:ascii="Times New Roman" w:eastAsiaTheme="minorEastAsia" w:hAnsi="Times New Roman" w:cs="Times New Roman"/>
          <w:iCs/>
          <w:color w:val="000000"/>
        </w:rPr>
        <w:t>years of education (r(98) = -0.</w:t>
      </w:r>
      <w:r>
        <w:rPr>
          <w:rFonts w:ascii="Times New Roman" w:eastAsiaTheme="minorEastAsia" w:hAnsi="Times New Roman" w:cs="Times New Roman"/>
          <w:iCs/>
          <w:color w:val="000000"/>
        </w:rPr>
        <w:t>197</w:t>
      </w:r>
      <w:r w:rsidRPr="00830AAC">
        <w:rPr>
          <w:rFonts w:ascii="Times New Roman" w:eastAsiaTheme="minorEastAsia" w:hAnsi="Times New Roman" w:cs="Times New Roman"/>
          <w:iCs/>
          <w:color w:val="000000"/>
        </w:rPr>
        <w:t>, p-value = 0.</w:t>
      </w:r>
      <w:r>
        <w:rPr>
          <w:rFonts w:ascii="Times New Roman" w:eastAsiaTheme="minorEastAsia" w:hAnsi="Times New Roman" w:cs="Times New Roman"/>
          <w:iCs/>
          <w:color w:val="000000"/>
        </w:rPr>
        <w:t>050; Supplemental Fig. 2B</w:t>
      </w:r>
      <w:r w:rsidRPr="00830AAC">
        <w:rPr>
          <w:rFonts w:ascii="Times New Roman" w:eastAsiaTheme="minorEastAsia" w:hAnsi="Times New Roman" w:cs="Times New Roman"/>
          <w:iCs/>
          <w:color w:val="000000"/>
        </w:rPr>
        <w:t xml:space="preserve">), </w:t>
      </w:r>
      <w:r>
        <w:rPr>
          <w:rFonts w:ascii="Times New Roman" w:eastAsiaTheme="minorEastAsia" w:hAnsi="Times New Roman" w:cs="Times New Roman"/>
          <w:iCs/>
          <w:color w:val="000000"/>
        </w:rPr>
        <w:t xml:space="preserve">and </w:t>
      </w:r>
      <w:r w:rsidRPr="00830AAC">
        <w:rPr>
          <w:rFonts w:ascii="Times New Roman" w:eastAsiaTheme="minorEastAsia" w:hAnsi="Times New Roman" w:cs="Times New Roman"/>
          <w:iCs/>
          <w:color w:val="000000"/>
        </w:rPr>
        <w:t>rac</w:t>
      </w:r>
      <w:r>
        <w:rPr>
          <w:rFonts w:ascii="Times New Roman" w:eastAsiaTheme="minorEastAsia" w:hAnsi="Times New Roman" w:cs="Times New Roman"/>
          <w:iCs/>
          <w:color w:val="000000"/>
        </w:rPr>
        <w:t>ial distribution</w:t>
      </w:r>
      <w:r w:rsidRPr="00830AAC">
        <w:rPr>
          <w:rFonts w:ascii="Times New Roman" w:eastAsiaTheme="minorEastAsia" w:hAnsi="Times New Roman" w:cs="Times New Roman"/>
          <w:iCs/>
          <w:color w:val="000000"/>
        </w:rPr>
        <w:t xml:space="preserve"> (</w:t>
      </w:r>
      <w:r>
        <w:rPr>
          <w:rFonts w:ascii="Cambria Math" w:eastAsiaTheme="minorEastAsia" w:hAnsi="Cambria Math" w:cs="Cambria Math"/>
          <w:iCs/>
          <w:color w:val="000000"/>
        </w:rPr>
        <w:t>F</w:t>
      </w:r>
      <w:r w:rsidRPr="00830AAC">
        <w:rPr>
          <w:rFonts w:ascii="Times New Roman" w:eastAsiaTheme="minorEastAsia" w:hAnsi="Times New Roman" w:cs="Times New Roman"/>
          <w:iCs/>
          <w:color w:val="000000"/>
        </w:rPr>
        <w:t>(</w:t>
      </w:r>
      <w:r>
        <w:rPr>
          <w:rFonts w:ascii="Times New Roman" w:eastAsiaTheme="minorEastAsia" w:hAnsi="Times New Roman" w:cs="Times New Roman"/>
          <w:iCs/>
          <w:color w:val="000000"/>
        </w:rPr>
        <w:t>1,98</w:t>
      </w:r>
      <w:r w:rsidRPr="00830AAC">
        <w:rPr>
          <w:rFonts w:ascii="Times New Roman" w:eastAsiaTheme="minorEastAsia" w:hAnsi="Times New Roman" w:cs="Times New Roman"/>
          <w:iCs/>
          <w:color w:val="000000"/>
        </w:rPr>
        <w:t xml:space="preserve">) = </w:t>
      </w:r>
      <w:r>
        <w:rPr>
          <w:rFonts w:ascii="Times New Roman" w:eastAsiaTheme="minorEastAsia" w:hAnsi="Times New Roman" w:cs="Times New Roman"/>
          <w:iCs/>
          <w:color w:val="000000"/>
        </w:rPr>
        <w:t>19.92</w:t>
      </w:r>
      <w:r w:rsidRPr="00830AAC">
        <w:rPr>
          <w:rFonts w:ascii="Times New Roman" w:eastAsiaTheme="minorEastAsia" w:hAnsi="Times New Roman" w:cs="Times New Roman"/>
          <w:iCs/>
          <w:color w:val="000000"/>
        </w:rPr>
        <w:t xml:space="preserve">, p-value </w:t>
      </w:r>
      <w:r>
        <w:rPr>
          <w:rFonts w:ascii="Times New Roman" w:eastAsiaTheme="minorEastAsia" w:hAnsi="Times New Roman" w:cs="Times New Roman"/>
          <w:iCs/>
          <w:color w:val="000000"/>
        </w:rPr>
        <w:t>&lt; 0.001; Supplemental Fig. 2C</w:t>
      </w:r>
      <w:r w:rsidRPr="00830AAC">
        <w:rPr>
          <w:rFonts w:ascii="Times New Roman" w:eastAsiaTheme="minorEastAsia" w:hAnsi="Times New Roman" w:cs="Times New Roman"/>
          <w:iCs/>
          <w:color w:val="000000"/>
        </w:rPr>
        <w:t>). Inverse choice temperature (</w:t>
      </w:r>
      <w:r w:rsidRPr="00830AAC">
        <w:rPr>
          <w:rFonts w:ascii="Times New Roman" w:eastAsiaTheme="minorEastAsia" w:hAnsi="Times New Roman" w:cs="Times New Roman"/>
          <w:iCs/>
          <w:color w:val="000000"/>
          <w:lang w:val="el-GR"/>
        </w:rPr>
        <w:t>β</w:t>
      </w:r>
      <w:r w:rsidRPr="00830AAC">
        <w:rPr>
          <w:rFonts w:ascii="Times New Roman" w:eastAsiaTheme="minorEastAsia" w:hAnsi="Times New Roman" w:cs="Times New Roman"/>
          <w:iCs/>
          <w:color w:val="000000"/>
        </w:rPr>
        <w:t>) did have a significant relationship with rac</w:t>
      </w:r>
      <w:r>
        <w:rPr>
          <w:rFonts w:ascii="Times New Roman" w:eastAsiaTheme="minorEastAsia" w:hAnsi="Times New Roman" w:cs="Times New Roman"/>
          <w:iCs/>
          <w:color w:val="000000"/>
        </w:rPr>
        <w:t>ial distribution</w:t>
      </w:r>
      <w:r w:rsidRPr="00830AAC">
        <w:rPr>
          <w:rFonts w:ascii="Times New Roman" w:eastAsiaTheme="minorEastAsia" w:hAnsi="Times New Roman" w:cs="Times New Roman"/>
          <w:iCs/>
          <w:color w:val="000000"/>
        </w:rPr>
        <w:t xml:space="preserve"> (</w:t>
      </w:r>
      <w:r>
        <w:rPr>
          <w:rFonts w:ascii="Cambria Math" w:eastAsiaTheme="minorEastAsia" w:hAnsi="Cambria Math" w:cs="Cambria Math"/>
          <w:iCs/>
          <w:color w:val="000000"/>
        </w:rPr>
        <w:t>F(1,98)</w:t>
      </w:r>
      <w:r w:rsidRPr="00830AAC">
        <w:rPr>
          <w:rFonts w:ascii="Times New Roman" w:eastAsiaTheme="minorEastAsia" w:hAnsi="Times New Roman" w:cs="Times New Roman"/>
          <w:iCs/>
          <w:color w:val="000000"/>
        </w:rPr>
        <w:t xml:space="preserve"> = </w:t>
      </w:r>
      <w:r>
        <w:rPr>
          <w:rFonts w:ascii="Times New Roman" w:eastAsiaTheme="minorEastAsia" w:hAnsi="Times New Roman" w:cs="Times New Roman"/>
          <w:iCs/>
          <w:color w:val="000000"/>
        </w:rPr>
        <w:t>15.05</w:t>
      </w:r>
      <w:r w:rsidRPr="00830AAC">
        <w:rPr>
          <w:rFonts w:ascii="Times New Roman" w:eastAsiaTheme="minorEastAsia" w:hAnsi="Times New Roman" w:cs="Times New Roman"/>
          <w:iCs/>
          <w:color w:val="000000"/>
        </w:rPr>
        <w:t xml:space="preserve">, p-value </w:t>
      </w:r>
      <w:r>
        <w:rPr>
          <w:rFonts w:ascii="Times New Roman" w:eastAsiaTheme="minorEastAsia" w:hAnsi="Times New Roman" w:cs="Times New Roman"/>
          <w:iCs/>
          <w:color w:val="000000"/>
        </w:rPr>
        <w:t xml:space="preserve">&lt; 0.001; Supplemental Fig. 2D) and </w:t>
      </w:r>
      <w:r w:rsidRPr="00830AAC">
        <w:rPr>
          <w:rFonts w:ascii="Times New Roman" w:eastAsiaTheme="minorEastAsia" w:hAnsi="Times New Roman" w:cs="Times New Roman"/>
          <w:iCs/>
          <w:color w:val="000000"/>
        </w:rPr>
        <w:t>but did not have a significant relationship with age (r(98) = -</w:t>
      </w:r>
      <w:r>
        <w:rPr>
          <w:rFonts w:ascii="Times New Roman" w:eastAsiaTheme="minorEastAsia" w:hAnsi="Times New Roman" w:cs="Times New Roman"/>
          <w:iCs/>
          <w:color w:val="000000"/>
        </w:rPr>
        <w:t>0.190</w:t>
      </w:r>
      <w:r w:rsidRPr="00830AAC">
        <w:rPr>
          <w:rFonts w:ascii="Times New Roman" w:eastAsiaTheme="minorEastAsia" w:hAnsi="Times New Roman" w:cs="Times New Roman"/>
          <w:iCs/>
          <w:color w:val="000000"/>
        </w:rPr>
        <w:t xml:space="preserve">, p-value </w:t>
      </w:r>
      <w:r>
        <w:rPr>
          <w:rFonts w:ascii="Times New Roman" w:eastAsiaTheme="minorEastAsia" w:hAnsi="Times New Roman" w:cs="Times New Roman"/>
          <w:iCs/>
          <w:color w:val="000000"/>
        </w:rPr>
        <w:t xml:space="preserve">= 0.058) nor </w:t>
      </w:r>
      <w:r w:rsidRPr="00830AAC">
        <w:rPr>
          <w:rFonts w:ascii="Times New Roman" w:eastAsiaTheme="minorEastAsia" w:hAnsi="Times New Roman" w:cs="Times New Roman"/>
          <w:iCs/>
          <w:color w:val="000000"/>
        </w:rPr>
        <w:t>years of education (r(98) = -0.1</w:t>
      </w:r>
      <w:r>
        <w:rPr>
          <w:rFonts w:ascii="Times New Roman" w:eastAsiaTheme="minorEastAsia" w:hAnsi="Times New Roman" w:cs="Times New Roman"/>
          <w:iCs/>
          <w:color w:val="000000"/>
        </w:rPr>
        <w:t>93</w:t>
      </w:r>
      <w:r w:rsidRPr="00830AAC">
        <w:rPr>
          <w:rFonts w:ascii="Times New Roman" w:eastAsiaTheme="minorEastAsia" w:hAnsi="Times New Roman" w:cs="Times New Roman"/>
          <w:iCs/>
          <w:color w:val="000000"/>
        </w:rPr>
        <w:t>, p-value = 0.</w:t>
      </w:r>
      <w:r>
        <w:rPr>
          <w:rFonts w:ascii="Times New Roman" w:eastAsiaTheme="minorEastAsia" w:hAnsi="Times New Roman" w:cs="Times New Roman"/>
          <w:iCs/>
          <w:color w:val="000000"/>
        </w:rPr>
        <w:t>054</w:t>
      </w:r>
      <w:r w:rsidRPr="00830AAC">
        <w:rPr>
          <w:rFonts w:ascii="Times New Roman" w:eastAsiaTheme="minorEastAsia" w:hAnsi="Times New Roman" w:cs="Times New Roman"/>
          <w:iCs/>
          <w:color w:val="000000"/>
        </w:rPr>
        <w:t>)</w:t>
      </w:r>
      <w:r>
        <w:rPr>
          <w:rFonts w:ascii="Times New Roman" w:eastAsiaTheme="minorEastAsia" w:hAnsi="Times New Roman" w:cs="Times New Roman"/>
          <w:iCs/>
          <w:color w:val="000000"/>
        </w:rPr>
        <w:t>.</w:t>
      </w:r>
    </w:p>
    <w:p w14:paraId="30056300" w14:textId="77777777" w:rsidR="005A2AE9" w:rsidRDefault="005A2AE9" w:rsidP="005A2AE9">
      <w:pPr>
        <w:spacing w:after="0"/>
        <w:rPr>
          <w:rFonts w:ascii="Times New Roman" w:eastAsiaTheme="minorEastAsia" w:hAnsi="Times New Roman" w:cs="Times New Roman"/>
          <w:iCs/>
          <w:color w:val="000000"/>
        </w:rPr>
      </w:pPr>
    </w:p>
    <w:p w14:paraId="5834493B" w14:textId="1AF3918B" w:rsidR="005A2AE9" w:rsidRDefault="0045419E" w:rsidP="005A2AE9">
      <w:pPr>
        <w:spacing w:after="0"/>
        <w:rPr>
          <w:rFonts w:ascii="Times New Roman" w:eastAsiaTheme="minorEastAsia" w:hAnsi="Times New Roman" w:cs="Times New Roman"/>
          <w:b/>
          <w:bCs/>
          <w:iCs/>
          <w:color w:val="000000"/>
        </w:rPr>
      </w:pPr>
      <w:r>
        <w:rPr>
          <w:rFonts w:ascii="Times New Roman" w:eastAsiaTheme="minorEastAsia" w:hAnsi="Times New Roman" w:cs="Times New Roman"/>
          <w:b/>
          <w:bCs/>
          <w:iCs/>
          <w:color w:val="000000"/>
        </w:rPr>
        <w:t xml:space="preserve">Model Recovery and </w:t>
      </w:r>
      <w:r w:rsidR="005A2AE9">
        <w:rPr>
          <w:rFonts w:ascii="Times New Roman" w:eastAsiaTheme="minorEastAsia" w:hAnsi="Times New Roman" w:cs="Times New Roman"/>
          <w:b/>
          <w:bCs/>
          <w:iCs/>
          <w:color w:val="000000"/>
        </w:rPr>
        <w:t>Parameter Recovery</w:t>
      </w:r>
    </w:p>
    <w:p w14:paraId="71ABF790" w14:textId="77777777" w:rsidR="00394E01" w:rsidRDefault="00515152" w:rsidP="005B50F0">
      <w:pPr>
        <w:spacing w:after="0"/>
        <w:ind w:firstLine="720"/>
        <w:rPr>
          <w:rFonts w:ascii="Times New Roman" w:eastAsiaTheme="minorEastAsia" w:hAnsi="Times New Roman" w:cs="Times New Roman"/>
          <w:iCs/>
          <w:color w:val="000000"/>
        </w:rPr>
      </w:pPr>
      <w:r>
        <w:rPr>
          <w:rFonts w:ascii="Times New Roman" w:eastAsiaTheme="minorEastAsia" w:hAnsi="Times New Roman" w:cs="Times New Roman"/>
          <w:iCs/>
          <w:color w:val="000000"/>
        </w:rPr>
        <w:t xml:space="preserve">To validate that the models considered in this study (TDRL, Full SV, and Reward Only SV models) could be reliably distinguished and that our model comparison analysis is able to accurately identify the true generative model of choice behavior on the EEfRT, we performed a model recovery analysis. For this model recovery analysis, we simulated choice behavior on the </w:t>
      </w:r>
      <w:r>
        <w:rPr>
          <w:rFonts w:ascii="Times New Roman" w:eastAsiaTheme="minorEastAsia" w:hAnsi="Times New Roman" w:cs="Times New Roman"/>
          <w:iCs/>
          <w:color w:val="000000"/>
        </w:rPr>
        <w:lastRenderedPageBreak/>
        <w:t xml:space="preserve">EEfRT for all participants using the MAP individual-level parameter values for TDRL, Full SV, and Reward Only SV models and then computed model comparison criteria to determine whether the model comparison analysis identified the true generative model.  </w:t>
      </w:r>
      <w:r w:rsidR="00D75C73" w:rsidRPr="003C2C99">
        <w:rPr>
          <w:rFonts w:ascii="Times New Roman" w:eastAsiaTheme="minorEastAsia" w:hAnsi="Times New Roman" w:cs="Times New Roman"/>
          <w:iCs/>
          <w:color w:val="000000"/>
        </w:rPr>
        <w:t>Across all three generative models</w:t>
      </w:r>
      <w:r w:rsidR="00D75C73">
        <w:rPr>
          <w:rFonts w:ascii="Times New Roman" w:eastAsiaTheme="minorEastAsia" w:hAnsi="Times New Roman" w:cs="Times New Roman"/>
          <w:iCs/>
          <w:color w:val="000000"/>
        </w:rPr>
        <w:t xml:space="preserve">, </w:t>
      </w:r>
      <w:r w:rsidR="00D75C73" w:rsidRPr="003C2C99">
        <w:rPr>
          <w:rFonts w:ascii="Times New Roman" w:eastAsiaTheme="minorEastAsia" w:hAnsi="Times New Roman" w:cs="Times New Roman"/>
          <w:iCs/>
          <w:color w:val="000000"/>
        </w:rPr>
        <w:t>the recovery results showed a consistent pattern: TDRL was the best‑fitting model regardless of the model used to generate the data</w:t>
      </w:r>
      <w:r w:rsidR="0029423F">
        <w:rPr>
          <w:rFonts w:ascii="Times New Roman" w:eastAsiaTheme="minorEastAsia" w:hAnsi="Times New Roman" w:cs="Times New Roman"/>
          <w:iCs/>
          <w:color w:val="000000"/>
        </w:rPr>
        <w:t xml:space="preserve"> (Supplemental Table 3)</w:t>
      </w:r>
      <w:r w:rsidR="00D75C73" w:rsidRPr="003C2C99">
        <w:rPr>
          <w:rFonts w:ascii="Times New Roman" w:eastAsiaTheme="minorEastAsia" w:hAnsi="Times New Roman" w:cs="Times New Roman"/>
          <w:iCs/>
          <w:color w:val="000000"/>
        </w:rPr>
        <w:t xml:space="preserve">. This pattern indicates that TDRL </w:t>
      </w:r>
      <w:r w:rsidR="00FF3237">
        <w:rPr>
          <w:rFonts w:ascii="Times New Roman" w:eastAsiaTheme="minorEastAsia" w:hAnsi="Times New Roman" w:cs="Times New Roman"/>
          <w:iCs/>
          <w:color w:val="000000"/>
        </w:rPr>
        <w:t>can</w:t>
      </w:r>
      <w:r w:rsidR="00D75C73" w:rsidRPr="003C2C99">
        <w:rPr>
          <w:rFonts w:ascii="Times New Roman" w:eastAsiaTheme="minorEastAsia" w:hAnsi="Times New Roman" w:cs="Times New Roman"/>
          <w:iCs/>
          <w:color w:val="000000"/>
        </w:rPr>
        <w:t xml:space="preserve"> approximate the behavioral patterns produced by both simpler models, whereas the simpler models cannot approximate the dynamics captured by TDRL. </w:t>
      </w:r>
      <w:r w:rsidR="003434FC">
        <w:rPr>
          <w:rFonts w:ascii="Times New Roman" w:eastAsiaTheme="minorEastAsia" w:hAnsi="Times New Roman" w:cs="Times New Roman"/>
          <w:iCs/>
          <w:color w:val="000000"/>
        </w:rPr>
        <w:t>Rather than</w:t>
      </w:r>
      <w:r w:rsidR="00D75C73" w:rsidRPr="003C2C99">
        <w:rPr>
          <w:rFonts w:ascii="Times New Roman" w:eastAsiaTheme="minorEastAsia" w:hAnsi="Times New Roman" w:cs="Times New Roman"/>
          <w:iCs/>
          <w:color w:val="000000"/>
        </w:rPr>
        <w:t xml:space="preserve"> indicat</w:t>
      </w:r>
      <w:r w:rsidR="003434FC">
        <w:rPr>
          <w:rFonts w:ascii="Times New Roman" w:eastAsiaTheme="minorEastAsia" w:hAnsi="Times New Roman" w:cs="Times New Roman"/>
          <w:iCs/>
          <w:color w:val="000000"/>
        </w:rPr>
        <w:t>ing</w:t>
      </w:r>
      <w:r w:rsidR="00D75C73" w:rsidRPr="003C2C99">
        <w:rPr>
          <w:rFonts w:ascii="Times New Roman" w:eastAsiaTheme="minorEastAsia" w:hAnsi="Times New Roman" w:cs="Times New Roman"/>
          <w:iCs/>
          <w:color w:val="000000"/>
        </w:rPr>
        <w:t xml:space="preserve"> a flaw in TDRL</w:t>
      </w:r>
      <w:r w:rsidR="003434FC">
        <w:rPr>
          <w:rFonts w:ascii="Times New Roman" w:eastAsiaTheme="minorEastAsia" w:hAnsi="Times New Roman" w:cs="Times New Roman"/>
          <w:iCs/>
          <w:color w:val="000000"/>
        </w:rPr>
        <w:t xml:space="preserve"> this pattern</w:t>
      </w:r>
      <w:r w:rsidR="00D75C73" w:rsidRPr="003C2C99">
        <w:rPr>
          <w:rFonts w:ascii="Times New Roman" w:eastAsiaTheme="minorEastAsia" w:hAnsi="Times New Roman" w:cs="Times New Roman"/>
          <w:iCs/>
          <w:color w:val="000000"/>
        </w:rPr>
        <w:t xml:space="preserve"> reflects the relationship between these models: TDRL is a more flexible, more general, and </w:t>
      </w:r>
      <w:r w:rsidR="00A17CAC">
        <w:rPr>
          <w:rFonts w:ascii="Times New Roman" w:eastAsiaTheme="minorEastAsia" w:hAnsi="Times New Roman" w:cs="Times New Roman"/>
          <w:iCs/>
          <w:color w:val="000000"/>
        </w:rPr>
        <w:t>biologically</w:t>
      </w:r>
      <w:r w:rsidR="00D75C73" w:rsidRPr="003C2C99">
        <w:rPr>
          <w:rFonts w:ascii="Times New Roman" w:eastAsiaTheme="minorEastAsia" w:hAnsi="Times New Roman" w:cs="Times New Roman"/>
          <w:iCs/>
          <w:color w:val="000000"/>
        </w:rPr>
        <w:t xml:space="preserve"> grounded</w:t>
      </w:r>
      <w:r w:rsidR="00074B69">
        <w:rPr>
          <w:rFonts w:ascii="Times New Roman" w:eastAsiaTheme="minorEastAsia" w:hAnsi="Times New Roman" w:cs="Times New Roman"/>
          <w:iCs/>
          <w:color w:val="000000"/>
        </w:rPr>
        <w:t xml:space="preserve"> as seen in the literature</w:t>
      </w:r>
      <w:r w:rsidR="00D75C73" w:rsidRPr="003C2C99">
        <w:rPr>
          <w:rFonts w:ascii="Times New Roman" w:eastAsiaTheme="minorEastAsia" w:hAnsi="Times New Roman" w:cs="Times New Roman"/>
          <w:iCs/>
          <w:color w:val="000000"/>
        </w:rPr>
        <w:t xml:space="preserve">. </w:t>
      </w:r>
      <w:r w:rsidR="007C7681">
        <w:rPr>
          <w:rFonts w:ascii="Times New Roman" w:eastAsiaTheme="minorEastAsia" w:hAnsi="Times New Roman" w:cs="Times New Roman"/>
          <w:iCs/>
          <w:color w:val="000000"/>
        </w:rPr>
        <w:t>T</w:t>
      </w:r>
      <w:r w:rsidR="00D75C73" w:rsidRPr="003C2C99">
        <w:rPr>
          <w:rFonts w:ascii="Times New Roman" w:eastAsiaTheme="minorEastAsia" w:hAnsi="Times New Roman" w:cs="Times New Roman"/>
          <w:iCs/>
          <w:color w:val="000000"/>
        </w:rPr>
        <w:t xml:space="preserve">his </w:t>
      </w:r>
      <w:r w:rsidR="007C7681">
        <w:rPr>
          <w:rFonts w:ascii="Times New Roman" w:eastAsiaTheme="minorEastAsia" w:hAnsi="Times New Roman" w:cs="Times New Roman"/>
          <w:iCs/>
          <w:color w:val="000000"/>
        </w:rPr>
        <w:t>finding</w:t>
      </w:r>
      <w:r w:rsidR="00D75C73" w:rsidRPr="003C2C99">
        <w:rPr>
          <w:rFonts w:ascii="Times New Roman" w:eastAsiaTheme="minorEastAsia" w:hAnsi="Times New Roman" w:cs="Times New Roman"/>
          <w:iCs/>
          <w:color w:val="000000"/>
        </w:rPr>
        <w:t xml:space="preserve"> aligns with </w:t>
      </w:r>
      <w:r w:rsidR="007C7681">
        <w:rPr>
          <w:rFonts w:ascii="Times New Roman" w:eastAsiaTheme="minorEastAsia" w:hAnsi="Times New Roman" w:cs="Times New Roman"/>
          <w:iCs/>
          <w:color w:val="000000"/>
        </w:rPr>
        <w:t xml:space="preserve">the literature showing </w:t>
      </w:r>
      <w:r w:rsidR="00D75C73" w:rsidRPr="003C2C99">
        <w:rPr>
          <w:rFonts w:ascii="Times New Roman" w:eastAsiaTheme="minorEastAsia" w:hAnsi="Times New Roman" w:cs="Times New Roman"/>
          <w:iCs/>
          <w:color w:val="000000"/>
        </w:rPr>
        <w:t>extensive behavioral and neural evidence that temporal</w:t>
      </w:r>
      <w:r w:rsidR="00D75C73">
        <w:rPr>
          <w:rFonts w:ascii="Times New Roman" w:eastAsiaTheme="minorEastAsia" w:hAnsi="Times New Roman" w:cs="Times New Roman"/>
          <w:iCs/>
          <w:color w:val="000000"/>
        </w:rPr>
        <w:t xml:space="preserve"> </w:t>
      </w:r>
      <w:r w:rsidR="00D75C73" w:rsidRPr="003C2C99">
        <w:rPr>
          <w:rFonts w:ascii="Times New Roman" w:eastAsiaTheme="minorEastAsia" w:hAnsi="Times New Roman" w:cs="Times New Roman"/>
          <w:iCs/>
          <w:color w:val="000000"/>
        </w:rPr>
        <w:t xml:space="preserve">difference learning </w:t>
      </w:r>
      <w:r w:rsidR="007C7681">
        <w:rPr>
          <w:rFonts w:ascii="Times New Roman" w:eastAsiaTheme="minorEastAsia" w:hAnsi="Times New Roman" w:cs="Times New Roman"/>
          <w:iCs/>
          <w:color w:val="000000"/>
        </w:rPr>
        <w:t>is</w:t>
      </w:r>
      <w:r w:rsidR="00D75C73" w:rsidRPr="003C2C99">
        <w:rPr>
          <w:rFonts w:ascii="Times New Roman" w:eastAsiaTheme="minorEastAsia" w:hAnsi="Times New Roman" w:cs="Times New Roman"/>
          <w:iCs/>
          <w:color w:val="000000"/>
        </w:rPr>
        <w:t xml:space="preserve"> the mechanism by which reward prediction and decision </w:t>
      </w:r>
      <w:r w:rsidR="00A357D9">
        <w:rPr>
          <w:rFonts w:ascii="Times New Roman" w:eastAsiaTheme="minorEastAsia" w:hAnsi="Times New Roman" w:cs="Times New Roman"/>
          <w:iCs/>
          <w:color w:val="000000"/>
        </w:rPr>
        <w:t>making occur</w:t>
      </w:r>
      <w:r w:rsidR="00D75C73" w:rsidRPr="003C2C99">
        <w:rPr>
          <w:rFonts w:ascii="Times New Roman" w:eastAsiaTheme="minorEastAsia" w:hAnsi="Times New Roman" w:cs="Times New Roman"/>
          <w:iCs/>
          <w:color w:val="000000"/>
        </w:rPr>
        <w:t xml:space="preserve">. </w:t>
      </w:r>
    </w:p>
    <w:p w14:paraId="5DD93BC2" w14:textId="6B9CCF13" w:rsidR="00515152" w:rsidRDefault="00394E01" w:rsidP="00394E01">
      <w:pPr>
        <w:spacing w:after="0"/>
        <w:rPr>
          <w:rFonts w:ascii="Times New Roman" w:eastAsiaTheme="minorEastAsia" w:hAnsi="Times New Roman" w:cs="Times New Roman"/>
          <w:iCs/>
          <w:color w:val="000000"/>
        </w:rPr>
      </w:pPr>
      <w:r>
        <w:rPr>
          <w:rFonts w:ascii="Times New Roman" w:eastAsiaTheme="minorEastAsia" w:hAnsi="Times New Roman" w:cs="Times New Roman"/>
          <w:iCs/>
          <w:color w:val="000000"/>
        </w:rPr>
        <w:t xml:space="preserve">This model recovery analysis also suggests that Full SV and Reward Only SV models are useful as descriptive models, but they might not fully capture the cognitive and neural mechanisms of decision making in the EEfRT whereas TDRL provides a mechanistic account of decision making captured in the EEfRT. Altogether this model recovery analysis shows that </w:t>
      </w:r>
      <w:r w:rsidR="00D75C73" w:rsidRPr="003C2C99">
        <w:rPr>
          <w:rFonts w:ascii="Times New Roman" w:eastAsiaTheme="minorEastAsia" w:hAnsi="Times New Roman" w:cs="Times New Roman"/>
          <w:iCs/>
          <w:color w:val="000000"/>
        </w:rPr>
        <w:t xml:space="preserve">even if participants </w:t>
      </w:r>
      <w:r>
        <w:rPr>
          <w:rFonts w:ascii="Times New Roman" w:eastAsiaTheme="minorEastAsia" w:hAnsi="Times New Roman" w:cs="Times New Roman"/>
          <w:iCs/>
          <w:color w:val="000000"/>
        </w:rPr>
        <w:t>choice</w:t>
      </w:r>
      <w:r w:rsidR="00D75C73" w:rsidRPr="003C2C99">
        <w:rPr>
          <w:rFonts w:ascii="Times New Roman" w:eastAsiaTheme="minorEastAsia" w:hAnsi="Times New Roman" w:cs="Times New Roman"/>
          <w:iCs/>
          <w:color w:val="000000"/>
        </w:rPr>
        <w:t xml:space="preserve"> behavior resembles </w:t>
      </w:r>
      <w:r>
        <w:rPr>
          <w:rFonts w:ascii="Times New Roman" w:eastAsiaTheme="minorEastAsia" w:hAnsi="Times New Roman" w:cs="Times New Roman"/>
          <w:iCs/>
          <w:color w:val="000000"/>
        </w:rPr>
        <w:t>these descriptive models</w:t>
      </w:r>
      <w:r w:rsidR="00D75C73" w:rsidRPr="003C2C99">
        <w:rPr>
          <w:rFonts w:ascii="Times New Roman" w:eastAsiaTheme="minorEastAsia" w:hAnsi="Times New Roman" w:cs="Times New Roman"/>
          <w:iCs/>
          <w:color w:val="000000"/>
        </w:rPr>
        <w:t xml:space="preserve">, </w:t>
      </w:r>
      <w:r>
        <w:rPr>
          <w:rFonts w:ascii="Times New Roman" w:eastAsiaTheme="minorEastAsia" w:hAnsi="Times New Roman" w:cs="Times New Roman"/>
          <w:iCs/>
          <w:color w:val="000000"/>
        </w:rPr>
        <w:t>this choice</w:t>
      </w:r>
      <w:r w:rsidR="00D75C73" w:rsidRPr="003C2C99">
        <w:rPr>
          <w:rFonts w:ascii="Times New Roman" w:eastAsiaTheme="minorEastAsia" w:hAnsi="Times New Roman" w:cs="Times New Roman"/>
          <w:iCs/>
          <w:color w:val="000000"/>
        </w:rPr>
        <w:t xml:space="preserve"> behavior is still best understood as arising from the underlying temporal-difference learning </w:t>
      </w:r>
      <w:r>
        <w:rPr>
          <w:rFonts w:ascii="Times New Roman" w:eastAsiaTheme="minorEastAsia" w:hAnsi="Times New Roman" w:cs="Times New Roman"/>
          <w:iCs/>
          <w:color w:val="000000"/>
        </w:rPr>
        <w:t>mechanisms</w:t>
      </w:r>
      <w:r w:rsidR="00D75C73" w:rsidRPr="003C2C99">
        <w:rPr>
          <w:rFonts w:ascii="Times New Roman" w:eastAsiaTheme="minorEastAsia" w:hAnsi="Times New Roman" w:cs="Times New Roman"/>
          <w:iCs/>
          <w:color w:val="000000"/>
        </w:rPr>
        <w:t xml:space="preserve"> rather than from fundamentally distinct computational mechanisms.</w:t>
      </w:r>
    </w:p>
    <w:p w14:paraId="4A8DDDA2" w14:textId="3FE577D8" w:rsidR="003C2C99" w:rsidRPr="00027850" w:rsidRDefault="00806B9F" w:rsidP="00D75C73">
      <w:pPr>
        <w:spacing w:after="0"/>
        <w:ind w:firstLine="720"/>
        <w:rPr>
          <w:rFonts w:ascii="Times New Roman" w:eastAsiaTheme="minorEastAsia" w:hAnsi="Times New Roman" w:cs="Times New Roman"/>
          <w:iCs/>
          <w:color w:val="000000"/>
        </w:rPr>
      </w:pPr>
      <w:r>
        <w:rPr>
          <w:rFonts w:ascii="Times New Roman" w:eastAsiaTheme="minorEastAsia" w:hAnsi="Times New Roman" w:cs="Times New Roman"/>
          <w:iCs/>
          <w:color w:val="000000"/>
        </w:rPr>
        <w:t xml:space="preserve">To validate that our model fitting procedure </w:t>
      </w:r>
      <w:proofErr w:type="gramStart"/>
      <w:r>
        <w:rPr>
          <w:rFonts w:ascii="Times New Roman" w:eastAsiaTheme="minorEastAsia" w:hAnsi="Times New Roman" w:cs="Times New Roman"/>
          <w:iCs/>
          <w:color w:val="000000"/>
        </w:rPr>
        <w:t>is able to</w:t>
      </w:r>
      <w:proofErr w:type="gramEnd"/>
      <w:r>
        <w:rPr>
          <w:rFonts w:ascii="Times New Roman" w:eastAsiaTheme="minorEastAsia" w:hAnsi="Times New Roman" w:cs="Times New Roman"/>
          <w:iCs/>
          <w:color w:val="000000"/>
        </w:rPr>
        <w:t xml:space="preserve"> accurately estimate model parameters for each participant, we performed a parameter recovery analysis. We first calculated the MAP for each parameter for each participant to simulate choice datasets (n = 100) on the EEfRT. The TDRL model was refitted to the simulated datasets and then we computed the Pearson’s correlation coefficient between the MAP of the model parameters fitted to the actual participant data and the simulated data. </w:t>
      </w:r>
      <w:r w:rsidR="004D48C4">
        <w:rPr>
          <w:rFonts w:ascii="Times New Roman" w:eastAsiaTheme="minorEastAsia" w:hAnsi="Times New Roman" w:cs="Times New Roman"/>
          <w:iCs/>
          <w:color w:val="000000"/>
        </w:rPr>
        <w:t xml:space="preserve">All model parameters are recoverable with statistically significant moderate to strong correlations (Supplemental Table </w:t>
      </w:r>
      <w:r w:rsidR="00515152">
        <w:rPr>
          <w:rFonts w:ascii="Times New Roman" w:eastAsiaTheme="minorEastAsia" w:hAnsi="Times New Roman" w:cs="Times New Roman"/>
          <w:iCs/>
          <w:color w:val="000000"/>
        </w:rPr>
        <w:t>4</w:t>
      </w:r>
      <w:r w:rsidR="004D48C4">
        <w:rPr>
          <w:rFonts w:ascii="Times New Roman" w:eastAsiaTheme="minorEastAsia" w:hAnsi="Times New Roman" w:cs="Times New Roman"/>
          <w:iCs/>
          <w:color w:val="000000"/>
        </w:rPr>
        <w:t>).</w:t>
      </w:r>
      <w:r w:rsidR="006F53F6">
        <w:rPr>
          <w:rFonts w:ascii="Times New Roman" w:eastAsiaTheme="minorEastAsia" w:hAnsi="Times New Roman" w:cs="Times New Roman"/>
          <w:iCs/>
          <w:color w:val="000000"/>
        </w:rPr>
        <w:t xml:space="preserve"> </w:t>
      </w:r>
    </w:p>
    <w:p w14:paraId="543EA8F4" w14:textId="77777777" w:rsidR="00027850" w:rsidRDefault="004E4AE4" w:rsidP="00CF2E42">
      <w:pPr>
        <w:jc w:val="center"/>
        <w:rPr>
          <w:rFonts w:ascii="Times New Roman" w:hAnsi="Times New Roman" w:cs="Times New Roman"/>
        </w:rPr>
      </w:pPr>
      <w:r w:rsidRPr="00830AAC">
        <w:rPr>
          <w:rFonts w:ascii="Times New Roman" w:hAnsi="Times New Roman" w:cs="Times New Roman"/>
        </w:rPr>
        <w:br w:type="page"/>
      </w:r>
      <w:r w:rsidR="00040215">
        <w:rPr>
          <w:rFonts w:ascii="Times New Roman" w:hAnsi="Times New Roman" w:cs="Times New Roman"/>
          <w:noProof/>
        </w:rPr>
        <w:lastRenderedPageBreak/>
        <w:drawing>
          <wp:inline distT="0" distB="0" distL="0" distR="0" wp14:anchorId="64331BB4" wp14:editId="3DD15B1E">
            <wp:extent cx="5943600" cy="3507105"/>
            <wp:effectExtent l="0" t="0" r="0" b="0"/>
            <wp:docPr id="206770182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01825" name="Picture 2" descr="A black background with a black squar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07105"/>
                    </a:xfrm>
                    <a:prstGeom prst="rect">
                      <a:avLst/>
                    </a:prstGeom>
                  </pic:spPr>
                </pic:pic>
              </a:graphicData>
            </a:graphic>
          </wp:inline>
        </w:drawing>
      </w:r>
      <w:r w:rsidR="00040215">
        <w:rPr>
          <w:rFonts w:ascii="Times New Roman" w:hAnsi="Times New Roman" w:cs="Times New Roman"/>
          <w:noProof/>
        </w:rPr>
        <w:lastRenderedPageBreak/>
        <w:drawing>
          <wp:inline distT="0" distB="0" distL="0" distR="0" wp14:anchorId="197890E2" wp14:editId="2E84F5AB">
            <wp:extent cx="5745480" cy="8229600"/>
            <wp:effectExtent l="0" t="0" r="0" b="0"/>
            <wp:docPr id="389668035"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68035" name="Picture 1" descr="A black background with a black squar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5480" cy="8229600"/>
                    </a:xfrm>
                    <a:prstGeom prst="rect">
                      <a:avLst/>
                    </a:prstGeom>
                  </pic:spPr>
                </pic:pic>
              </a:graphicData>
            </a:graphic>
          </wp:inline>
        </w:drawing>
      </w:r>
    </w:p>
    <w:p w14:paraId="1347907E" w14:textId="570E27A2" w:rsidR="00C924E5" w:rsidRDefault="00027850" w:rsidP="00CF2E42">
      <w:pPr>
        <w:jc w:val="center"/>
        <w:rPr>
          <w:rFonts w:ascii="Times New Roman" w:hAnsi="Times New Roman" w:cs="Times New Roman"/>
        </w:rPr>
      </w:pPr>
      <w:r>
        <w:rPr>
          <w:rFonts w:ascii="Times New Roman" w:hAnsi="Times New Roman" w:cs="Times New Roman"/>
        </w:rPr>
        <w:br w:type="page"/>
      </w:r>
      <w:r w:rsidR="00C924E5">
        <w:rPr>
          <w:rFonts w:ascii="Times New Roman" w:hAnsi="Times New Roman" w:cs="Times New Roman"/>
          <w:noProof/>
        </w:rPr>
        <w:lastRenderedPageBreak/>
        <w:drawing>
          <wp:inline distT="0" distB="0" distL="0" distR="0" wp14:anchorId="24B2A0F0" wp14:editId="1D92996E">
            <wp:extent cx="4229100" cy="5257800"/>
            <wp:effectExtent l="0" t="0" r="0" b="0"/>
            <wp:docPr id="462469196"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69196" name="Picture 2" descr="A black background with a black squa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9100" cy="5257800"/>
                    </a:xfrm>
                    <a:prstGeom prst="rect">
                      <a:avLst/>
                    </a:prstGeom>
                  </pic:spPr>
                </pic:pic>
              </a:graphicData>
            </a:graphic>
          </wp:inline>
        </w:drawing>
      </w:r>
    </w:p>
    <w:p w14:paraId="6B181B8F" w14:textId="77777777" w:rsidR="00C924E5" w:rsidRDefault="00C924E5">
      <w:pPr>
        <w:rPr>
          <w:rFonts w:ascii="Times New Roman" w:hAnsi="Times New Roman" w:cs="Times New Roman"/>
        </w:rPr>
      </w:pPr>
      <w:r>
        <w:rPr>
          <w:rFonts w:ascii="Times New Roman" w:hAnsi="Times New Roman" w:cs="Times New Roman"/>
        </w:rPr>
        <w:br w:type="page"/>
      </w:r>
    </w:p>
    <w:p w14:paraId="1CCA4498" w14:textId="02FF98E0" w:rsidR="00027850" w:rsidRDefault="00C924E5" w:rsidP="00CF2E4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2987ECD" wp14:editId="2F885E33">
            <wp:extent cx="4038600" cy="2514600"/>
            <wp:effectExtent l="0" t="0" r="0" b="0"/>
            <wp:docPr id="127037496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74964" name="Picture 1" descr="A black background with a black squa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8600" cy="2514600"/>
                    </a:xfrm>
                    <a:prstGeom prst="rect">
                      <a:avLst/>
                    </a:prstGeom>
                  </pic:spPr>
                </pic:pic>
              </a:graphicData>
            </a:graphic>
          </wp:inline>
        </w:drawing>
      </w:r>
    </w:p>
    <w:p w14:paraId="1C9E2968" w14:textId="02E48178" w:rsidR="00FF6FA9" w:rsidRDefault="00040215" w:rsidP="00CF2E4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45886A6" wp14:editId="1B873EE7">
            <wp:extent cx="5943600" cy="5273675"/>
            <wp:effectExtent l="0" t="0" r="0" b="0"/>
            <wp:docPr id="1792584835"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84835" name="Picture 3" descr="A screenshot of a computer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273675"/>
                    </a:xfrm>
                    <a:prstGeom prst="rect">
                      <a:avLst/>
                    </a:prstGeom>
                  </pic:spPr>
                </pic:pic>
              </a:graphicData>
            </a:graphic>
          </wp:inline>
        </w:drawing>
      </w:r>
      <w:r>
        <w:rPr>
          <w:rFonts w:ascii="Times New Roman" w:hAnsi="Times New Roman" w:cs="Times New Roman"/>
          <w:noProof/>
        </w:rPr>
        <w:lastRenderedPageBreak/>
        <w:drawing>
          <wp:inline distT="0" distB="0" distL="0" distR="0" wp14:anchorId="73E19210" wp14:editId="449B793F">
            <wp:extent cx="5943600" cy="7555230"/>
            <wp:effectExtent l="0" t="0" r="0" b="0"/>
            <wp:docPr id="1900284609"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4609" name="Picture 4" descr="A screenshot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555230"/>
                    </a:xfrm>
                    <a:prstGeom prst="rect">
                      <a:avLst/>
                    </a:prstGeom>
                  </pic:spPr>
                </pic:pic>
              </a:graphicData>
            </a:graphic>
          </wp:inline>
        </w:drawing>
      </w:r>
    </w:p>
    <w:p w14:paraId="3D9CBBD8" w14:textId="40DF33D2" w:rsidR="002E534F" w:rsidRPr="00830AAC" w:rsidRDefault="00FF6FA9">
      <w:pPr>
        <w:rPr>
          <w:rFonts w:ascii="Times New Roman" w:hAnsi="Times New Roman" w:cs="Times New Roman"/>
        </w:rPr>
      </w:pPr>
      <w:r>
        <w:rPr>
          <w:rFonts w:ascii="Times New Roman" w:hAnsi="Times New Roman" w:cs="Times New Roman"/>
        </w:rPr>
        <w:br w:type="page"/>
      </w:r>
    </w:p>
    <w:sectPr w:rsidR="002E534F" w:rsidRPr="00830A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D3651" w14:textId="77777777" w:rsidR="00BD36D2" w:rsidRDefault="00BD36D2" w:rsidP="004E4AE4">
      <w:pPr>
        <w:spacing w:after="0" w:line="240" w:lineRule="auto"/>
      </w:pPr>
      <w:r>
        <w:separator/>
      </w:r>
    </w:p>
  </w:endnote>
  <w:endnote w:type="continuationSeparator" w:id="0">
    <w:p w14:paraId="58604504" w14:textId="77777777" w:rsidR="00BD36D2" w:rsidRDefault="00BD36D2" w:rsidP="004E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2BEF8" w14:textId="77777777" w:rsidR="00BD36D2" w:rsidRDefault="00BD36D2" w:rsidP="004E4AE4">
      <w:pPr>
        <w:spacing w:after="0" w:line="240" w:lineRule="auto"/>
      </w:pPr>
      <w:r>
        <w:separator/>
      </w:r>
    </w:p>
  </w:footnote>
  <w:footnote w:type="continuationSeparator" w:id="0">
    <w:p w14:paraId="10AF726B" w14:textId="77777777" w:rsidR="00BD36D2" w:rsidRDefault="00BD36D2" w:rsidP="004E4A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1BA"/>
    <w:rsid w:val="00003628"/>
    <w:rsid w:val="00027850"/>
    <w:rsid w:val="00040215"/>
    <w:rsid w:val="000436C7"/>
    <w:rsid w:val="00061781"/>
    <w:rsid w:val="00063E65"/>
    <w:rsid w:val="00074B69"/>
    <w:rsid w:val="000D3986"/>
    <w:rsid w:val="000F1C9E"/>
    <w:rsid w:val="001015D8"/>
    <w:rsid w:val="001205A9"/>
    <w:rsid w:val="00127C68"/>
    <w:rsid w:val="00151182"/>
    <w:rsid w:val="00164035"/>
    <w:rsid w:val="0016761F"/>
    <w:rsid w:val="001912CE"/>
    <w:rsid w:val="001A6D50"/>
    <w:rsid w:val="001C104F"/>
    <w:rsid w:val="0021364C"/>
    <w:rsid w:val="00221E20"/>
    <w:rsid w:val="002660F0"/>
    <w:rsid w:val="0029423F"/>
    <w:rsid w:val="002946A8"/>
    <w:rsid w:val="002E4DF6"/>
    <w:rsid w:val="002E534F"/>
    <w:rsid w:val="00316B1D"/>
    <w:rsid w:val="003356D9"/>
    <w:rsid w:val="003434FC"/>
    <w:rsid w:val="003451BA"/>
    <w:rsid w:val="00345621"/>
    <w:rsid w:val="0038693B"/>
    <w:rsid w:val="00394E01"/>
    <w:rsid w:val="003C2C99"/>
    <w:rsid w:val="003C3FFC"/>
    <w:rsid w:val="003D4522"/>
    <w:rsid w:val="0045419E"/>
    <w:rsid w:val="00467E97"/>
    <w:rsid w:val="00472B82"/>
    <w:rsid w:val="004867FA"/>
    <w:rsid w:val="004D48C4"/>
    <w:rsid w:val="004E4AE4"/>
    <w:rsid w:val="00502F93"/>
    <w:rsid w:val="00515152"/>
    <w:rsid w:val="00562C75"/>
    <w:rsid w:val="005A2AE9"/>
    <w:rsid w:val="005B50F0"/>
    <w:rsid w:val="005F254F"/>
    <w:rsid w:val="006153F7"/>
    <w:rsid w:val="00641334"/>
    <w:rsid w:val="00655FCE"/>
    <w:rsid w:val="006B04FE"/>
    <w:rsid w:val="006D1406"/>
    <w:rsid w:val="006D61B3"/>
    <w:rsid w:val="006E7B51"/>
    <w:rsid w:val="006F3BD8"/>
    <w:rsid w:val="006F53F6"/>
    <w:rsid w:val="00774CC5"/>
    <w:rsid w:val="007C7681"/>
    <w:rsid w:val="007D1E81"/>
    <w:rsid w:val="00806B9F"/>
    <w:rsid w:val="00815CA9"/>
    <w:rsid w:val="00830AAC"/>
    <w:rsid w:val="00846959"/>
    <w:rsid w:val="00887672"/>
    <w:rsid w:val="0089442F"/>
    <w:rsid w:val="00897005"/>
    <w:rsid w:val="008C0900"/>
    <w:rsid w:val="008C4B87"/>
    <w:rsid w:val="009151B2"/>
    <w:rsid w:val="00917BC4"/>
    <w:rsid w:val="009B737D"/>
    <w:rsid w:val="009D323E"/>
    <w:rsid w:val="009F5ABB"/>
    <w:rsid w:val="00A123CE"/>
    <w:rsid w:val="00A17CAC"/>
    <w:rsid w:val="00A33F4D"/>
    <w:rsid w:val="00A34C68"/>
    <w:rsid w:val="00A357D9"/>
    <w:rsid w:val="00A56D72"/>
    <w:rsid w:val="00AB1983"/>
    <w:rsid w:val="00AD265C"/>
    <w:rsid w:val="00B010E4"/>
    <w:rsid w:val="00B1289E"/>
    <w:rsid w:val="00B20667"/>
    <w:rsid w:val="00B30B07"/>
    <w:rsid w:val="00B451BB"/>
    <w:rsid w:val="00B748C3"/>
    <w:rsid w:val="00B75A50"/>
    <w:rsid w:val="00B947BE"/>
    <w:rsid w:val="00BA12A2"/>
    <w:rsid w:val="00BB46BD"/>
    <w:rsid w:val="00BD36D2"/>
    <w:rsid w:val="00BE6FB8"/>
    <w:rsid w:val="00C2226F"/>
    <w:rsid w:val="00C27D30"/>
    <w:rsid w:val="00C62F74"/>
    <w:rsid w:val="00C86849"/>
    <w:rsid w:val="00C91E85"/>
    <w:rsid w:val="00C924E5"/>
    <w:rsid w:val="00CA35A7"/>
    <w:rsid w:val="00CC3221"/>
    <w:rsid w:val="00CD0D99"/>
    <w:rsid w:val="00CD3706"/>
    <w:rsid w:val="00CF2E42"/>
    <w:rsid w:val="00D03F33"/>
    <w:rsid w:val="00D75C73"/>
    <w:rsid w:val="00D84B82"/>
    <w:rsid w:val="00EC6E64"/>
    <w:rsid w:val="00F12478"/>
    <w:rsid w:val="00F30663"/>
    <w:rsid w:val="00F57702"/>
    <w:rsid w:val="00F856A5"/>
    <w:rsid w:val="00FB3ADC"/>
    <w:rsid w:val="00FC2230"/>
    <w:rsid w:val="00FF3237"/>
    <w:rsid w:val="00FF6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BD0752"/>
  <w15:chartTrackingRefBased/>
  <w15:docId w15:val="{140E3CC6-7322-DC42-9B1D-174DD2634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51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51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51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51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51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5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5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5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1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51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51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51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51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5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1BA"/>
    <w:rPr>
      <w:rFonts w:eastAsiaTheme="majorEastAsia" w:cstheme="majorBidi"/>
      <w:color w:val="272727" w:themeColor="text1" w:themeTint="D8"/>
    </w:rPr>
  </w:style>
  <w:style w:type="paragraph" w:styleId="Title">
    <w:name w:val="Title"/>
    <w:basedOn w:val="Normal"/>
    <w:next w:val="Normal"/>
    <w:link w:val="TitleChar"/>
    <w:uiPriority w:val="10"/>
    <w:qFormat/>
    <w:rsid w:val="0034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51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5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51BA"/>
    <w:pPr>
      <w:spacing w:before="160"/>
      <w:jc w:val="center"/>
    </w:pPr>
    <w:rPr>
      <w:i/>
      <w:iCs/>
      <w:color w:val="404040" w:themeColor="text1" w:themeTint="BF"/>
    </w:rPr>
  </w:style>
  <w:style w:type="character" w:customStyle="1" w:styleId="QuoteChar">
    <w:name w:val="Quote Char"/>
    <w:basedOn w:val="DefaultParagraphFont"/>
    <w:link w:val="Quote"/>
    <w:uiPriority w:val="29"/>
    <w:rsid w:val="003451BA"/>
    <w:rPr>
      <w:i/>
      <w:iCs/>
      <w:color w:val="404040" w:themeColor="text1" w:themeTint="BF"/>
    </w:rPr>
  </w:style>
  <w:style w:type="paragraph" w:styleId="ListParagraph">
    <w:name w:val="List Paragraph"/>
    <w:basedOn w:val="Normal"/>
    <w:uiPriority w:val="34"/>
    <w:qFormat/>
    <w:rsid w:val="003451BA"/>
    <w:pPr>
      <w:ind w:left="720"/>
      <w:contextualSpacing/>
    </w:pPr>
  </w:style>
  <w:style w:type="character" w:styleId="IntenseEmphasis">
    <w:name w:val="Intense Emphasis"/>
    <w:basedOn w:val="DefaultParagraphFont"/>
    <w:uiPriority w:val="21"/>
    <w:qFormat/>
    <w:rsid w:val="003451BA"/>
    <w:rPr>
      <w:i/>
      <w:iCs/>
      <w:color w:val="0F4761" w:themeColor="accent1" w:themeShade="BF"/>
    </w:rPr>
  </w:style>
  <w:style w:type="paragraph" w:styleId="IntenseQuote">
    <w:name w:val="Intense Quote"/>
    <w:basedOn w:val="Normal"/>
    <w:next w:val="Normal"/>
    <w:link w:val="IntenseQuoteChar"/>
    <w:uiPriority w:val="30"/>
    <w:qFormat/>
    <w:rsid w:val="003451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51BA"/>
    <w:rPr>
      <w:i/>
      <w:iCs/>
      <w:color w:val="0F4761" w:themeColor="accent1" w:themeShade="BF"/>
    </w:rPr>
  </w:style>
  <w:style w:type="character" w:styleId="IntenseReference">
    <w:name w:val="Intense Reference"/>
    <w:basedOn w:val="DefaultParagraphFont"/>
    <w:uiPriority w:val="32"/>
    <w:qFormat/>
    <w:rsid w:val="003451BA"/>
    <w:rPr>
      <w:b/>
      <w:bCs/>
      <w:smallCaps/>
      <w:color w:val="0F4761" w:themeColor="accent1" w:themeShade="BF"/>
      <w:spacing w:val="5"/>
    </w:rPr>
  </w:style>
  <w:style w:type="paragraph" w:styleId="Header">
    <w:name w:val="header"/>
    <w:basedOn w:val="Normal"/>
    <w:link w:val="HeaderChar"/>
    <w:uiPriority w:val="99"/>
    <w:unhideWhenUsed/>
    <w:rsid w:val="004E4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E4"/>
  </w:style>
  <w:style w:type="paragraph" w:styleId="Footer">
    <w:name w:val="footer"/>
    <w:basedOn w:val="Normal"/>
    <w:link w:val="FooterChar"/>
    <w:uiPriority w:val="99"/>
    <w:unhideWhenUsed/>
    <w:rsid w:val="004E4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E4"/>
  </w:style>
  <w:style w:type="character" w:styleId="PlaceholderText">
    <w:name w:val="Placeholder Text"/>
    <w:basedOn w:val="DefaultParagraphFont"/>
    <w:uiPriority w:val="99"/>
    <w:semiHidden/>
    <w:rsid w:val="00FF6FA9"/>
    <w:rPr>
      <w:color w:val="666666"/>
    </w:rPr>
  </w:style>
  <w:style w:type="character" w:styleId="Hyperlink">
    <w:name w:val="Hyperlink"/>
    <w:basedOn w:val="DefaultParagraphFont"/>
    <w:uiPriority w:val="99"/>
    <w:unhideWhenUsed/>
    <w:rsid w:val="0089442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355533">
      <w:marLeft w:val="640"/>
      <w:marRight w:val="0"/>
      <w:marTop w:val="0"/>
      <w:marBottom w:val="0"/>
      <w:divBdr>
        <w:top w:val="none" w:sz="0" w:space="0" w:color="auto"/>
        <w:left w:val="none" w:sz="0" w:space="0" w:color="auto"/>
        <w:bottom w:val="none" w:sz="0" w:space="0" w:color="auto"/>
        <w:right w:val="none" w:sz="0" w:space="0" w:color="auto"/>
      </w:divBdr>
    </w:div>
    <w:div w:id="1662542538">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ideth.Addicott@wfusm.ed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kasey.spry@wfusm.edu"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73CB98-642A-6646-BB67-8F0BDE415535}">
  <we:reference id="wa104382081" version="1.55.1.0" store="en-US" storeType="OMEX"/>
  <we:alternateReferences>
    <we:reference id="WA104382081" version="1.55.1.0" store="" storeType="OMEX"/>
  </we:alternateReferences>
  <we:properties>
    <we:property name="MENDELEY_CITATIONS" value="[{&quot;citationID&quot;:&quot;MENDELEY_CITATION_d822252e-87cc-4d8d-8c88-e1f1fcc71eba&quot;,&quot;properties&quot;:{&quot;noteIndex&quot;:0},&quot;isEdited&quot;:false,&quot;manualOverride&quot;:{&quot;isManuallyOverridden&quot;:false,&quot;citeprocText&quot;:&quot;(1)&quot;,&quot;manualOverrideText&quot;:&quot;&quot;},&quot;citationTag&quot;:&quot;MENDELEY_CITATION_v3_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&quot;,&quot;citationItems&quot;:[{&quot;id&quot;:&quot;eeedb89c-e79a-375b-a0fe-38e8c5a0b86b&quot;,&quot;itemData&quot;:{&quot;type&quot;:&quot;article-journal&quot;,&quot;id&quot;:&quot;eeedb89c-e79a-375b-a0fe-38e8c5a0b86b&quot;,&quot;title&quot;:&quot;Worth the ‘EEfRT’? The Effort Expenditure for Rewards Task as an Objective Measure of Motivation and Anhedonia&quot;,&quot;author&quot;:[{&quot;family&quot;:&quot;Treadway&quot;,&quot;given&quot;:&quot;Michael T.&quot;,&quot;parse-names&quot;:false,&quot;dropping-particle&quot;:&quot;&quot;,&quot;non-dropping-particle&quot;:&quot;&quot;},{&quot;family&quot;:&quot;Buckholtz&quot;,&quot;given&quot;:&quot;Joshua W.&quot;,&quot;parse-names&quot;:false,&quot;dropping-particle&quot;:&quot;&quot;,&quot;non-dropping-particle&quot;:&quot;&quot;},{&quot;family&quot;:&quot;Schwartzman&quot;,&quot;given&quot;:&quot;Ashley N.&quot;,&quot;parse-names&quot;:false,&quot;dropping-particle&quot;:&quot;&quot;,&quot;non-dropping-particle&quot;:&quot;&quot;},{&quot;family&quot;:&quot;Lambert&quot;,&quot;given&quot;:&quot;Warren E.&quot;,&quot;parse-names&quot;:false,&quot;dropping-particle&quot;:&quot;&quot;,&quot;non-dropping-particle&quot;:&quot;&quot;},{&quot;family&quot;:&quot;Zald&quot;,&quot;given&quot;:&quot;David H.&quot;,&quot;parse-names&quot;:false,&quot;dropping-particle&quot;:&quot;&quot;,&quot;non-dropping-particle&quot;:&quot;&quot;}],&quot;container-title&quot;:&quot;PLoS ONE&quot;,&quot;editor&quot;:[{&quot;family&quot;:&quot;García&quot;,&quot;given&quot;:&quot;Antonio Verdejo&quot;,&quot;parse-names&quot;:false,&quot;dropping-particle&quot;:&quot;&quot;,&quot;non-dropping-particle&quot;:&quot;&quot;}],&quot;DOI&quot;:&quot;10.1371/journal.pone.0006598&quot;,&quot;ISSN&quot;:&quot;1932-6203&quot;,&quot;URL&quot;:&quot;https://dx.plos.org/10.1371/journal.pone.0006598&quot;,&quot;issued&quot;:{&quot;date-parts&quot;:[[2009,8,12]]},&quot;page&quot;:&quot;e6598&quot;,&quot;abstract&quot;:&quot;Background: Of the putative psychopathological endophenotypes in major depressive disorder (MDD), the anhedonic subtype is particularly well supported. Anhedonia is generally assumed to reflect aberrant motivation and reward responsivity. However, research has been limited by a lack of objective measures of reward motivation. We present the Effort-Expenditure for Rewards Task (EEfRT or \&quot;effort\&quot;), a novel behavioral paradigm as a means of exploring effort-based decision-making in humans. Using the EEfRT, we test the hypothesis that effort-based decision-making is related to trait anhedonia. Methods/Results: 61 undergraduate students participated in the experiment. Subjects completed self-report measures of mood and trait anhedonia, and completed the EEfRT. Across multiple analyses, we found a significant inverse relationship between anhedonia and willingness to expend effort for rewards. Conclusions: These findings suggest that anhedonia is specifically associated with decreased motivation for rewards, and provide initial validation for the EEfRT as a laboratory-based behavioral measure of reward motivation and effort-based decision-making in humans. © 2009 Treadway et al.&quot;,&quot;issue&quot;:&quot;8&quot;,&quot;volume&quot;:&quot;4&quot;,&quot;container-title-short&quot;:&quot;PLoS One&quot;},&quot;isTemporary&quot;:false}]},{&quot;citationID&quot;:&quot;MENDELEY_CITATION_43e3b63d-a0f7-45c5-8771-8c152843c5b2&quot;,&quot;properties&quot;:{&quot;noteIndex&quot;:0},&quot;isEdited&quot;:false,&quot;manualOverride&quot;:{&quot;isManuallyOverridden&quot;:false,&quot;citeprocText&quot;:&quot;(2)&quot;,&quot;manualOverrideText&quot;:&quot;&quot;},&quot;citationTag&quot;:&quot;MENDELEY_CITATION_v3_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&quot;,&quot;citationItems&quot;:[{&quot;id&quot;:&quot;09ac2be1-3d38-30dc-aec0-eb2c099e3ee1&quot;,&quot;itemData&quot;:{&quot;type&quot;:&quot;article-journal&quot;,&quot;id&quot;:&quot;09ac2be1-3d38-30dc-aec0-eb2c099e3ee1&quot;,&quot;title&quot;:&quot;Effort-based decision-making in major depressive disorder: A translational model of motivational anhedonia.&quot;,&quot;author&quot;:[{&quot;family&quot;:&quot;Treadway&quot;,&quot;given&quot;:&quot;Michael T.&quot;,&quot;parse-names&quot;:false,&quot;dropping-particle&quot;:&quot;&quot;,&quot;non-dropping-particle&quot;:&quot;&quot;},{&quot;family&quot;:&quot;Bossaller&quot;,&quot;given&quot;:&quot;Nicholas A.&quot;,&quot;parse-names&quot;:false,&quot;dropping-particle&quot;:&quot;&quot;,&quot;non-dropping-particle&quot;:&quot;&quot;},{&quot;family&quot;:&quot;Shelton&quot;,&quot;given&quot;:&quot;Richard C.&quot;,&quot;parse-names&quot;:false,&quot;dropping-particle&quot;:&quot;&quot;,&quot;non-dropping-particle&quot;:&quot;&quot;},{&quot;family&quot;:&quot;Zald&quot;,&quot;given&quot;:&quot;David H.&quot;,&quot;parse-names&quot;:false,&quot;dropping-particle&quot;:&quot;&quot;,&quot;non-dropping-particle&quot;:&quot;&quot;}],&quot;container-title&quot;:&quot;Journal of Abnormal Psychology&quot;,&quot;container-title-short&quot;:&quot;J Abnorm Psychol&quot;,&quot;DOI&quot;:&quot;10.1037/a0028813&quot;,&quot;ISSN&quot;:&quot;1939-1846&quot;,&quot;issued&quot;:{&quot;date-parts&quot;:[[2012,8]]},&quot;page&quot;:&quot;553-558&quot;,&quot;abstract&quot;:&quot;Anhedonia is a core feature of major depressive disorder (MDD), but the precise nature of anhedonic symptoms is unknown. Whereas anhedonia has traditionally been viewed as a deficit in the experience of pleasure, more recent evidence suggests that reduced anticipation and motivation may also be a core feature of this symptom. Here, we provide data from a study in MDD patients and healthy controls using a translational measure of reward motivation, the Effort Expenditure for Rewards Task (EEfRT or “effort”). This task offers subjects a series of trials where they may choose to expend more or less effort for the opportunity to win varying amounts of monetary rewards. We found that MDD patients were less willing to expend effort for rewards than controls. Additionally, we observed that patients were less able to effectively use information about magnitude and probability of rewards to guide their choice behavior. Finally, within the MDD patient group, duration of the current episode was a significant negative predictor of EEfRT task performance. These findings offer novel support for theoretical models proposing that anhedonia in MDD may reflect specific impairments in motivation and reward-based decision-making. (PsycInfo Database Record (c) 2022 APA, all rights reserved)&quot;,&quot;issue&quot;:&quot;3&quot;,&quot;volume&quot;:&quot;121&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01465-3F6B-3445-B999-FDCA40C6E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940</Words>
  <Characters>5361</Characters>
  <Application>Microsoft Office Word</Application>
  <DocSecurity>0</DocSecurity>
  <Lines>82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Spry, Kasey Potts</dc:creator>
  <cp:keywords/>
  <dc:description/>
  <cp:lastModifiedBy>Spry, Kasey Potts</cp:lastModifiedBy>
  <cp:revision>6</cp:revision>
  <dcterms:created xsi:type="dcterms:W3CDTF">2026-02-03T16:50:00Z</dcterms:created>
  <dcterms:modified xsi:type="dcterms:W3CDTF">2026-02-20T15:42:00Z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zotero-version="8.0.3"&gt;&lt;session id="5fQiHRrq"/&gt;&lt;style id="http://www.zotero.org/styles/apa" locale="en-US" hasBibliography="1" bibliographyStyleHasBeenSet="0"/&gt;&lt;prefs&gt;&lt;pref name="fieldType" value="Field"/&gt;&lt;/prefs&gt;&lt;/data&gt;</vt:lpwstr>
  </property>
</Properties>
</file>