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5EC0275" wp14:paraId="5329738F" wp14:textId="73C269F4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Supporting information for</w:t>
      </w:r>
    </w:p>
    <w:p xmlns:wp14="http://schemas.microsoft.com/office/word/2010/wordml" w:rsidP="25EC0275" wp14:paraId="0F4C7794" wp14:textId="2EF9C4F6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5EC0275" wp14:paraId="70F25E30" wp14:textId="5A81F8D0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Genome mining potential of alkaliphilic cyanobacteria: Identification of biosynthetic gene clusters in </w:t>
      </w:r>
      <w:r w:rsidRPr="25EC0275" w:rsidR="4E9730DF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Sodalinema</w:t>
      </w:r>
      <w:r w:rsidRPr="25EC0275" w:rsidR="4E9730DF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associated heterotrophs</w:t>
      </w:r>
    </w:p>
    <w:p xmlns:wp14="http://schemas.microsoft.com/office/word/2010/wordml" w:rsidP="25EC0275" wp14:paraId="7CA71FB3" wp14:textId="5AD8B24F">
      <w:pPr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xmlns:wp14="http://schemas.microsoft.com/office/word/2010/wordml" w:rsidP="6B9DE5E5" wp14:paraId="77F52E36" wp14:textId="1DE944E3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</w:pP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Authors: Ruchita Solanki*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1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, Everet Wiszniak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2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, 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Lianchun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Yi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1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, </w:t>
      </w:r>
      <w:r w:rsidRPr="6B9DE5E5" w:rsidR="2D454FCE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Gamaliel Cabria</w:t>
      </w:r>
      <w:r w:rsidRPr="6B9DE5E5" w:rsidR="2D454FCE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1</w:t>
      </w:r>
      <w:r w:rsidRPr="6B9DE5E5" w:rsidR="2D454FCE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, 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Marc Strous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1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, Francisco Daniel Davila Aleman</w:t>
      </w:r>
      <w:r w:rsidRPr="6B9DE5E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2</w:t>
      </w:r>
    </w:p>
    <w:p xmlns:wp14="http://schemas.microsoft.com/office/word/2010/wordml" w:rsidP="25EC0275" wp14:paraId="40B9182A" wp14:textId="2D4DBBF3">
      <w:pPr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xmlns:wp14="http://schemas.microsoft.com/office/word/2010/wordml" w:rsidP="25EC0275" wp14:paraId="13C2D638" wp14:textId="7F34B79E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Author Affiliations: </w:t>
      </w:r>
    </w:p>
    <w:p xmlns:wp14="http://schemas.microsoft.com/office/word/2010/wordml" w:rsidP="25EC0275" wp14:paraId="4E1FA1EE" wp14:textId="45102614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1</w:t>
      </w: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Department of Earth, Energy, and Environment, University of Calgary, Calgary, Alberta, Canada</w:t>
      </w:r>
    </w:p>
    <w:p xmlns:wp14="http://schemas.microsoft.com/office/word/2010/wordml" w:rsidP="25EC0275" wp14:paraId="0F51E2E3" wp14:textId="56351ECE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2</w:t>
      </w: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Department of Biological Sciences, University of Calgary, Calgary, Alberta, Canada</w:t>
      </w:r>
    </w:p>
    <w:p xmlns:wp14="http://schemas.microsoft.com/office/word/2010/wordml" w:rsidP="25EC0275" wp14:paraId="17F2EB6D" wp14:textId="40691B6E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xmlns:wp14="http://schemas.microsoft.com/office/word/2010/wordml" w:rsidP="25EC0275" wp14:paraId="734A8567" wp14:textId="65BE4DF6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*Corresponding Author</w:t>
      </w:r>
    </w:p>
    <w:p xmlns:wp14="http://schemas.microsoft.com/office/word/2010/wordml" w:rsidP="25EC0275" wp14:paraId="1C2FC656" wp14:textId="5A3FE9CF">
      <w:pPr>
        <w:spacing w:before="0" w:beforeAutospacing="off" w:after="0" w:afterAutospacing="off" w:line="480" w:lineRule="auto"/>
        <w:jc w:val="both"/>
        <w:rPr>
          <w:rFonts w:ascii="Aptos" w:hAnsi="Aptos" w:eastAsia="Aptos" w:cs="Aptos" w:asciiTheme="minorAscii" w:hAnsiTheme="minorAscii" w:eastAsiaTheme="minorAscii" w:cstheme="minorAscii"/>
          <w:sz w:val="24"/>
          <w:szCs w:val="24"/>
        </w:rPr>
      </w:pPr>
      <w:r w:rsidRPr="25EC0275" w:rsidR="00E838BC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E</w:t>
      </w: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>mail</w:t>
      </w:r>
      <w:r w:rsidRPr="25EC0275" w:rsidR="6E7B4AFC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 address</w:t>
      </w:r>
      <w:r w:rsidRPr="25EC0275" w:rsidR="4E9730DF"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  <w:t xml:space="preserve">: </w:t>
      </w:r>
      <w:hyperlink r:id="R2510514e75a04575">
        <w:r w:rsidRPr="25EC0275" w:rsidR="4E9730DF">
          <w:rPr>
            <w:rStyle w:val="Hyperlink"/>
            <w:rFonts w:ascii="Aptos" w:hAnsi="Aptos" w:eastAsia="Aptos" w:cs="Aptos" w:asciiTheme="minorAscii" w:hAnsiTheme="minorAscii" w:eastAsiaTheme="minorAscii" w:cstheme="minorAscii"/>
            <w:strike w:val="0"/>
            <w:dstrike w:val="0"/>
            <w:noProof w:val="0"/>
            <w:color w:val="467886"/>
            <w:sz w:val="24"/>
            <w:szCs w:val="24"/>
            <w:u w:val="single"/>
            <w:lang w:val="en-GB"/>
          </w:rPr>
          <w:t>ruchita.solanki@ucalgary.ca</w:t>
        </w:r>
      </w:hyperlink>
    </w:p>
    <w:p xmlns:wp14="http://schemas.microsoft.com/office/word/2010/wordml" w:rsidP="25EC0275" wp14:paraId="5E5787A5" wp14:textId="728C86BF">
      <w:pPr>
        <w:pStyle w:val="Normal"/>
        <w:spacing w:before="0" w:beforeAutospacing="off" w:after="0" w:afterAutospacing="off" w:line="276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EC0275" w:rsidP="25EC0275" w:rsidRDefault="25EC0275" w14:paraId="6AADD3A0" w14:textId="6B29F0FA">
      <w:pPr>
        <w:pStyle w:val="Normal"/>
        <w:spacing w:before="0" w:beforeAutospacing="off" w:after="0" w:afterAutospacing="off" w:line="276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EC0275" w:rsidP="25EC0275" w:rsidRDefault="25EC0275" w14:paraId="439A4491" w14:textId="040583A6">
      <w:pPr>
        <w:pStyle w:val="Normal"/>
      </w:pPr>
    </w:p>
    <w:p w:rsidR="1AD1B51B" w:rsidP="7A799451" w:rsidRDefault="1AD1B51B" w14:paraId="5B29A4DF" w14:textId="3A45208E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="1AD1B51B">
        <w:drawing>
          <wp:inline wp14:editId="3AB6C776" wp14:anchorId="1787A4A5">
            <wp:extent cx="5724525" cy="4000526"/>
            <wp:effectExtent l="0" t="0" r="0" b="0"/>
            <wp:docPr id="17315385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31538559" name=""/>
                    <pic:cNvPicPr/>
                  </pic:nvPicPr>
                  <pic:blipFill>
                    <a:blip xmlns:r="http://schemas.openxmlformats.org/officeDocument/2006/relationships" r:embed="rId15104189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6873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400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799451" w:rsidR="6B82D85E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Figure</w:t>
      </w:r>
      <w:r w:rsidRPr="7A799451" w:rsidR="61FB270C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7A799451" w:rsidR="5EACFE6C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</w:t>
      </w:r>
      <w:r w:rsidRPr="7A799451" w:rsidR="0EE8B70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1</w:t>
      </w:r>
      <w:r w:rsidRPr="7A799451" w:rsidR="61FB270C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: Beta-diversity of microbial communities across sites and timepoints.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Non-metric Multidimensional Scaling (NMDS) plot based on </w:t>
      </w:r>
      <w:r w:rsidRPr="7A799451" w:rsidR="79763155">
        <w:rPr>
          <w:rFonts w:ascii="Aptos" w:hAnsi="Aptos" w:eastAsia="Aptos" w:cs="Aptos"/>
          <w:noProof w:val="0"/>
          <w:sz w:val="24"/>
          <w:szCs w:val="24"/>
          <w:lang w:val="en-GB"/>
        </w:rPr>
        <w:t>(</w:t>
      </w:r>
      <w:r w:rsidRPr="7A799451" w:rsidR="2A18DB1F">
        <w:rPr>
          <w:rFonts w:ascii="Aptos" w:hAnsi="Aptos" w:eastAsia="Aptos" w:cs="Aptos"/>
          <w:noProof w:val="0"/>
          <w:sz w:val="24"/>
          <w:szCs w:val="24"/>
          <w:lang w:val="en-GB"/>
        </w:rPr>
        <w:t>Supplementary Table S3</w:t>
      </w:r>
      <w:r w:rsidRPr="7A799451" w:rsidR="409A1CC1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) 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>dissimilarities of microbial community compositions. Points are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>colore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>d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by sampling site (</w:t>
      </w:r>
      <w:r w:rsidRPr="7A799451" w:rsidR="61FB270C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GB"/>
        </w:rPr>
        <w:t>DL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in orange, </w:t>
      </w:r>
      <w:r w:rsidRPr="7A799451" w:rsidR="61FB270C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GB"/>
        </w:rPr>
        <w:t>GE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in light blue, and </w:t>
      </w:r>
      <w:r w:rsidRPr="7A799451" w:rsidR="61FB270C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GB"/>
        </w:rPr>
        <w:t>PL</w:t>
      </w:r>
      <w:r w:rsidRPr="7A799451" w:rsidR="61FB270C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GB"/>
        </w:rPr>
        <w:t xml:space="preserve"> 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>in green) and shaped by sampling timepoint (</w:t>
      </w:r>
      <w:r w:rsidRPr="7A799451" w:rsidR="61FB270C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GB"/>
        </w:rPr>
        <w:t>T0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= circles, </w:t>
      </w:r>
      <w:r w:rsidRPr="7A799451" w:rsidR="61FB270C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GB"/>
        </w:rPr>
        <w:t>T120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= triangles, and </w:t>
      </w:r>
      <w:r w:rsidRPr="7A799451" w:rsidR="61FB270C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GB"/>
        </w:rPr>
        <w:t>T390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= crossed squares). The stress value is 0.02</w:t>
      </w:r>
      <w:r w:rsidRPr="7A799451" w:rsidR="58E37E5F">
        <w:rPr>
          <w:rFonts w:ascii="Aptos" w:hAnsi="Aptos" w:eastAsia="Aptos" w:cs="Aptos"/>
          <w:noProof w:val="0"/>
          <w:sz w:val="24"/>
          <w:szCs w:val="24"/>
          <w:lang w:val="en-GB"/>
        </w:rPr>
        <w:t>.</w:t>
      </w:r>
      <w:r w:rsidRPr="7A799451" w:rsidR="61FB270C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</w:t>
      </w:r>
    </w:p>
    <w:p w:rsidR="25EC0275" w:rsidP="25EC0275" w:rsidRDefault="25EC0275" w14:paraId="49AC2B75" w14:textId="53A742EB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sz w:val="24"/>
          <w:szCs w:val="24"/>
          <w:lang w:val="en-GB"/>
        </w:rPr>
      </w:pPr>
    </w:p>
    <w:p w:rsidR="25EC0275" w:rsidRDefault="25EC0275" w14:paraId="7313323A" w14:textId="25DF19A5">
      <w:r>
        <w:br w:type="page"/>
      </w:r>
    </w:p>
    <w:p w:rsidR="0C65726F" w:rsidP="25EC0275" w:rsidRDefault="0C65726F" w14:paraId="563219F2" w14:textId="6EC13039">
      <w:pPr>
        <w:pStyle w:val="Normal"/>
        <w:spacing w:before="0" w:beforeAutospacing="off" w:after="0" w:afterAutospacing="off" w:line="240" w:lineRule="auto"/>
        <w:jc w:val="both"/>
      </w:pPr>
      <w:r w:rsidR="0C65726F">
        <w:drawing>
          <wp:inline wp14:editId="39F328A2" wp14:anchorId="1E6C371C">
            <wp:extent cx="5500410" cy="3771372"/>
            <wp:effectExtent l="0" t="0" r="0" b="0"/>
            <wp:docPr id="108418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841856" name="Picture 10841856"/>
                    <pic:cNvPicPr/>
                  </pic:nvPicPr>
                  <pic:blipFill>
                    <a:blip xmlns:r="http://schemas.openxmlformats.org/officeDocument/2006/relationships" r:embed="rId4311448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15" t="10622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0410" cy="377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5EC0275" w:rsidR="0C65726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Figure S2: Analysis of GC Skew and Cumulative GC Skew of circularized </w:t>
      </w:r>
      <w:r w:rsidRPr="25EC0275" w:rsidR="0C65726F">
        <w:rPr>
          <w:rFonts w:ascii="Aptos" w:hAnsi="Aptos" w:eastAsia="Aptos" w:cs="Aptos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GB"/>
        </w:rPr>
        <w:t>Sodalinema</w:t>
      </w:r>
      <w:r w:rsidRPr="25EC0275" w:rsidR="0C65726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MAG (Bin26) enriched from Deer Lake consortium. </w:t>
      </w:r>
      <w:r w:rsidRPr="25EC0275" w:rsidR="0C65726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This consortium was enriched at 8.5 pH, 0.24M alkalinity, and room temperature (21</w:t>
      </w:r>
      <w:r w:rsidRPr="25EC0275" w:rsidR="7B53C73C">
        <w:rPr>
          <w:rFonts w:ascii="Aptos" w:hAnsi="Aptos" w:eastAsia="Aptos" w:cs="Aptos"/>
          <w:noProof w:val="0"/>
          <w:sz w:val="24"/>
          <w:szCs w:val="24"/>
          <w:lang w:val="en-GB"/>
        </w:rPr>
        <w:t>°</w:t>
      </w:r>
      <w:r w:rsidRPr="25EC0275" w:rsidR="0C65726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C).</w:t>
      </w:r>
    </w:p>
    <w:p w:rsidR="25EC0275" w:rsidP="25EC0275" w:rsidRDefault="25EC0275" w14:paraId="0CAA4238" w14:textId="2E1CD338">
      <w:pPr>
        <w:pStyle w:val="Normal"/>
        <w:spacing w:before="0" w:beforeAutospacing="off" w:after="0" w:afterAutospacing="off" w:line="240" w:lineRule="auto"/>
        <w:jc w:val="both"/>
      </w:pPr>
    </w:p>
    <w:p w:rsidR="25EC0275" w:rsidRDefault="25EC0275" w14:paraId="6B63A284" w14:textId="453D2B4C">
      <w:r>
        <w:br w:type="page"/>
      </w:r>
    </w:p>
    <w:p w:rsidR="7460E903" w:rsidP="25EC0275" w:rsidRDefault="7460E903" w14:paraId="309EDE92" w14:textId="5188A9CC">
      <w:pPr>
        <w:pStyle w:val="Normal"/>
        <w:spacing w:before="0" w:beforeAutospacing="off" w:after="0" w:afterAutospacing="off" w:line="240" w:lineRule="auto"/>
        <w:jc w:val="both"/>
      </w:pPr>
      <w:r w:rsidR="7460E903">
        <w:drawing>
          <wp:inline wp14:editId="0C3962E1" wp14:anchorId="1980B08A">
            <wp:extent cx="5724525" cy="4953000"/>
            <wp:effectExtent l="0" t="0" r="0" b="0"/>
            <wp:docPr id="18184308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18430896" name="Picture 1818430896"/>
                    <pic:cNvPicPr/>
                  </pic:nvPicPr>
                  <pic:blipFill>
                    <a:blip xmlns:r="http://schemas.openxmlformats.org/officeDocument/2006/relationships" r:embed="rId11825924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5EC0275" w:rsidR="7460E903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Figure S3: Average Nucleotide Identity (ANI) Matrix of </w:t>
      </w:r>
      <w:r w:rsidRPr="25EC0275" w:rsidR="7460E903">
        <w:rPr>
          <w:rFonts w:ascii="Aptos" w:hAnsi="Aptos" w:eastAsia="Aptos" w:cs="Aptos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GB"/>
        </w:rPr>
        <w:t>Sodalinema</w:t>
      </w:r>
      <w:r w:rsidRPr="25EC0275" w:rsidR="7460E903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Genomes.</w:t>
      </w:r>
      <w:r w:rsidRPr="25EC0275" w:rsidR="365F460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This heatmap 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represents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the pairwise Average Nucleotide Identity (ANI) values, expressed as a percentage, calculated between 15 publicly available </w:t>
      </w:r>
      <w:r w:rsidRPr="25EC0275" w:rsidR="7460E903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GB"/>
        </w:rPr>
        <w:t>Sodalinema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genomes from different habitats. The 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color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intensity corresponds to the ANI percentage, with deep red 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indicating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high identity and deep blue 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indicating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low identity. </w:t>
      </w:r>
      <w:r w:rsidRPr="25EC0275" w:rsidR="7460E903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GB"/>
        </w:rPr>
        <w:t>Sodalinema</w:t>
      </w:r>
      <w:r w:rsidRPr="25EC0275" w:rsidR="7460E90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MAGs generated in this study are in bold.</w:t>
      </w:r>
    </w:p>
    <w:p w:rsidR="25EC0275" w:rsidP="25EC0275" w:rsidRDefault="25EC0275" w14:paraId="11284FFE" w14:textId="64DFB38F">
      <w:pPr>
        <w:pStyle w:val="Normal"/>
        <w:spacing w:before="0" w:beforeAutospacing="off" w:after="0" w:afterAutospacing="off" w:line="240" w:lineRule="auto"/>
        <w:jc w:val="both"/>
      </w:pPr>
    </w:p>
    <w:p w:rsidR="25EC0275" w:rsidRDefault="25EC0275" w14:paraId="62303855" w14:textId="5FD7DA02">
      <w:r>
        <w:br w:type="page"/>
      </w:r>
    </w:p>
    <w:p w:rsidR="48EB63A1" w:rsidP="25EC0275" w:rsidRDefault="48EB63A1" w14:paraId="2CDAC125" w14:textId="5B02A1CE">
      <w:pPr>
        <w:pStyle w:val="Normal"/>
        <w:spacing w:before="0" w:beforeAutospacing="off" w:after="0" w:afterAutospacing="off" w:line="240" w:lineRule="auto"/>
        <w:jc w:val="both"/>
      </w:pPr>
      <w:r w:rsidR="48EB63A1">
        <w:drawing>
          <wp:inline wp14:editId="10D80CD4" wp14:anchorId="6FDB712C">
            <wp:extent cx="4996396" cy="5856596"/>
            <wp:effectExtent l="0" t="0" r="0" b="0"/>
            <wp:docPr id="158875197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88751978" name=""/>
                    <pic:cNvPicPr/>
                  </pic:nvPicPr>
                  <pic:blipFill>
                    <a:blip xmlns:r="http://schemas.openxmlformats.org/officeDocument/2006/relationships" r:embed="rId18779315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7400" r="10233" b="11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6396" cy="58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CC5FC1" w:rsidP="25EC0275" w:rsidRDefault="29CC5FC1" w14:paraId="6837690E" w14:textId="51957E98">
      <w:pPr>
        <w:spacing w:before="0" w:beforeAutospacing="off" w:after="0" w:afterAutospacing="off" w:line="240" w:lineRule="auto"/>
        <w:jc w:val="both"/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5EC0275" w:rsidR="29CC5FC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Figure S</w:t>
      </w:r>
      <w:r w:rsidRPr="25EC0275" w:rsidR="15EA9A65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4</w:t>
      </w:r>
      <w:r w:rsidRPr="25EC0275" w:rsidR="29CC5FC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: Complete Pathway for Zeaxanthin Biosynthesis (C40 Terpenoid Biosynthesis) </w:t>
      </w:r>
      <w:r w:rsidRPr="25EC0275" w:rsidR="29CC5FC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identified</w:t>
      </w:r>
      <w:r w:rsidRPr="25EC0275" w:rsidR="29CC5FC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in </w:t>
      </w:r>
      <w:r w:rsidRPr="25EC0275" w:rsidR="29CC5FC1">
        <w:rPr>
          <w:rFonts w:ascii="Aptos" w:hAnsi="Aptos" w:eastAsia="Aptos" w:cs="Aptos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GB"/>
        </w:rPr>
        <w:t>Sodalinema</w:t>
      </w:r>
      <w:r w:rsidRPr="25EC0275" w:rsidR="29CC5FC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MAGs generated in this study.</w:t>
      </w:r>
      <w:r w:rsidRPr="25EC0275" w:rsidR="005BFB72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5EC0275" w:rsidR="29CC5FC1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This diagram illustrates the multi-stage biochemical pathway leading to the synthesis of the xanthophyll pigment, Zeaxanthin</w:t>
      </w:r>
      <w:r w:rsidRPr="25EC0275" w:rsidR="1D21CE1E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(Supplementary Table S10)</w:t>
      </w:r>
      <w:r w:rsidRPr="25EC0275" w:rsidR="29CC5FC1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. Stage 1: MEP Pathway (Non-Mevalonate / KEGG:M00364): The pathway begins with precursors Pyruvate and G3P (Glycolytic intermediates) which generate the C5 precursors IPP (Isopentenyl Diphosphate) and DMAPP (Dimethylallyl Diphosphate). These combine to form GGPP (Geranylgeranyl pyrophosphate), a C20 compound.  Stage 2: C40 Scaffold Synthesis (Poly-cis intermediate route): Two molecules of GGPP are condensed by 15-cis-Phytoene Synthase (CRTB, K02593) to form 15-cis-Phytoene (C40). </w:t>
      </w:r>
      <w:r w:rsidRPr="25EC0275" w:rsidR="340FFA53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S</w:t>
      </w:r>
      <w:r w:rsidRPr="25EC0275" w:rsidR="29CC5FC1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tage 3: Zeaxanthin Biosynthesis (KEGG:M01045): Lycopene is cyclized by Lycopene Cyclase (CRT B/Y, K14605, K14606) to produce Beta-Carotene. Finally, Beta-Carotene Hydroxylase (CRT Z, K00504) acts on Beta-Carotene to form the final product, Zeaxanthin, a cyclic </w:t>
      </w:r>
      <w:r w:rsidRPr="25EC0275" w:rsidR="5C9B6112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xanthophyll.</w:t>
      </w:r>
    </w:p>
    <w:p w:rsidR="25EC0275" w:rsidRDefault="25EC0275" w14:paraId="2B5BE177" w14:textId="01BCDB56">
      <w:r>
        <w:br w:type="page"/>
      </w:r>
    </w:p>
    <w:p w:rsidR="3EC19BFC" w:rsidP="2685DDA9" w:rsidRDefault="3EC19BFC" w14:paraId="238C436F" w14:textId="49322F4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="3EC19BFC">
        <w:drawing>
          <wp:inline wp14:editId="540C0364" wp14:anchorId="7371DF59">
            <wp:extent cx="5724525" cy="1438275"/>
            <wp:effectExtent l="0" t="0" r="0" b="0"/>
            <wp:docPr id="6327746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9600439" name="Picture 649600439"/>
                    <pic:cNvPicPr/>
                  </pic:nvPicPr>
                  <pic:blipFill>
                    <a:blip xmlns:r="http://schemas.openxmlformats.org/officeDocument/2006/relationships" r:embed="rId19548062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EC0275" w:rsidP="2685DDA9" w:rsidRDefault="25EC0275" w14:paraId="70367DD5" w14:textId="37F6013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2685DDA9" w:rsidR="0435A77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Figure S</w:t>
      </w:r>
      <w:r w:rsidRPr="2685DDA9" w:rsidR="5196F2C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5</w:t>
      </w:r>
      <w:r w:rsidRPr="2685DDA9" w:rsidR="0435A77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: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sz w:val="24"/>
          <w:szCs w:val="24"/>
          <w:lang w:val="en-GB"/>
        </w:rPr>
        <w:t xml:space="preserve">Comparative analysis of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sz w:val="24"/>
          <w:szCs w:val="24"/>
          <w:lang w:val="en-GB"/>
        </w:rPr>
        <w:t>Non-ribosomal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sz w:val="24"/>
          <w:szCs w:val="24"/>
          <w:lang w:val="en-GB"/>
        </w:rPr>
        <w:t xml:space="preserve"> peptide synthetase (NRPS) - like biosynthetic gene clust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sz w:val="24"/>
          <w:szCs w:val="24"/>
          <w:lang w:val="en-GB"/>
        </w:rPr>
        <w:t>er.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</w:p>
    <w:p w:rsidR="25EC0275" w:rsidP="2685DDA9" w:rsidRDefault="25EC0275" w14:paraId="4B6A21F4" w14:textId="0C8118FA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Synteny plot illustrating the conservation and gene organization of NRPS-like cluster across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Photorhabdus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 xml:space="preserve">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luminescens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subsp.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laumondii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TTO1 and three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Sodalinema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metagenome-assembled genome</w:t>
      </w:r>
      <w:r w:rsidRPr="2685DDA9" w:rsidR="4741177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s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(MAG</w:t>
      </w:r>
      <w:r w:rsidRPr="2685DDA9" w:rsidR="098D2F2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s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) (Bin11, Bin26, and Bin13) generated from this study. Bin11 was enriched from GE consortium, Bin26 from DL consortium, and Bin13 from PL consortium.</w:t>
      </w:r>
      <w:r w:rsidRPr="2685DDA9" w:rsidR="48D8049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NRPS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gene cluster in 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P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hotorhabdus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 xml:space="preserve"> 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l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uminescens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subsp. 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l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aumondii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TTO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1</w:t>
      </w:r>
      <w:r w:rsidRPr="2685DDA9" w:rsidR="2687488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was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00D72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experimentally verified.</w:t>
      </w:r>
    </w:p>
    <w:p w:rsidR="2685DDA9" w:rsidP="2685DDA9" w:rsidRDefault="2685DDA9" w14:paraId="40D3BB4C" w14:textId="51CD2482">
      <w:pPr>
        <w:pStyle w:val="Normal"/>
        <w:spacing w:before="0" w:beforeAutospacing="off" w:after="0" w:afterAutospacing="off" w:line="240" w:lineRule="auto"/>
        <w:jc w:val="both"/>
      </w:pPr>
    </w:p>
    <w:p w:rsidR="25EC0275" w:rsidP="75A30767" w:rsidRDefault="25EC0275" w14:paraId="73B267AC" w14:textId="285A6587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EC0275" w:rsidRDefault="25EC0275" w14:paraId="47A27ED8" w14:textId="5915543A">
      <w:r>
        <w:br w:type="page"/>
      </w:r>
    </w:p>
    <w:p w:rsidR="25EC0275" w:rsidP="75A30767" w:rsidRDefault="25EC0275" w14:paraId="5FCFD675" w14:textId="202AB8E4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</w:pPr>
      <w:r w:rsidR="1C697650">
        <w:drawing>
          <wp:inline wp14:editId="44EAEBF5" wp14:anchorId="23754AB0">
            <wp:extent cx="5724525" cy="1419225"/>
            <wp:effectExtent l="0" t="0" r="0" b="0"/>
            <wp:docPr id="16777039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77703921" name="Picture 1677703921"/>
                    <pic:cNvPicPr/>
                  </pic:nvPicPr>
                  <pic:blipFill>
                    <a:blip xmlns:r="http://schemas.openxmlformats.org/officeDocument/2006/relationships" r:embed="rId15260009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85DDA9" w:rsidR="63C4F0E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Figure S</w:t>
      </w:r>
      <w:r w:rsidRPr="2685DDA9" w:rsidR="1C9F21E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6</w:t>
      </w:r>
      <w:r w:rsidRPr="2685DDA9" w:rsidR="0EBDA6D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: 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Comparative genomic analysis of 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en-GB"/>
        </w:rPr>
        <w:t>Ribosomally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en-GB"/>
        </w:rPr>
        <w:t xml:space="preserve"> synthesized and 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en-GB"/>
        </w:rPr>
        <w:t>Post-translationally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en-GB"/>
        </w:rPr>
        <w:t xml:space="preserve"> modified Peptide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(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RiPP</w:t>
      </w:r>
      <w:r w:rsidRPr="2685DDA9" w:rsidR="06045424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) biosynthetic gene cluster.</w:t>
      </w:r>
    </w:p>
    <w:p w:rsidR="257BF793" w:rsidP="2685DDA9" w:rsidRDefault="257BF793" w14:paraId="30F764EF" w14:textId="67A4DF45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Synteny plot illustrating the conservation and gene organization of </w:t>
      </w:r>
      <w:bookmarkStart w:name="_Int_qivRAbQH" w:id="1542084069"/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RiPP</w:t>
      </w:r>
      <w:bookmarkEnd w:id="1542084069"/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gene cluster across 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Nostoc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, 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Bacillus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, 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Halalkalibacterium</w:t>
      </w:r>
      <w:r w:rsidRPr="2685DDA9" w:rsidR="7047FC1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, 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and </w:t>
      </w:r>
      <w:r w:rsidRPr="2685DDA9" w:rsidR="0830A83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on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e 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Sodalinema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metagenome-assembled genome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(MAG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) (Bin11) generated from this study. Bin11 was enriched from GE consortium</w:t>
      </w:r>
      <w:r w:rsidRPr="2685DDA9" w:rsidR="6B4266A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.</w:t>
      </w:r>
      <w:r w:rsidRPr="2685DDA9" w:rsidR="5340852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RiPP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gene cluster </w:t>
      </w:r>
      <w:r w:rsidRPr="2685DDA9" w:rsidR="27506EC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in </w:t>
      </w:r>
      <w:r w:rsidRPr="2685DDA9" w:rsidR="27506EC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Nostoc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,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Bacillus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, and 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H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>alalkalibacterium</w:t>
      </w:r>
      <w:r w:rsidRPr="2685DDA9" w:rsidR="0FB44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noProof w:val="0"/>
          <w:sz w:val="24"/>
          <w:szCs w:val="24"/>
          <w:lang w:val="en-GB"/>
        </w:rPr>
        <w:t xml:space="preserve"> 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2685DDA9" w:rsidR="7CBA4CB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>were</w:t>
      </w:r>
      <w:r w:rsidRPr="2685DDA9" w:rsidR="257BF79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experimentally verified.</w:t>
      </w:r>
    </w:p>
    <w:p w:rsidR="75A30767" w:rsidP="2685DDA9" w:rsidRDefault="75A30767" w14:paraId="1934FAC2" w14:textId="4DAF010E">
      <w:pPr>
        <w:spacing w:before="0" w:beforeAutospacing="off" w:after="0" w:afterAutospacing="off" w:line="240" w:lineRule="auto"/>
      </w:pPr>
      <w:r>
        <w:br w:type="page"/>
      </w:r>
    </w:p>
    <w:p w:rsidR="75A30767" w:rsidP="2685DDA9" w:rsidRDefault="75A30767" w14:paraId="72AF720F" w14:textId="7FAC6686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64BAA81D">
        <w:drawing>
          <wp:inline wp14:editId="2795E897" wp14:anchorId="622A3DA2">
            <wp:extent cx="4368634" cy="3502010"/>
            <wp:effectExtent l="0" t="0" r="0" b="0"/>
            <wp:docPr id="143390846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83941511" name=""/>
                    <pic:cNvPicPr/>
                  </pic:nvPicPr>
                  <pic:blipFill>
                    <a:blip xmlns:r="http://schemas.openxmlformats.org/officeDocument/2006/relationships" r:embed="rId5918337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98" t="6995" r="7554" b="428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68634" cy="350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A30767" w:rsidP="2685DDA9" w:rsidRDefault="75A30767" w14:paraId="75C627E7" w14:textId="6AD39B70">
      <w:pPr>
        <w:spacing w:before="0" w:beforeAutospacing="off" w:after="0" w:afterAutospacing="off" w:line="240" w:lineRule="auto"/>
        <w:jc w:val="both"/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685DDA9" w:rsidR="64BAA81D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Figure S</w:t>
      </w:r>
      <w:r w:rsidRPr="2685DDA9" w:rsidR="3006A6FC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7</w:t>
      </w:r>
      <w:r w:rsidRPr="2685DDA9" w:rsidR="64BAA81D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:</w:t>
      </w:r>
      <w:r w:rsidRPr="2685DDA9" w:rsidR="64BAA81D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685DDA9" w:rsidR="64BAA81D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Biotin Biosynthesis Pathway (BioU Pathway - KEGG M00950) in </w:t>
      </w:r>
      <w:r w:rsidRPr="2685DDA9" w:rsidR="64BAA81D">
        <w:rPr>
          <w:rFonts w:ascii="Aptos" w:hAnsi="Aptos" w:eastAsia="Aptos" w:cs="Aptos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GB"/>
        </w:rPr>
        <w:t>Sodalinema</w:t>
      </w:r>
      <w:r w:rsidRPr="2685DDA9" w:rsidR="64BAA81D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MAGs generated in this study. 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This figure outlines the biochemical steps for the final stages of Biotin (Vitamin B7) synthesis, starting from the precursor Pimeloyl-CoA. The pathway involves the sequential transformation of Pimeloyl-CoA through three key intermediates: Pimeloyl-CoA is converted to 8-Amino-7-oxononanoate by 8-Amino-7-oxononanoate Synthase (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BioF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, K00582). 8-Amino-7-oxononanoate is converted to 7,8-Diaminononanoate. The specific enzyme for this step is often associated with the 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BioU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Family Protein (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BioU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, K03570). 7,8-Diaminononanoate is then converted to 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Dethiobiotin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by 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Dethiobiotin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Synthase (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BioD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, K01935). Finally, 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Dethiobiotin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is converted to the final product, Biotin (Vitamin B7), by Biotin Synthase (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BioB</w:t>
      </w:r>
      <w:r w:rsidRPr="2685DDA9" w:rsidR="64BAA81D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GB"/>
        </w:rPr>
        <w:t>, K01932) (Supplementary Table S13).</w:t>
      </w:r>
    </w:p>
    <w:p w:rsidR="75A30767" w:rsidP="2685DDA9" w:rsidRDefault="75A30767" w14:paraId="13DFA195" w14:textId="7E5E0163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25EC0275" w:rsidP="7A799451" w:rsidRDefault="25EC0275" w14:paraId="3F16A2C5" w14:textId="2CDDF975">
      <w:pPr/>
      <w:r>
        <w:br w:type="page"/>
      </w:r>
    </w:p>
    <w:p w:rsidR="0C41D96D" w:rsidP="25EC0275" w:rsidRDefault="0C41D96D" w14:paraId="35234A32" w14:textId="4E65B3AC">
      <w:pPr>
        <w:pStyle w:val="Normal"/>
        <w:spacing w:before="0" w:beforeAutospacing="off" w:after="0" w:afterAutospacing="off" w:line="240" w:lineRule="auto"/>
        <w:jc w:val="both"/>
      </w:pPr>
      <w:r w:rsidR="72279CB2">
        <w:drawing>
          <wp:inline wp14:editId="28BC696D" wp14:anchorId="68FE8102">
            <wp:extent cx="3966971" cy="4024102"/>
            <wp:effectExtent l="0" t="0" r="0" b="0"/>
            <wp:docPr id="14915685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1568556" name=""/>
                    <pic:cNvPicPr/>
                  </pic:nvPicPr>
                  <pic:blipFill>
                    <a:blip xmlns:r="http://schemas.openxmlformats.org/officeDocument/2006/relationships" r:embed="rId10207047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6360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6971" cy="402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81A0CF" w:rsidP="25EC0275" w:rsidRDefault="0581A0CF" w14:paraId="41F75049" w14:textId="33821797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</w:pPr>
      <w:r w:rsidRPr="75A30767" w:rsidR="0581A0C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Figure S</w:t>
      </w:r>
      <w:r w:rsidRPr="75A30767" w:rsidR="5799C4D0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8</w:t>
      </w:r>
      <w:r w:rsidRPr="75A30767" w:rsidR="0581A0C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: </w:t>
      </w:r>
      <w:r w:rsidRPr="75A30767" w:rsidR="0581A0C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 xml:space="preserve">Expression profiles of secondary metabolite and cofactor biosynthetic genes in </w:t>
      </w:r>
      <w:r w:rsidRPr="75A30767" w:rsidR="0581A0CF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n-GB"/>
        </w:rPr>
        <w:t>Rosienatronobacter</w:t>
      </w:r>
      <w:r w:rsidRPr="75A30767" w:rsidR="0581A0C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 xml:space="preserve"> MAGs.</w:t>
      </w:r>
      <w:r w:rsidRPr="75A30767" w:rsidR="0581A0C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Heatmap illustrating the relative expression levels (%) of genes associated with various metabolic pathways across two MAGs, Bin20 (</w:t>
      </w:r>
      <w:r w:rsidRPr="75A30767" w:rsidR="08E106E0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DL </w:t>
      </w:r>
      <w:r w:rsidRPr="75A30767" w:rsidR="08E106E0">
        <w:rPr>
          <w:rFonts w:ascii="Aptos" w:hAnsi="Aptos" w:eastAsia="Aptos" w:cs="Aptos"/>
          <w:noProof w:val="0"/>
          <w:sz w:val="24"/>
          <w:szCs w:val="24"/>
          <w:lang w:val="en-GB"/>
        </w:rPr>
        <w:t>consotium</w:t>
      </w:r>
      <w:r w:rsidRPr="75A30767" w:rsidR="08E106E0">
        <w:rPr>
          <w:rFonts w:ascii="Aptos" w:hAnsi="Aptos" w:eastAsia="Aptos" w:cs="Aptos"/>
          <w:noProof w:val="0"/>
          <w:sz w:val="24"/>
          <w:szCs w:val="24"/>
          <w:lang w:val="en-GB"/>
        </w:rPr>
        <w:t>)</w:t>
      </w:r>
      <w:r w:rsidRPr="75A30767" w:rsidR="0581A0C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and Bin21</w:t>
      </w:r>
      <w:r w:rsidRPr="75A30767" w:rsidR="74AE11A0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</w:t>
      </w:r>
      <w:r w:rsidRPr="75A30767" w:rsidR="374C366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(PL </w:t>
      </w:r>
      <w:r w:rsidRPr="75A30767" w:rsidR="374C366F">
        <w:rPr>
          <w:rFonts w:ascii="Aptos" w:hAnsi="Aptos" w:eastAsia="Aptos" w:cs="Aptos"/>
          <w:noProof w:val="0"/>
          <w:sz w:val="24"/>
          <w:szCs w:val="24"/>
          <w:lang w:val="en-GB"/>
        </w:rPr>
        <w:t>consotium</w:t>
      </w:r>
      <w:r w:rsidRPr="75A30767" w:rsidR="374C366F">
        <w:rPr>
          <w:rFonts w:ascii="Aptos" w:hAnsi="Aptos" w:eastAsia="Aptos" w:cs="Aptos"/>
          <w:noProof w:val="0"/>
          <w:sz w:val="24"/>
          <w:szCs w:val="24"/>
          <w:lang w:val="en-GB"/>
        </w:rPr>
        <w:t>)</w:t>
      </w:r>
      <w:r w:rsidRPr="75A30767" w:rsidR="0581A0CF">
        <w:rPr>
          <w:rFonts w:ascii="Aptos" w:hAnsi="Aptos" w:eastAsia="Aptos" w:cs="Aptos"/>
          <w:noProof w:val="0"/>
          <w:sz w:val="24"/>
          <w:szCs w:val="24"/>
          <w:lang w:val="en-GB"/>
        </w:rPr>
        <w:t>.</w:t>
      </w:r>
      <w:r w:rsidRPr="75A30767" w:rsidR="0EA2F1B8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DL-Bin20 was enriched at </w:t>
      </w:r>
      <w:r w:rsidRPr="75A30767" w:rsidR="0EA2F1B8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8.5 pH, 0.24M alkalinity, and room temperature (21</w:t>
      </w:r>
      <w:r w:rsidRPr="75A30767" w:rsidR="0EA2F1B8">
        <w:rPr>
          <w:rFonts w:ascii="Aptos" w:hAnsi="Aptos" w:eastAsia="Aptos" w:cs="Aptos"/>
          <w:noProof w:val="0"/>
          <w:sz w:val="24"/>
          <w:szCs w:val="24"/>
          <w:lang w:val="en-GB"/>
        </w:rPr>
        <w:t>°</w:t>
      </w:r>
      <w:r w:rsidRPr="75A30767" w:rsidR="0EA2F1B8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C).</w:t>
      </w:r>
      <w:r w:rsidRPr="75A30767" w:rsidR="2E56B522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PL-Bin21 was enriched at 8.5 pH, 0.24M alkalinity, and 30</w:t>
      </w:r>
      <w:r w:rsidRPr="75A30767" w:rsidR="2E56B522">
        <w:rPr>
          <w:rFonts w:ascii="Aptos" w:hAnsi="Aptos" w:eastAsia="Aptos" w:cs="Aptos"/>
          <w:noProof w:val="0"/>
          <w:sz w:val="24"/>
          <w:szCs w:val="24"/>
          <w:lang w:val="en-GB"/>
        </w:rPr>
        <w:t>°</w:t>
      </w:r>
      <w:r w:rsidRPr="75A30767" w:rsidR="2E56B522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C</w:t>
      </w:r>
      <w:r w:rsidRPr="75A30767" w:rsidR="01913AA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. </w:t>
      </w:r>
    </w:p>
    <w:p w:rsidR="75A30767" w:rsidP="75A30767" w:rsidRDefault="75A30767" w14:paraId="22091A15" w14:textId="3A03EBF9">
      <w:pPr>
        <w:pStyle w:val="Normal"/>
      </w:pPr>
    </w:p>
    <w:p w:rsidR="25EC0275" w:rsidP="25EC0275" w:rsidRDefault="25EC0275" w14:paraId="08CE4C87" w14:textId="411924F6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F7E55B2" w:rsidP="75A30767" w:rsidRDefault="6F7E55B2" w14:paraId="6EE67A78" w14:textId="6A82BA0B">
      <w:pPr>
        <w:pStyle w:val="Normal"/>
        <w:spacing w:before="0" w:beforeAutospacing="off" w:after="0" w:afterAutospacing="off" w:line="240" w:lineRule="auto"/>
      </w:pPr>
      <w:r w:rsidR="086E33DF">
        <w:drawing>
          <wp:inline wp14:editId="2E1F209F" wp14:anchorId="1FE8316F">
            <wp:extent cx="4414076" cy="4420034"/>
            <wp:effectExtent l="0" t="0" r="0" b="0"/>
            <wp:docPr id="11431432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43143236" name=""/>
                    <pic:cNvPicPr/>
                  </pic:nvPicPr>
                  <pic:blipFill>
                    <a:blip xmlns:r="http://schemas.openxmlformats.org/officeDocument/2006/relationships" r:embed="rId13705887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7155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4076" cy="44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9D8B2" w:rsidP="25EC0275" w:rsidRDefault="56E9D8B2" w14:paraId="4B46AE21" w14:textId="3F52D57D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</w:pPr>
      <w:r w:rsidRPr="75A30767" w:rsidR="56E9D8B2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Figure S</w:t>
      </w:r>
      <w:r w:rsidRPr="75A30767" w:rsidR="3D89FCE2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9</w:t>
      </w:r>
      <w:r w:rsidRPr="75A30767" w:rsidR="56E9D8B2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: </w:t>
      </w:r>
      <w:r w:rsidRPr="75A30767" w:rsidR="56E9D8B2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 xml:space="preserve">Expression profiles of secondary metabolite and cofactor biosynthetic genes in </w:t>
      </w:r>
      <w:r w:rsidRPr="75A30767" w:rsidR="56E9D8B2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n-GB"/>
        </w:rPr>
        <w:t>Alkalimonas</w:t>
      </w:r>
      <w:r w:rsidRPr="75A30767" w:rsidR="56E9D8B2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 xml:space="preserve"> MAGs.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Heatmap illustrating the relative expression levels (%) of genes associated with various metabolic pathways across two MAGs, Bin1 (GE 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>consotium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) and Bin27 (DL 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>consotium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). GE-Bin1 </w:t>
      </w:r>
      <w:r w:rsidRPr="75A30767" w:rsidR="4177DF53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was enriched at 10.2 pH, 0.5M alkalinity, and </w:t>
      </w:r>
      <w:r w:rsidRPr="75A30767" w:rsidR="4177DF5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room temperature (21</w:t>
      </w:r>
      <w:r w:rsidRPr="75A30767" w:rsidR="4177DF53">
        <w:rPr>
          <w:rFonts w:ascii="Aptos" w:hAnsi="Aptos" w:eastAsia="Aptos" w:cs="Aptos"/>
          <w:noProof w:val="0"/>
          <w:sz w:val="24"/>
          <w:szCs w:val="24"/>
          <w:lang w:val="en-GB"/>
        </w:rPr>
        <w:t>°</w:t>
      </w:r>
      <w:r w:rsidRPr="75A30767" w:rsidR="4177DF5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C).</w:t>
      </w:r>
      <w:r w:rsidRPr="75A30767" w:rsidR="6EA05F67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>DL-Bin2</w:t>
      </w:r>
      <w:r w:rsidRPr="75A30767" w:rsidR="521813FE">
        <w:rPr>
          <w:rFonts w:ascii="Aptos" w:hAnsi="Aptos" w:eastAsia="Aptos" w:cs="Aptos"/>
          <w:noProof w:val="0"/>
          <w:sz w:val="24"/>
          <w:szCs w:val="24"/>
          <w:lang w:val="en-GB"/>
        </w:rPr>
        <w:t>7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was enriched at </w:t>
      </w:r>
      <w:r w:rsidRPr="75A30767" w:rsidR="56E9D8B2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8.5 pH, 0.24M alkalinity, and room temperature (21</w:t>
      </w:r>
      <w:r w:rsidRPr="75A30767" w:rsidR="56E9D8B2">
        <w:rPr>
          <w:rFonts w:ascii="Aptos" w:hAnsi="Aptos" w:eastAsia="Aptos" w:cs="Aptos"/>
          <w:noProof w:val="0"/>
          <w:sz w:val="24"/>
          <w:szCs w:val="24"/>
          <w:lang w:val="en-GB"/>
        </w:rPr>
        <w:t>°</w:t>
      </w:r>
      <w:r w:rsidRPr="75A30767" w:rsidR="56E9D8B2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 xml:space="preserve">C). </w:t>
      </w:r>
    </w:p>
    <w:p w:rsidR="25EC0275" w:rsidP="25EC0275" w:rsidRDefault="25EC0275" w14:paraId="7A4B6A7F" w14:textId="1A658A7E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EC0275" w:rsidRDefault="25EC0275" w14:paraId="4771C5D8" w14:textId="3D686C68">
      <w:r>
        <w:br w:type="page"/>
      </w:r>
    </w:p>
    <w:p w:rsidR="0FF24D7B" w:rsidP="25EC0275" w:rsidRDefault="0FF24D7B" w14:paraId="087277B6" w14:textId="557135BC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</w:pPr>
      <w:r w:rsidR="0FF24D7B">
        <w:drawing>
          <wp:inline wp14:editId="602F9A57" wp14:anchorId="781CC43D">
            <wp:extent cx="4463727" cy="3787610"/>
            <wp:effectExtent l="0" t="0" r="0" b="0"/>
            <wp:docPr id="14057363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05736380" name=""/>
                    <pic:cNvPicPr/>
                  </pic:nvPicPr>
                  <pic:blipFill>
                    <a:blip xmlns:r="http://schemas.openxmlformats.org/officeDocument/2006/relationships" r:embed="rId1497414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7295" r="0" b="2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3727" cy="37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C382EF" w:rsidP="25EC0275" w:rsidRDefault="1BC382EF" w14:paraId="59491FDD" w14:textId="7F187C8F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</w:pPr>
      <w:r w:rsidRPr="75A30767" w:rsidR="1BC382E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Figure S</w:t>
      </w:r>
      <w:r w:rsidRPr="75A30767" w:rsidR="4777A4B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>10</w:t>
      </w:r>
      <w:r w:rsidRPr="75A30767" w:rsidR="1BC382E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: </w:t>
      </w:r>
      <w:r w:rsidRPr="75A30767" w:rsidR="1BC382E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 xml:space="preserve">Expression profiles of secondary metabolite and cofactor biosynthetic genes in </w:t>
      </w:r>
      <w:r w:rsidRPr="75A30767" w:rsidR="1BC382EF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n-GB"/>
        </w:rPr>
        <w:t>Kiloniellales</w:t>
      </w:r>
      <w:r w:rsidRPr="75A30767" w:rsidR="1BC382E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 xml:space="preserve"> MAGs.</w:t>
      </w:r>
      <w:r w:rsidRPr="75A30767" w:rsidR="1BC382E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Heatmap illustrating the relative expression levels (%) of genes associated with various metabolic pathways across two MAGs, Bin9 and Bin16 from PL consortium. </w:t>
      </w:r>
      <w:r w:rsidRPr="75A30767" w:rsidR="092EEF84">
        <w:rPr>
          <w:rFonts w:ascii="Aptos" w:hAnsi="Aptos" w:eastAsia="Aptos" w:cs="Aptos"/>
          <w:noProof w:val="0"/>
          <w:sz w:val="24"/>
          <w:szCs w:val="24"/>
          <w:lang w:val="en-GB"/>
        </w:rPr>
        <w:t>PL consortium</w:t>
      </w:r>
      <w:r w:rsidRPr="75A30767" w:rsidR="1BC382E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was enriched </w:t>
      </w:r>
      <w:r w:rsidRPr="75A30767" w:rsidR="6726ED2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8.5 pH, 0.24M alkalinity, and 30</w:t>
      </w:r>
      <w:r w:rsidRPr="75A30767" w:rsidR="6726ED23">
        <w:rPr>
          <w:rFonts w:ascii="Aptos" w:hAnsi="Aptos" w:eastAsia="Aptos" w:cs="Aptos"/>
          <w:noProof w:val="0"/>
          <w:sz w:val="24"/>
          <w:szCs w:val="24"/>
          <w:lang w:val="en-GB"/>
        </w:rPr>
        <w:t>°</w:t>
      </w:r>
      <w:r w:rsidRPr="75A30767" w:rsidR="6726ED23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  <w:t>C.</w:t>
      </w:r>
      <w:r w:rsidRPr="75A30767" w:rsidR="6726ED23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</w:t>
      </w:r>
    </w:p>
    <w:p w:rsidR="25EC0275" w:rsidP="25EC0275" w:rsidRDefault="25EC0275" w14:paraId="11D9C70F" w14:textId="4A9B1C3B">
      <w:pPr>
        <w:pStyle w:val="Normal"/>
        <w:spacing w:before="0" w:beforeAutospacing="off" w:after="0" w:afterAutospacing="off" w:line="240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GB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a3c4ef42635b4a99"/>
      <w:footerReference w:type="default" r:id="Rb074175ee1d449f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5EC0275" w:rsidTr="25EC0275" w14:paraId="5CF9C83C">
      <w:trPr>
        <w:trHeight w:val="300"/>
      </w:trPr>
      <w:tc>
        <w:tcPr>
          <w:tcW w:w="3005" w:type="dxa"/>
          <w:tcMar/>
        </w:tcPr>
        <w:p w:rsidR="25EC0275" w:rsidP="25EC0275" w:rsidRDefault="25EC0275" w14:paraId="02D04A2A" w14:textId="30CAFEDE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5EC0275" w:rsidP="25EC0275" w:rsidRDefault="25EC0275" w14:paraId="52A3E1A0" w14:textId="61470D3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5EC0275" w:rsidP="25EC0275" w:rsidRDefault="25EC0275" w14:paraId="075ED3C4" w14:textId="5B22A6F9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25EC0275" w:rsidP="25EC0275" w:rsidRDefault="25EC0275" w14:paraId="5560D991" w14:textId="4B55E9E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5EC0275" w:rsidTr="25EC0275" w14:paraId="0955ED8F">
      <w:trPr>
        <w:trHeight w:val="300"/>
      </w:trPr>
      <w:tc>
        <w:tcPr>
          <w:tcW w:w="3005" w:type="dxa"/>
          <w:tcMar/>
        </w:tcPr>
        <w:p w:rsidR="25EC0275" w:rsidP="25EC0275" w:rsidRDefault="25EC0275" w14:paraId="34A03FE5" w14:textId="5C9C9BC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5EC0275" w:rsidP="25EC0275" w:rsidRDefault="25EC0275" w14:paraId="0807CD08" w14:textId="79595D4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5EC0275" w:rsidP="25EC0275" w:rsidRDefault="25EC0275" w14:paraId="614045F7" w14:textId="34EF806D">
          <w:pPr>
            <w:pStyle w:val="Header"/>
            <w:bidi w:val="0"/>
            <w:ind w:right="-115"/>
            <w:jc w:val="right"/>
          </w:pPr>
        </w:p>
      </w:tc>
    </w:tr>
  </w:tbl>
  <w:p w:rsidR="25EC0275" w:rsidP="25EC0275" w:rsidRDefault="25EC0275" w14:paraId="053ABFC1" w14:textId="083DBABA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0U8Y3YtG1aIT0w" int2:id="QBniCn2y">
      <int2:state int2:type="spell" int2:value="Rejected"/>
    </int2:textHash>
    <int2:textHash int2:hashCode="FeuTxoXufz0czd" int2:id="B8whSctG">
      <int2:state int2:type="spell" int2:value="Rejected"/>
    </int2:textHash>
    <int2:textHash int2:hashCode="rjxEJWzCGNdcTq" int2:id="ffvHMVgz">
      <int2:state int2:type="spell" int2:value="Rejected"/>
    </int2:textHash>
    <int2:bookmark int2:bookmarkName="_Int_qivRAbQH" int2:invalidationBookmarkName="" int2:hashCode="L5OzWRpjOsUmXr" int2:id="1nfWfz6E">
      <int2:state int2:type="spell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C971D2"/>
    <w:rsid w:val="005BFB72"/>
    <w:rsid w:val="0078B019"/>
    <w:rsid w:val="00D728B0"/>
    <w:rsid w:val="00E024BF"/>
    <w:rsid w:val="00E024BF"/>
    <w:rsid w:val="00E838BC"/>
    <w:rsid w:val="0184ABAF"/>
    <w:rsid w:val="0184ABAF"/>
    <w:rsid w:val="01913AAF"/>
    <w:rsid w:val="01949111"/>
    <w:rsid w:val="03402DC9"/>
    <w:rsid w:val="0435A775"/>
    <w:rsid w:val="044BAEDB"/>
    <w:rsid w:val="044C4580"/>
    <w:rsid w:val="044C4580"/>
    <w:rsid w:val="0581A0CF"/>
    <w:rsid w:val="06045424"/>
    <w:rsid w:val="076435FC"/>
    <w:rsid w:val="0830A830"/>
    <w:rsid w:val="086E33DF"/>
    <w:rsid w:val="08E106E0"/>
    <w:rsid w:val="09297134"/>
    <w:rsid w:val="092EEF84"/>
    <w:rsid w:val="098D2F21"/>
    <w:rsid w:val="0B12F26F"/>
    <w:rsid w:val="0B7200E6"/>
    <w:rsid w:val="0C41D96D"/>
    <w:rsid w:val="0C65726F"/>
    <w:rsid w:val="0E3218D0"/>
    <w:rsid w:val="0EA2F1B8"/>
    <w:rsid w:val="0EBDA6D4"/>
    <w:rsid w:val="0EBF10BB"/>
    <w:rsid w:val="0EE8B704"/>
    <w:rsid w:val="0EFF5DAB"/>
    <w:rsid w:val="0FB449AC"/>
    <w:rsid w:val="0FF24D7B"/>
    <w:rsid w:val="1054736F"/>
    <w:rsid w:val="1054736F"/>
    <w:rsid w:val="1077EBD4"/>
    <w:rsid w:val="10F74BD7"/>
    <w:rsid w:val="115DFB49"/>
    <w:rsid w:val="1346231E"/>
    <w:rsid w:val="15C4228F"/>
    <w:rsid w:val="15EA9A65"/>
    <w:rsid w:val="164705F7"/>
    <w:rsid w:val="170A2AB9"/>
    <w:rsid w:val="174FFC07"/>
    <w:rsid w:val="17696286"/>
    <w:rsid w:val="17BF22A8"/>
    <w:rsid w:val="17C2F7A5"/>
    <w:rsid w:val="17C2F7A5"/>
    <w:rsid w:val="18B7B875"/>
    <w:rsid w:val="1968FF4A"/>
    <w:rsid w:val="1AD1B51B"/>
    <w:rsid w:val="1AF1179D"/>
    <w:rsid w:val="1B60F305"/>
    <w:rsid w:val="1B8C0499"/>
    <w:rsid w:val="1BC382EF"/>
    <w:rsid w:val="1BFF7224"/>
    <w:rsid w:val="1C697650"/>
    <w:rsid w:val="1C9F21E6"/>
    <w:rsid w:val="1D21CE1E"/>
    <w:rsid w:val="1EDC43CF"/>
    <w:rsid w:val="20376DE2"/>
    <w:rsid w:val="236DB40B"/>
    <w:rsid w:val="257BF793"/>
    <w:rsid w:val="25EC0275"/>
    <w:rsid w:val="2685DDA9"/>
    <w:rsid w:val="2687488A"/>
    <w:rsid w:val="27506ECA"/>
    <w:rsid w:val="27E62FD9"/>
    <w:rsid w:val="27E62FD9"/>
    <w:rsid w:val="29CC5FC1"/>
    <w:rsid w:val="29D5537E"/>
    <w:rsid w:val="29D5537E"/>
    <w:rsid w:val="2A18DB1F"/>
    <w:rsid w:val="2AD509FC"/>
    <w:rsid w:val="2B327588"/>
    <w:rsid w:val="2C39CB5C"/>
    <w:rsid w:val="2CE0683F"/>
    <w:rsid w:val="2D3BF7D2"/>
    <w:rsid w:val="2D454FCE"/>
    <w:rsid w:val="2E56B522"/>
    <w:rsid w:val="2E9A601E"/>
    <w:rsid w:val="3006A6FC"/>
    <w:rsid w:val="31F71ADB"/>
    <w:rsid w:val="32AC02AB"/>
    <w:rsid w:val="33A444AB"/>
    <w:rsid w:val="340FFA53"/>
    <w:rsid w:val="35CA7E91"/>
    <w:rsid w:val="365F4609"/>
    <w:rsid w:val="36E840DE"/>
    <w:rsid w:val="374C366F"/>
    <w:rsid w:val="38538A9E"/>
    <w:rsid w:val="39362826"/>
    <w:rsid w:val="3A773DC1"/>
    <w:rsid w:val="3C76A8DA"/>
    <w:rsid w:val="3D65B800"/>
    <w:rsid w:val="3D89FCE2"/>
    <w:rsid w:val="3EC19BFC"/>
    <w:rsid w:val="3EC971D2"/>
    <w:rsid w:val="40080267"/>
    <w:rsid w:val="40774C81"/>
    <w:rsid w:val="40774C81"/>
    <w:rsid w:val="409A1CC1"/>
    <w:rsid w:val="4177DF53"/>
    <w:rsid w:val="42BA963A"/>
    <w:rsid w:val="440CD85D"/>
    <w:rsid w:val="444172C4"/>
    <w:rsid w:val="4489D3D0"/>
    <w:rsid w:val="47411778"/>
    <w:rsid w:val="475B9CCE"/>
    <w:rsid w:val="4777A4B1"/>
    <w:rsid w:val="4798F2FA"/>
    <w:rsid w:val="48195CC1"/>
    <w:rsid w:val="48D80492"/>
    <w:rsid w:val="48EB63A1"/>
    <w:rsid w:val="4A0C2EC3"/>
    <w:rsid w:val="4CF82AE1"/>
    <w:rsid w:val="4D31F92D"/>
    <w:rsid w:val="4D42C4A7"/>
    <w:rsid w:val="4E9730DF"/>
    <w:rsid w:val="4E9AE634"/>
    <w:rsid w:val="4F0C745E"/>
    <w:rsid w:val="4FFC5807"/>
    <w:rsid w:val="4FFC5807"/>
    <w:rsid w:val="5057DDC7"/>
    <w:rsid w:val="5057DDC7"/>
    <w:rsid w:val="5196F2C4"/>
    <w:rsid w:val="51EF4EB9"/>
    <w:rsid w:val="521813FE"/>
    <w:rsid w:val="53408529"/>
    <w:rsid w:val="5452FAE7"/>
    <w:rsid w:val="5518B161"/>
    <w:rsid w:val="551B4053"/>
    <w:rsid w:val="56E9D8B2"/>
    <w:rsid w:val="5799C4D0"/>
    <w:rsid w:val="58E37E5F"/>
    <w:rsid w:val="595664FC"/>
    <w:rsid w:val="5AC51975"/>
    <w:rsid w:val="5BA2A8FB"/>
    <w:rsid w:val="5C9B6112"/>
    <w:rsid w:val="5DAA2EA9"/>
    <w:rsid w:val="5DAA2EA9"/>
    <w:rsid w:val="5E2D58DA"/>
    <w:rsid w:val="5EACFE6C"/>
    <w:rsid w:val="5EDCB34D"/>
    <w:rsid w:val="60AF276D"/>
    <w:rsid w:val="61AA1A7D"/>
    <w:rsid w:val="61FB270C"/>
    <w:rsid w:val="6209C7C8"/>
    <w:rsid w:val="631E93D1"/>
    <w:rsid w:val="63C4F0E5"/>
    <w:rsid w:val="63F05AF6"/>
    <w:rsid w:val="6498A986"/>
    <w:rsid w:val="64BAA81D"/>
    <w:rsid w:val="64EAD95D"/>
    <w:rsid w:val="65947235"/>
    <w:rsid w:val="66A0BFC4"/>
    <w:rsid w:val="66B25261"/>
    <w:rsid w:val="6726ED23"/>
    <w:rsid w:val="683FBCC7"/>
    <w:rsid w:val="6B4266A7"/>
    <w:rsid w:val="6B82D85E"/>
    <w:rsid w:val="6B9DE5E5"/>
    <w:rsid w:val="6BB8B5B8"/>
    <w:rsid w:val="6BC6C9E5"/>
    <w:rsid w:val="6D9C8C5D"/>
    <w:rsid w:val="6E7B4AFC"/>
    <w:rsid w:val="6E7BA8BB"/>
    <w:rsid w:val="6E7BA8BB"/>
    <w:rsid w:val="6EA05F67"/>
    <w:rsid w:val="6F7E55B2"/>
    <w:rsid w:val="7047FC18"/>
    <w:rsid w:val="71A029F7"/>
    <w:rsid w:val="71E0BCA0"/>
    <w:rsid w:val="72279CB2"/>
    <w:rsid w:val="7460E903"/>
    <w:rsid w:val="74AE11A0"/>
    <w:rsid w:val="74F6C815"/>
    <w:rsid w:val="75A30767"/>
    <w:rsid w:val="75CFE136"/>
    <w:rsid w:val="7690FF12"/>
    <w:rsid w:val="7767B975"/>
    <w:rsid w:val="788BDF41"/>
    <w:rsid w:val="79763155"/>
    <w:rsid w:val="7A799451"/>
    <w:rsid w:val="7B53C73C"/>
    <w:rsid w:val="7CBA4CB4"/>
    <w:rsid w:val="7CD4577C"/>
    <w:rsid w:val="7D6769B9"/>
    <w:rsid w:val="7F02C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971D2"/>
  <w15:chartTrackingRefBased/>
  <w15:docId w15:val="{B87CBA6C-CC57-4C70-8197-59F8E3E223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4">
    <w:uiPriority w:val="9"/>
    <w:name w:val="heading 4"/>
    <w:basedOn w:val="Normal"/>
    <w:next w:val="Normal"/>
    <w:unhideWhenUsed/>
    <w:qFormat/>
    <w:rsid w:val="25EC0275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character" w:styleId="Hyperlink">
    <w:uiPriority w:val="99"/>
    <w:name w:val="Hyperlink"/>
    <w:basedOn w:val="DefaultParagraphFont"/>
    <w:unhideWhenUsed/>
    <w:rsid w:val="25EC0275"/>
    <w:rPr>
      <w:color w:val="467886"/>
      <w:u w:val="single"/>
    </w:rPr>
  </w:style>
  <w:style w:type="paragraph" w:styleId="Header">
    <w:uiPriority w:val="99"/>
    <w:name w:val="header"/>
    <w:basedOn w:val="Normal"/>
    <w:unhideWhenUsed/>
    <w:rsid w:val="25EC027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5EC0275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mailto:ruchita.solanki@ucalgary.ca" TargetMode="External" Id="R2510514e75a04575" /><Relationship Type="http://schemas.openxmlformats.org/officeDocument/2006/relationships/image" Target="/media/image.png" Id="rId1510418957" /><Relationship Type="http://schemas.openxmlformats.org/officeDocument/2006/relationships/image" Target="/media/image2.png" Id="rId431144843" /><Relationship Type="http://schemas.openxmlformats.org/officeDocument/2006/relationships/image" Target="/media/image3.png" Id="rId1182592423" /><Relationship Type="http://schemas.openxmlformats.org/officeDocument/2006/relationships/image" Target="/media/image4.png" Id="rId1877931569" /><Relationship Type="http://schemas.openxmlformats.org/officeDocument/2006/relationships/image" Target="/media/image5.png" Id="rId591833731" /><Relationship Type="http://schemas.openxmlformats.org/officeDocument/2006/relationships/image" Target="/media/image8.png" Id="rId149741456" /><Relationship Type="http://schemas.openxmlformats.org/officeDocument/2006/relationships/header" Target="/word/header.xml" Id="Ra3c4ef42635b4a99" /><Relationship Type="http://schemas.openxmlformats.org/officeDocument/2006/relationships/footer" Target="/word/footer.xml" Id="Rb074175ee1d449fc" /><Relationship Type="http://schemas.microsoft.com/office/2020/10/relationships/intelligence" Target="/word/intelligence2.xml" Id="Rb0e2856f693c44b4" /><Relationship Type="http://schemas.openxmlformats.org/officeDocument/2006/relationships/image" Target="/media/imageb.png" Id="rId1954806251" /><Relationship Type="http://schemas.openxmlformats.org/officeDocument/2006/relationships/image" Target="/media/imagec.png" Id="rId1526000954" /><Relationship Type="http://schemas.openxmlformats.org/officeDocument/2006/relationships/image" Target="/media/imaged.png" Id="rId1020704765" /><Relationship Type="http://schemas.openxmlformats.org/officeDocument/2006/relationships/image" Target="/media/imagee.png" Id="rId137058879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Ruchita Solanki</dc:creator>
  <keywords/>
  <dc:description/>
  <lastModifiedBy>Ruchita Solanki</lastModifiedBy>
  <revision>7</revision>
  <dcterms:created xsi:type="dcterms:W3CDTF">2026-01-15T17:48:08.8442702Z</dcterms:created>
  <dcterms:modified xsi:type="dcterms:W3CDTF">2026-01-20T02:42:04.3100628Z</dcterms:modified>
</coreProperties>
</file>