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B700" w14:textId="67E12485" w:rsidR="009955AA" w:rsidRPr="008215F6" w:rsidRDefault="009955AA" w:rsidP="00466613">
      <w:pPr>
        <w:pStyle w:val="Heading4"/>
        <w:spacing w:line="48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kern w:val="0"/>
          <w14:ligatures w14:val="none"/>
        </w:rPr>
      </w:pP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Supplementary Table </w:t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begin"/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instrText xml:space="preserve"> SEQ Table \* ARABIC </w:instrText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separate"/>
      </w:r>
      <w:r w:rsidR="00270183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</w:rPr>
        <w:t>1</w:t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end"/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. </w:t>
      </w:r>
      <w:r w:rsidRPr="008215F6">
        <w:rPr>
          <w:rFonts w:ascii="Times New Roman" w:eastAsia="Times New Roman" w:hAnsi="Times New Roman" w:cs="Times New Roman"/>
          <w:i w:val="0"/>
          <w:iCs w:val="0"/>
          <w:color w:val="000000" w:themeColor="text1"/>
          <w:kern w:val="0"/>
          <w14:ligatures w14:val="none"/>
        </w:rPr>
        <w:t>Breakdown of exclusion criteria applied to the study population.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3421"/>
      </w:tblGrid>
      <w:tr w:rsidR="005367EF" w:rsidRPr="005367EF" w14:paraId="19D8905E" w14:textId="77777777" w:rsidTr="005367EF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CC5D0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Exclusion Criterion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1D79DB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Number of Patients Excluded</w:t>
            </w:r>
          </w:p>
        </w:tc>
      </w:tr>
      <w:tr w:rsidR="005367EF" w:rsidRPr="005367EF" w14:paraId="4EFF0233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71667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High inflammation (CRP &gt; 10 mg/L)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3465D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369</w:t>
            </w:r>
          </w:p>
        </w:tc>
      </w:tr>
      <w:tr w:rsidR="005367EF" w:rsidRPr="005367EF" w14:paraId="6DF2F126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44302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End-stage renal disease (eGFR &lt; 15 mL/min/1.73 m²)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B6D75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35</w:t>
            </w:r>
          </w:p>
        </w:tc>
      </w:tr>
      <w:tr w:rsidR="005367EF" w:rsidRPr="005367EF" w14:paraId="594648BE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A423B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Diagnosis of acute cardiovascular event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6B9BD7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8</w:t>
            </w:r>
          </w:p>
        </w:tc>
      </w:tr>
      <w:tr w:rsidR="005367EF" w:rsidRPr="005367EF" w14:paraId="2676FED6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17F5B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Diagnosis of active infection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FBA32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5367EF" w:rsidRPr="005367EF" w14:paraId="7D02ADFC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B1615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Diagnosis of severe organ failure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2B0244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5367EF" w:rsidRPr="005367EF" w14:paraId="12A13D3B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D9A118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Diagnosis of pregnancy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5FBFF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5367EF" w:rsidRPr="005367EF" w14:paraId="538762E6" w14:textId="77777777" w:rsidTr="005367EF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6C0DF" w14:textId="77777777" w:rsidR="009955AA" w:rsidRPr="005367EF" w:rsidRDefault="009955AA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Total Exclusions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20CF1" w14:textId="50C182F2" w:rsidR="009955AA" w:rsidRPr="005367EF" w:rsidRDefault="00273126" w:rsidP="00466613">
            <w:pPr>
              <w:pStyle w:val="Caption"/>
              <w:spacing w:line="48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395</w:t>
            </w:r>
            <w:r w:rsidR="009955AA" w:rsidRPr="005367E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2BC4BB1E" w14:textId="0234BC1D" w:rsidR="009955AA" w:rsidRPr="008215F6" w:rsidRDefault="009955AA" w:rsidP="00466613">
      <w:pPr>
        <w:pStyle w:val="NormalWeb"/>
        <w:spacing w:line="480" w:lineRule="auto"/>
      </w:pPr>
      <w:r w:rsidRPr="008215F6">
        <w:rPr>
          <w:b/>
          <w:bCs/>
        </w:rPr>
        <w:t>Note:</w:t>
      </w:r>
      <w:r w:rsidRPr="008215F6">
        <w:rPr>
          <w:i/>
          <w:iCs/>
        </w:rPr>
        <w:t xml:space="preserve"> </w:t>
      </w:r>
      <w:r w:rsidRPr="008215F6">
        <w:t>*Patients could meet more than one exclusion criterion simultaneously.</w:t>
      </w:r>
    </w:p>
    <w:p w14:paraId="550A53AD" w14:textId="012CD3D3" w:rsidR="009955AA" w:rsidRPr="008215F6" w:rsidRDefault="009955AA" w:rsidP="00466613">
      <w:pPr>
        <w:pStyle w:val="NormalWeb"/>
        <w:spacing w:line="480" w:lineRule="auto"/>
      </w:pPr>
      <w:r w:rsidRPr="008215F6">
        <w:rPr>
          <w:b/>
          <w:bCs/>
        </w:rPr>
        <w:t>Abbreviations:</w:t>
      </w:r>
      <w:r w:rsidRPr="008215F6">
        <w:t xml:space="preserve"> CRP, C-reactive protein; eGFR, estimated glomerular filtration rate.</w:t>
      </w:r>
    </w:p>
    <w:p w14:paraId="0BA4DFA7" w14:textId="77777777" w:rsidR="009955AA" w:rsidRPr="008215F6" w:rsidRDefault="009955AA" w:rsidP="00466613">
      <w:pPr>
        <w:spacing w:line="480" w:lineRule="auto"/>
        <w:rPr>
          <w:rFonts w:eastAsiaTheme="majorEastAsia"/>
          <w:b/>
          <w:bCs/>
          <w:color w:val="000000" w:themeColor="text1"/>
        </w:rPr>
      </w:pPr>
      <w:r w:rsidRPr="008215F6">
        <w:rPr>
          <w:b/>
          <w:bCs/>
          <w:i/>
          <w:iCs/>
          <w:color w:val="000000" w:themeColor="text1"/>
        </w:rPr>
        <w:br w:type="page"/>
      </w:r>
    </w:p>
    <w:p w14:paraId="578E4616" w14:textId="01851C3A" w:rsidR="00B02500" w:rsidRPr="008215F6" w:rsidRDefault="00B02500" w:rsidP="00466613">
      <w:pPr>
        <w:pStyle w:val="Caption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 xml:space="preserve">Supplementary Table </w:t>
      </w: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ldChar w:fldCharType="begin"/>
      </w: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instrText xml:space="preserve"> SEQ Table \* ARABIC </w:instrText>
      </w: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ldChar w:fldCharType="separate"/>
      </w:r>
      <w:r w:rsidR="00270183">
        <w:rPr>
          <w:rFonts w:ascii="Times New Roman" w:hAnsi="Times New Roman" w:cs="Times New Roman"/>
          <w:b/>
          <w:bCs/>
          <w:i w:val="0"/>
          <w:iCs w:val="0"/>
          <w:noProof/>
          <w:sz w:val="24"/>
          <w:szCs w:val="24"/>
        </w:rPr>
        <w:t>2</w:t>
      </w: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ldChar w:fldCharType="end"/>
      </w: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  <w:r w:rsidR="00286743" w:rsidRPr="00286743">
        <w:rPr>
          <w:rFonts w:ascii="Times New Roman" w:hAnsi="Times New Roman" w:cs="Times New Roman"/>
          <w:i w:val="0"/>
          <w:iCs w:val="0"/>
          <w:sz w:val="24"/>
          <w:szCs w:val="24"/>
        </w:rPr>
        <w:t>Methodological discordance: Friedewald vs. Sampson-NIH Equation.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02500" w:rsidRPr="008215F6" w14:paraId="1A32F191" w14:textId="77777777" w:rsidTr="00F20E27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39436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b/>
                <w:bCs/>
                <w:color w:val="1F1F1F"/>
                <w:bdr w:val="none" w:sz="0" w:space="0" w:color="auto" w:frame="1"/>
              </w:rPr>
              <w:t>Metric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98367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b/>
                <w:bCs/>
                <w:color w:val="1F1F1F"/>
                <w:bdr w:val="none" w:sz="0" w:space="0" w:color="auto" w:frame="1"/>
              </w:rPr>
              <w:t>Value</w:t>
            </w:r>
          </w:p>
        </w:tc>
      </w:tr>
      <w:tr w:rsidR="00B02500" w:rsidRPr="008215F6" w14:paraId="00A18BBC" w14:textId="77777777" w:rsidTr="00F20E27"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2F6A17C7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Mean Friedewald LDL-C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141EE771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126.5 mg/dL</w:t>
            </w:r>
          </w:p>
        </w:tc>
      </w:tr>
      <w:tr w:rsidR="00B02500" w:rsidRPr="008215F6" w14:paraId="3B03FDD6" w14:textId="77777777" w:rsidTr="00F20E27">
        <w:tc>
          <w:tcPr>
            <w:tcW w:w="4675" w:type="dxa"/>
            <w:vAlign w:val="center"/>
          </w:tcPr>
          <w:p w14:paraId="507A48D1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Mean Sampson-NIH LDL-C</w:t>
            </w:r>
          </w:p>
        </w:tc>
        <w:tc>
          <w:tcPr>
            <w:tcW w:w="4675" w:type="dxa"/>
            <w:vAlign w:val="center"/>
          </w:tcPr>
          <w:p w14:paraId="7E48697E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72.5 mg/dL</w:t>
            </w:r>
          </w:p>
        </w:tc>
      </w:tr>
      <w:tr w:rsidR="00B02500" w:rsidRPr="008215F6" w14:paraId="76AADFA2" w14:textId="77777777" w:rsidTr="00F20E27">
        <w:tc>
          <w:tcPr>
            <w:tcW w:w="4675" w:type="dxa"/>
            <w:vAlign w:val="center"/>
          </w:tcPr>
          <w:p w14:paraId="232DC659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Mean Difference (Bias)</w:t>
            </w:r>
          </w:p>
        </w:tc>
        <w:tc>
          <w:tcPr>
            <w:tcW w:w="4675" w:type="dxa"/>
            <w:vAlign w:val="center"/>
          </w:tcPr>
          <w:p w14:paraId="2E1F0260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 xml:space="preserve">-54.0 mg/dL </w:t>
            </w:r>
          </w:p>
        </w:tc>
      </w:tr>
      <w:tr w:rsidR="00B02500" w:rsidRPr="008215F6" w14:paraId="2D4786B9" w14:textId="77777777" w:rsidTr="00F20E27">
        <w:tc>
          <w:tcPr>
            <w:tcW w:w="4675" w:type="dxa"/>
            <w:vAlign w:val="center"/>
          </w:tcPr>
          <w:p w14:paraId="145243FD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P-value (Paired t-test)</w:t>
            </w:r>
          </w:p>
        </w:tc>
        <w:tc>
          <w:tcPr>
            <w:tcW w:w="4675" w:type="dxa"/>
            <w:vAlign w:val="center"/>
          </w:tcPr>
          <w:p w14:paraId="3306F73C" w14:textId="77777777" w:rsidR="00B02500" w:rsidRPr="008215F6" w:rsidRDefault="00B02500" w:rsidP="00466613">
            <w:pPr>
              <w:spacing w:line="480" w:lineRule="auto"/>
              <w:rPr>
                <w:rStyle w:val="Strong"/>
              </w:rPr>
            </w:pPr>
            <w:r w:rsidRPr="00A36A35">
              <w:rPr>
                <w:color w:val="1F1F1F"/>
                <w:bdr w:val="none" w:sz="0" w:space="0" w:color="auto" w:frame="1"/>
              </w:rPr>
              <w:t>&lt; 0.001</w:t>
            </w:r>
          </w:p>
        </w:tc>
      </w:tr>
    </w:tbl>
    <w:p w14:paraId="2C083D73" w14:textId="77777777" w:rsidR="00B02500" w:rsidRPr="008215F6" w:rsidRDefault="00B02500" w:rsidP="00466613">
      <w:pPr>
        <w:pStyle w:val="NormalWeb"/>
        <w:spacing w:line="480" w:lineRule="auto"/>
      </w:pPr>
      <w:r w:rsidRPr="008215F6">
        <w:rPr>
          <w:b/>
          <w:bCs/>
        </w:rPr>
        <w:t xml:space="preserve">Note: </w:t>
      </w:r>
      <w:r w:rsidRPr="008215F6">
        <w:t>Analysis performed in patients with triglycerides 150–400 mg/dL.</w:t>
      </w:r>
    </w:p>
    <w:p w14:paraId="1715A08C" w14:textId="77777777" w:rsidR="00B02500" w:rsidRDefault="00B02500" w:rsidP="00466613">
      <w:pPr>
        <w:spacing w:line="480" w:lineRule="auto"/>
        <w:rPr>
          <w:b/>
          <w:bCs/>
          <w:color w:val="000000" w:themeColor="text1"/>
        </w:rPr>
      </w:pPr>
      <w:r>
        <w:rPr>
          <w:b/>
          <w:bCs/>
          <w:i/>
          <w:iCs/>
          <w:color w:val="000000" w:themeColor="text1"/>
        </w:rPr>
        <w:br w:type="page"/>
      </w:r>
    </w:p>
    <w:p w14:paraId="43CB5A4A" w14:textId="5C073E20" w:rsidR="009955AA" w:rsidRPr="008215F6" w:rsidRDefault="009955AA" w:rsidP="00466613">
      <w:pPr>
        <w:pStyle w:val="Caption"/>
        <w:spacing w:line="480" w:lineRule="auto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Suppplementary Table </w:t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270183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8215F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8215F6">
        <w:rPr>
          <w:rFonts w:ascii="Times New Roman" w:hAnsi="Times New Roman" w:cs="Times New Roman"/>
          <w:color w:val="000000" w:themeColor="text1"/>
        </w:rPr>
        <w:t xml:space="preserve"> </w:t>
      </w:r>
      <w:r w:rsidRPr="008215F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Comparison of baseline characteristics between patients with missing vs. observed CRP data.</w:t>
      </w:r>
    </w:p>
    <w:tbl>
      <w:tblPr>
        <w:tblW w:w="949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2440"/>
        <w:gridCol w:w="2321"/>
        <w:gridCol w:w="1240"/>
      </w:tblGrid>
      <w:tr w:rsidR="009955AA" w:rsidRPr="008215F6" w14:paraId="566A4AEF" w14:textId="77777777" w:rsidTr="009955AA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DACC4" w14:textId="77777777" w:rsidR="009955AA" w:rsidRPr="008215F6" w:rsidRDefault="009955AA" w:rsidP="00466613">
            <w:pPr>
              <w:spacing w:line="480" w:lineRule="auto"/>
            </w:pPr>
            <w:r w:rsidRPr="008215F6">
              <w:rPr>
                <w:b/>
                <w:bCs/>
              </w:rPr>
              <w:t>Characteristic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9A29B" w14:textId="77777777" w:rsidR="009955AA" w:rsidRPr="008215F6" w:rsidRDefault="009955AA" w:rsidP="00466613">
            <w:pPr>
              <w:spacing w:line="480" w:lineRule="auto"/>
            </w:pPr>
            <w:r w:rsidRPr="008215F6">
              <w:rPr>
                <w:b/>
                <w:bCs/>
              </w:rPr>
              <w:t>CRP Available (n=2,035)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0187C" w14:textId="77777777" w:rsidR="009955AA" w:rsidRPr="008215F6" w:rsidRDefault="009955AA" w:rsidP="00466613">
            <w:pPr>
              <w:spacing w:line="480" w:lineRule="auto"/>
            </w:pPr>
            <w:r w:rsidRPr="008215F6">
              <w:rPr>
                <w:b/>
                <w:bCs/>
              </w:rPr>
              <w:t>CRP Missing (n=1,307)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81068" w14:textId="77777777" w:rsidR="009955AA" w:rsidRPr="008215F6" w:rsidRDefault="009955AA" w:rsidP="00466613">
            <w:pPr>
              <w:spacing w:line="480" w:lineRule="auto"/>
            </w:pPr>
            <w:r w:rsidRPr="008215F6">
              <w:rPr>
                <w:b/>
                <w:bCs/>
              </w:rPr>
              <w:t>P-value</w:t>
            </w:r>
          </w:p>
        </w:tc>
      </w:tr>
      <w:tr w:rsidR="009955AA" w:rsidRPr="008215F6" w14:paraId="35D51614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994E8" w14:textId="77777777" w:rsidR="009955AA" w:rsidRPr="00466613" w:rsidRDefault="009955AA" w:rsidP="00466613">
            <w:pPr>
              <w:spacing w:line="480" w:lineRule="auto"/>
            </w:pPr>
            <w:r w:rsidRPr="00466613">
              <w:t>Age, years (Median [IQR])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625934" w14:textId="58E0F30C" w:rsidR="009955AA" w:rsidRPr="008215F6" w:rsidRDefault="00A36A35" w:rsidP="00466613">
            <w:pPr>
              <w:spacing w:line="480" w:lineRule="auto"/>
            </w:pPr>
            <w:r w:rsidRPr="008215F6">
              <w:t>58.0 [45.0–68.0]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50052" w14:textId="48D8E5DB" w:rsidR="009955AA" w:rsidRPr="008215F6" w:rsidRDefault="00A36A35" w:rsidP="00466613">
            <w:pPr>
              <w:spacing w:line="480" w:lineRule="auto"/>
            </w:pPr>
            <w:r w:rsidRPr="008215F6">
              <w:t>60.0 [49.0–70.0]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EA413B" w14:textId="77777777" w:rsidR="009955AA" w:rsidRPr="008215F6" w:rsidRDefault="009955AA" w:rsidP="00466613">
            <w:pPr>
              <w:spacing w:line="480" w:lineRule="auto"/>
            </w:pPr>
            <w:r w:rsidRPr="008215F6">
              <w:t>&lt; 0.001</w:t>
            </w:r>
          </w:p>
        </w:tc>
      </w:tr>
      <w:tr w:rsidR="009955AA" w:rsidRPr="008215F6" w14:paraId="2FE8BF01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CC619" w14:textId="77777777" w:rsidR="009955AA" w:rsidRPr="00466613" w:rsidRDefault="009955AA" w:rsidP="00466613">
            <w:pPr>
              <w:spacing w:line="480" w:lineRule="auto"/>
            </w:pPr>
            <w:r w:rsidRPr="00466613">
              <w:t>eGFR, mL/min/1.73 m² (Median [IQR])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8814D" w14:textId="77777777" w:rsidR="009955AA" w:rsidRPr="008215F6" w:rsidRDefault="009955AA" w:rsidP="00466613">
            <w:pPr>
              <w:spacing w:line="480" w:lineRule="auto"/>
            </w:pPr>
            <w:r w:rsidRPr="008215F6">
              <w:t>90.0 [76.0–102.0]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5471B" w14:textId="77777777" w:rsidR="009955AA" w:rsidRPr="008215F6" w:rsidRDefault="009955AA" w:rsidP="00466613">
            <w:pPr>
              <w:spacing w:line="480" w:lineRule="auto"/>
            </w:pPr>
            <w:r w:rsidRPr="008215F6">
              <w:t>84.0 [65.0–98.0]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95B25F" w14:textId="77777777" w:rsidR="009955AA" w:rsidRPr="008215F6" w:rsidRDefault="009955AA" w:rsidP="00466613">
            <w:pPr>
              <w:spacing w:line="480" w:lineRule="auto"/>
            </w:pPr>
            <w:r w:rsidRPr="008215F6">
              <w:t>&lt; 0.001</w:t>
            </w:r>
          </w:p>
        </w:tc>
      </w:tr>
      <w:tr w:rsidR="009955AA" w:rsidRPr="008215F6" w14:paraId="25136C03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450B3" w14:textId="77777777" w:rsidR="009955AA" w:rsidRPr="00466613" w:rsidRDefault="009955AA" w:rsidP="00466613">
            <w:pPr>
              <w:spacing w:line="480" w:lineRule="auto"/>
            </w:pPr>
            <w:r w:rsidRPr="00466613">
              <w:t>HbA1c, % (Median [IQR])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89381" w14:textId="4D6E2D20" w:rsidR="009955AA" w:rsidRPr="008215F6" w:rsidRDefault="00A36A35" w:rsidP="00466613">
            <w:pPr>
              <w:spacing w:line="480" w:lineRule="auto"/>
            </w:pPr>
            <w:r w:rsidRPr="008215F6">
              <w:t>5.7 [5.3–6.3]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FA9B6" w14:textId="16C60150" w:rsidR="009955AA" w:rsidRPr="008215F6" w:rsidRDefault="00A36A35" w:rsidP="00466613">
            <w:pPr>
              <w:spacing w:line="480" w:lineRule="auto"/>
            </w:pPr>
            <w:r w:rsidRPr="008215F6">
              <w:t>5.8 [5.4–6.6]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E6989" w14:textId="77777777" w:rsidR="009955AA" w:rsidRPr="008215F6" w:rsidRDefault="009955AA" w:rsidP="00466613">
            <w:pPr>
              <w:spacing w:line="480" w:lineRule="auto"/>
            </w:pPr>
            <w:r w:rsidRPr="008215F6">
              <w:t>&lt; 0.001</w:t>
            </w:r>
          </w:p>
        </w:tc>
      </w:tr>
      <w:tr w:rsidR="009955AA" w:rsidRPr="008215F6" w14:paraId="3B863B83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36E40" w14:textId="77777777" w:rsidR="009955AA" w:rsidRPr="00466613" w:rsidRDefault="009955AA" w:rsidP="00466613">
            <w:pPr>
              <w:spacing w:line="480" w:lineRule="auto"/>
            </w:pPr>
            <w:r w:rsidRPr="00466613">
              <w:t>ASCVD Prevalence, n (%)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9922C" w14:textId="77777777" w:rsidR="009955AA" w:rsidRPr="008215F6" w:rsidRDefault="009955AA" w:rsidP="00466613">
            <w:pPr>
              <w:spacing w:line="480" w:lineRule="auto"/>
            </w:pPr>
            <w:r w:rsidRPr="008215F6">
              <w:t>45 (2.2%)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7984AB" w14:textId="77777777" w:rsidR="009955AA" w:rsidRPr="008215F6" w:rsidRDefault="009955AA" w:rsidP="00466613">
            <w:pPr>
              <w:spacing w:line="480" w:lineRule="auto"/>
            </w:pPr>
            <w:r w:rsidRPr="008215F6">
              <w:t>335 (25.6%)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35023" w14:textId="77777777" w:rsidR="009955AA" w:rsidRPr="008215F6" w:rsidRDefault="009955AA" w:rsidP="00466613">
            <w:pPr>
              <w:spacing w:line="480" w:lineRule="auto"/>
            </w:pPr>
            <w:r w:rsidRPr="008215F6">
              <w:t>&lt; 0.001</w:t>
            </w:r>
          </w:p>
        </w:tc>
      </w:tr>
      <w:tr w:rsidR="009955AA" w:rsidRPr="008215F6" w14:paraId="200C9F41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A5EC01" w14:textId="77777777" w:rsidR="009955AA" w:rsidRPr="00466613" w:rsidRDefault="009955AA" w:rsidP="00466613">
            <w:pPr>
              <w:spacing w:line="480" w:lineRule="auto"/>
            </w:pPr>
            <w:r w:rsidRPr="00466613">
              <w:t>Calculated LDL-C, mg/dL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5BACEB" w14:textId="3F5B737E" w:rsidR="009955AA" w:rsidRPr="008215F6" w:rsidRDefault="00A36A35" w:rsidP="00466613">
            <w:pPr>
              <w:spacing w:line="480" w:lineRule="auto"/>
            </w:pPr>
            <w:r w:rsidRPr="008215F6">
              <w:t>121.6 [89.0–141.0]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0582F3" w14:textId="326A8FA7" w:rsidR="009955AA" w:rsidRPr="008215F6" w:rsidRDefault="00A36A35" w:rsidP="00466613">
            <w:pPr>
              <w:spacing w:line="480" w:lineRule="auto"/>
            </w:pPr>
            <w:r w:rsidRPr="008215F6">
              <w:t>117.0 [91.2–141.2]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7D5401" w14:textId="77777777" w:rsidR="009955AA" w:rsidRPr="008215F6" w:rsidRDefault="009955AA" w:rsidP="00466613">
            <w:pPr>
              <w:spacing w:line="480" w:lineRule="auto"/>
            </w:pPr>
            <w:r w:rsidRPr="008215F6">
              <w:t>&lt; 0.001</w:t>
            </w:r>
          </w:p>
        </w:tc>
      </w:tr>
      <w:tr w:rsidR="009955AA" w:rsidRPr="008215F6" w14:paraId="6194E25E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641E1" w14:textId="77777777" w:rsidR="009955AA" w:rsidRPr="00466613" w:rsidRDefault="009955AA" w:rsidP="00466613">
            <w:pPr>
              <w:spacing w:line="480" w:lineRule="auto"/>
            </w:pPr>
            <w:r w:rsidRPr="00466613">
              <w:t>Remnant Cholesterol, mg/dL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A103B" w14:textId="5322DFE7" w:rsidR="009955AA" w:rsidRPr="008215F6" w:rsidRDefault="00A36A35" w:rsidP="00466613">
            <w:pPr>
              <w:spacing w:line="480" w:lineRule="auto"/>
            </w:pPr>
            <w:r w:rsidRPr="008215F6">
              <w:t>14.0 [9.0–20.0]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D89D0" w14:textId="7BF491FB" w:rsidR="009955AA" w:rsidRPr="008215F6" w:rsidRDefault="00A36A35" w:rsidP="00466613">
            <w:pPr>
              <w:spacing w:line="480" w:lineRule="auto"/>
            </w:pPr>
            <w:r w:rsidRPr="008215F6">
              <w:t>13.0 [8.0–19.0]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CDD5C" w14:textId="3846D3E7" w:rsidR="009955AA" w:rsidRPr="008215F6" w:rsidRDefault="009955AA" w:rsidP="00466613">
            <w:pPr>
              <w:spacing w:line="480" w:lineRule="auto"/>
            </w:pPr>
            <w:r w:rsidRPr="008215F6">
              <w:t>0.</w:t>
            </w:r>
            <w:r w:rsidR="00A36A35" w:rsidRPr="008215F6">
              <w:t>577</w:t>
            </w:r>
          </w:p>
        </w:tc>
      </w:tr>
      <w:tr w:rsidR="00A36A35" w:rsidRPr="008215F6" w14:paraId="6DA1CEE3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DEDB13" w14:textId="3D38EC39" w:rsidR="00A36A35" w:rsidRPr="00466613" w:rsidRDefault="00A36A35" w:rsidP="00466613">
            <w:pPr>
              <w:spacing w:line="480" w:lineRule="auto"/>
            </w:pPr>
            <w:r w:rsidRPr="00466613">
              <w:t>Triglycerides, mg/dL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871070" w14:textId="557C5ADA" w:rsidR="00A36A35" w:rsidRPr="008215F6" w:rsidRDefault="00A36A35" w:rsidP="00466613">
            <w:pPr>
              <w:spacing w:line="480" w:lineRule="auto"/>
            </w:pPr>
            <w:r w:rsidRPr="008215F6">
              <w:t>121.0 [88.0–170.0]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8E7CCB" w14:textId="1EB630AB" w:rsidR="00A36A35" w:rsidRPr="008215F6" w:rsidRDefault="00A36A35" w:rsidP="00466613">
            <w:pPr>
              <w:spacing w:line="480" w:lineRule="auto"/>
            </w:pPr>
            <w:r w:rsidRPr="008215F6">
              <w:t>123.5 [90.0–179.0]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564500" w14:textId="38AF69D3" w:rsidR="00A36A35" w:rsidRPr="008215F6" w:rsidRDefault="00A36A35" w:rsidP="00466613">
            <w:pPr>
              <w:spacing w:line="480" w:lineRule="auto"/>
            </w:pPr>
            <w:r w:rsidRPr="008215F6">
              <w:t>0.095</w:t>
            </w:r>
          </w:p>
        </w:tc>
      </w:tr>
      <w:tr w:rsidR="00A36A35" w:rsidRPr="008215F6" w14:paraId="54244DF0" w14:textId="77777777" w:rsidTr="009955AA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AC09BC" w14:textId="240E93AE" w:rsidR="00A36A35" w:rsidRPr="00466613" w:rsidRDefault="00A36A35" w:rsidP="00466613">
            <w:pPr>
              <w:spacing w:line="480" w:lineRule="auto"/>
            </w:pPr>
            <w:r w:rsidRPr="00466613">
              <w:t>HDL-C, mg/dL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FE13D7" w14:textId="232A0DAF" w:rsidR="00A36A35" w:rsidRPr="008215F6" w:rsidRDefault="00A36A35" w:rsidP="00466613">
            <w:pPr>
              <w:spacing w:line="480" w:lineRule="auto"/>
            </w:pPr>
            <w:r w:rsidRPr="008215F6">
              <w:t>55.0 [46.0–65.0]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4BEED6" w14:textId="1F5BAC45" w:rsidR="00A36A35" w:rsidRPr="008215F6" w:rsidRDefault="00A36A35" w:rsidP="00466613">
            <w:pPr>
              <w:spacing w:line="480" w:lineRule="auto"/>
            </w:pPr>
            <w:r w:rsidRPr="008215F6">
              <w:t>53.0 [45.0–61.0]</w:t>
            </w:r>
          </w:p>
        </w:tc>
        <w:tc>
          <w:tcPr>
            <w:tcW w:w="119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16360D" w14:textId="39C4ECE7" w:rsidR="00A36A35" w:rsidRPr="008215F6" w:rsidRDefault="00A36A35" w:rsidP="00466613">
            <w:pPr>
              <w:spacing w:line="480" w:lineRule="auto"/>
            </w:pPr>
            <w:r w:rsidRPr="008215F6">
              <w:t>&lt; 0.001</w:t>
            </w:r>
          </w:p>
        </w:tc>
      </w:tr>
    </w:tbl>
    <w:p w14:paraId="1A60449E" w14:textId="395C29A2" w:rsidR="009955AA" w:rsidRPr="008215F6" w:rsidRDefault="009955AA" w:rsidP="00466613">
      <w:pPr>
        <w:spacing w:line="480" w:lineRule="auto"/>
      </w:pPr>
      <w:r w:rsidRPr="008215F6">
        <w:rPr>
          <w:b/>
          <w:bCs/>
        </w:rPr>
        <w:t>Note:</w:t>
      </w:r>
      <w:r w:rsidRPr="008215F6">
        <w:t xml:space="preserve"> P-values derived from Mann-Whitney U test (continuous) and Chi-square test (categorical).</w:t>
      </w:r>
    </w:p>
    <w:p w14:paraId="1645ECCF" w14:textId="1C58CF09" w:rsidR="00270183" w:rsidRDefault="009955AA" w:rsidP="00466613">
      <w:pPr>
        <w:spacing w:line="480" w:lineRule="auto"/>
      </w:pPr>
      <w:r w:rsidRPr="008215F6">
        <w:rPr>
          <w:b/>
          <w:bCs/>
        </w:rPr>
        <w:t>Abbreviations:</w:t>
      </w:r>
      <w:r w:rsidRPr="008215F6">
        <w:t xml:space="preserve"> IQR, interquartile range; CRP, C-reactive protein; eGFR, estimated glomerular filtration rate; HbA1c, hemoglobin A1c; ASCVD, atherosclerotic cardiovascular disease; LDL-C, low-density lipoprotein cholesterol; RC, remnant cholesterol.</w:t>
      </w:r>
    </w:p>
    <w:p w14:paraId="160B546E" w14:textId="77777777" w:rsidR="00270183" w:rsidRDefault="00270183" w:rsidP="00466613">
      <w:pPr>
        <w:spacing w:line="480" w:lineRule="auto"/>
      </w:pPr>
      <w:r>
        <w:br w:type="page"/>
      </w:r>
    </w:p>
    <w:p w14:paraId="5F5A3C78" w14:textId="104914BE" w:rsidR="00286743" w:rsidRDefault="00270183" w:rsidP="00466613">
      <w:pPr>
        <w:pStyle w:val="Caption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 xml:space="preserve">Supplementary </w:t>
      </w:r>
      <w:r w:rsidRPr="0027018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Table </w:t>
      </w:r>
      <w:r w:rsidRPr="0027018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ldChar w:fldCharType="begin"/>
      </w:r>
      <w:r w:rsidRPr="0027018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instrText xml:space="preserve"> SEQ Table \* ARABIC </w:instrText>
      </w:r>
      <w:r w:rsidRPr="0027018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ldChar w:fldCharType="separate"/>
      </w:r>
      <w:r w:rsidRPr="00270183">
        <w:rPr>
          <w:rFonts w:ascii="Times New Roman" w:hAnsi="Times New Roman" w:cs="Times New Roman"/>
          <w:b/>
          <w:bCs/>
          <w:i w:val="0"/>
          <w:iCs w:val="0"/>
          <w:noProof/>
          <w:sz w:val="24"/>
          <w:szCs w:val="24"/>
        </w:rPr>
        <w:t>4</w:t>
      </w:r>
      <w:r w:rsidRPr="0027018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  <w:r w:rsidR="006B6366" w:rsidRPr="006B6366">
        <w:rPr>
          <w:rFonts w:ascii="Times New Roman" w:hAnsi="Times New Roman" w:cs="Times New Roman"/>
          <w:i w:val="0"/>
          <w:iCs w:val="0"/>
          <w:sz w:val="24"/>
          <w:szCs w:val="24"/>
        </w:rPr>
        <w:t>Assessment of Multicollinearity (VIF Diagnostics).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547"/>
        <w:gridCol w:w="2687"/>
      </w:tblGrid>
      <w:tr w:rsidR="006B6366" w:rsidRPr="006B6366" w14:paraId="489BA593" w14:textId="77777777" w:rsidTr="006B636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C6BF" w14:textId="17613053" w:rsidR="006B6366" w:rsidRPr="006B6366" w:rsidRDefault="006B6366" w:rsidP="00466613">
            <w:pPr>
              <w:spacing w:line="480" w:lineRule="auto"/>
            </w:pPr>
            <w:r w:rsidRPr="006B6366">
              <w:rPr>
                <w:b/>
                <w:bCs/>
                <w:color w:val="1F1F1F"/>
                <w:bdr w:val="none" w:sz="0" w:space="0" w:color="auto" w:frame="1"/>
              </w:rPr>
              <w:t>Predictor Variable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16DF9" w14:textId="06879488" w:rsidR="006B6366" w:rsidRPr="006B6366" w:rsidRDefault="006B6366" w:rsidP="00466613">
            <w:pPr>
              <w:spacing w:line="480" w:lineRule="auto"/>
            </w:pPr>
            <w:r w:rsidRPr="006B6366">
              <w:rPr>
                <w:b/>
                <w:bCs/>
                <w:color w:val="1F1F1F"/>
                <w:bdr w:val="none" w:sz="0" w:space="0" w:color="auto" w:frame="1"/>
              </w:rPr>
              <w:t>Variance Inflation Factor (VIF)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A21B" w14:textId="1A59D79C" w:rsidR="006B6366" w:rsidRPr="006B6366" w:rsidRDefault="006B6366" w:rsidP="00466613">
            <w:pPr>
              <w:spacing w:line="480" w:lineRule="auto"/>
            </w:pPr>
            <w:r w:rsidRPr="006B6366">
              <w:rPr>
                <w:b/>
                <w:bCs/>
                <w:color w:val="1F1F1F"/>
                <w:bdr w:val="none" w:sz="0" w:space="0" w:color="auto" w:frame="1"/>
              </w:rPr>
              <w:t>Interpretation</w:t>
            </w:r>
          </w:p>
        </w:tc>
      </w:tr>
      <w:tr w:rsidR="006B6366" w:rsidRPr="006B6366" w14:paraId="66B2CACF" w14:textId="77777777" w:rsidTr="006B6366"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162BC1FC" w14:textId="03B149FA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Age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27BDA243" w14:textId="436FA82E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1.15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3106A348" w14:textId="2D93B492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Excellent</w:t>
            </w:r>
          </w:p>
        </w:tc>
      </w:tr>
      <w:tr w:rsidR="006B6366" w:rsidRPr="006B6366" w14:paraId="1E22DA0D" w14:textId="77777777" w:rsidTr="006B6366">
        <w:tc>
          <w:tcPr>
            <w:tcW w:w="3116" w:type="dxa"/>
            <w:vAlign w:val="center"/>
          </w:tcPr>
          <w:p w14:paraId="741B563D" w14:textId="1682FFF0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Sampson LDL-C</w:t>
            </w:r>
          </w:p>
        </w:tc>
        <w:tc>
          <w:tcPr>
            <w:tcW w:w="3547" w:type="dxa"/>
            <w:vAlign w:val="center"/>
          </w:tcPr>
          <w:p w14:paraId="57C869B4" w14:textId="3AA144D3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1.48</w:t>
            </w:r>
          </w:p>
        </w:tc>
        <w:tc>
          <w:tcPr>
            <w:tcW w:w="2687" w:type="dxa"/>
            <w:vAlign w:val="center"/>
          </w:tcPr>
          <w:p w14:paraId="3E8C0EDC" w14:textId="57DA13B0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Good</w:t>
            </w:r>
          </w:p>
        </w:tc>
      </w:tr>
      <w:tr w:rsidR="006B6366" w:rsidRPr="006B6366" w14:paraId="2AF9055F" w14:textId="77777777" w:rsidTr="006B6366">
        <w:tc>
          <w:tcPr>
            <w:tcW w:w="3116" w:type="dxa"/>
            <w:vAlign w:val="center"/>
          </w:tcPr>
          <w:p w14:paraId="3A13ED2E" w14:textId="64323A40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Remnant Cholesterol</w:t>
            </w:r>
          </w:p>
        </w:tc>
        <w:tc>
          <w:tcPr>
            <w:tcW w:w="3547" w:type="dxa"/>
            <w:vAlign w:val="center"/>
          </w:tcPr>
          <w:p w14:paraId="297EC9FD" w14:textId="75F197FE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1.56</w:t>
            </w:r>
          </w:p>
        </w:tc>
        <w:tc>
          <w:tcPr>
            <w:tcW w:w="2687" w:type="dxa"/>
            <w:vAlign w:val="center"/>
          </w:tcPr>
          <w:p w14:paraId="0017C54F" w14:textId="5060D6F2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Good</w:t>
            </w:r>
          </w:p>
        </w:tc>
      </w:tr>
      <w:tr w:rsidR="006B6366" w:rsidRPr="006B6366" w14:paraId="00FD112A" w14:textId="77777777" w:rsidTr="006B6366">
        <w:tc>
          <w:tcPr>
            <w:tcW w:w="3116" w:type="dxa"/>
            <w:vAlign w:val="center"/>
          </w:tcPr>
          <w:p w14:paraId="2E4FE4A8" w14:textId="2E22DC81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eGFR</w:t>
            </w:r>
          </w:p>
        </w:tc>
        <w:tc>
          <w:tcPr>
            <w:tcW w:w="3547" w:type="dxa"/>
            <w:vAlign w:val="center"/>
          </w:tcPr>
          <w:p w14:paraId="4A03CBA9" w14:textId="0A720B7F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1.15</w:t>
            </w:r>
          </w:p>
        </w:tc>
        <w:tc>
          <w:tcPr>
            <w:tcW w:w="2687" w:type="dxa"/>
            <w:vAlign w:val="center"/>
          </w:tcPr>
          <w:p w14:paraId="0EA8E8F1" w14:textId="542FB751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Excellent</w:t>
            </w:r>
          </w:p>
        </w:tc>
      </w:tr>
      <w:tr w:rsidR="006B6366" w:rsidRPr="006B6366" w14:paraId="5A2874D1" w14:textId="77777777" w:rsidTr="006B6366">
        <w:tc>
          <w:tcPr>
            <w:tcW w:w="3116" w:type="dxa"/>
            <w:vAlign w:val="center"/>
          </w:tcPr>
          <w:p w14:paraId="078820CC" w14:textId="45987066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HbA1c</w:t>
            </w:r>
          </w:p>
        </w:tc>
        <w:tc>
          <w:tcPr>
            <w:tcW w:w="3547" w:type="dxa"/>
            <w:vAlign w:val="center"/>
          </w:tcPr>
          <w:p w14:paraId="0C5EEFDB" w14:textId="041CC7F5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1.10</w:t>
            </w:r>
          </w:p>
        </w:tc>
        <w:tc>
          <w:tcPr>
            <w:tcW w:w="2687" w:type="dxa"/>
            <w:vAlign w:val="center"/>
          </w:tcPr>
          <w:p w14:paraId="312456F3" w14:textId="5F2FBFBE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Excellent</w:t>
            </w:r>
          </w:p>
        </w:tc>
      </w:tr>
      <w:tr w:rsidR="006B6366" w:rsidRPr="006B6366" w14:paraId="491E7C23" w14:textId="77777777" w:rsidTr="006B6366">
        <w:tc>
          <w:tcPr>
            <w:tcW w:w="3116" w:type="dxa"/>
            <w:vAlign w:val="center"/>
          </w:tcPr>
          <w:p w14:paraId="5D165186" w14:textId="45DBCFA3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LDL-C x RC Interaction</w:t>
            </w:r>
          </w:p>
        </w:tc>
        <w:tc>
          <w:tcPr>
            <w:tcW w:w="3547" w:type="dxa"/>
            <w:vAlign w:val="center"/>
          </w:tcPr>
          <w:p w14:paraId="3C4270E0" w14:textId="1CB98479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5.98</w:t>
            </w:r>
          </w:p>
        </w:tc>
        <w:tc>
          <w:tcPr>
            <w:tcW w:w="2687" w:type="dxa"/>
            <w:vAlign w:val="center"/>
          </w:tcPr>
          <w:p w14:paraId="5BF10A21" w14:textId="141BCAC9" w:rsidR="006B6366" w:rsidRPr="006B6366" w:rsidRDefault="006B6366" w:rsidP="00466613">
            <w:pPr>
              <w:spacing w:line="480" w:lineRule="auto"/>
            </w:pPr>
            <w:r w:rsidRPr="006B6366">
              <w:rPr>
                <w:color w:val="1F1F1F"/>
                <w:bdr w:val="none" w:sz="0" w:space="0" w:color="auto" w:frame="1"/>
              </w:rPr>
              <w:t>Acceptable*</w:t>
            </w:r>
          </w:p>
        </w:tc>
      </w:tr>
    </w:tbl>
    <w:p w14:paraId="70FC1867" w14:textId="63B3A436" w:rsidR="006B6366" w:rsidRDefault="006B6366" w:rsidP="00466613">
      <w:pPr>
        <w:spacing w:line="480" w:lineRule="auto"/>
      </w:pPr>
      <w:r w:rsidRPr="006B6366">
        <w:rPr>
          <w:b/>
          <w:bCs/>
        </w:rPr>
        <w:t>Note:</w:t>
      </w:r>
      <w:r w:rsidRPr="006B6366">
        <w:t xml:space="preserve"> Interaction terms naturally exhibit higher VIFs, but values well below the conventional diagnostic threshold of 10 indicate that multicollinearity is not a significant concern.</w:t>
      </w:r>
    </w:p>
    <w:p w14:paraId="7DAFA55F" w14:textId="77777777" w:rsidR="006B6366" w:rsidRDefault="006B6366" w:rsidP="00466613">
      <w:pPr>
        <w:spacing w:line="480" w:lineRule="auto"/>
      </w:pPr>
      <w:r>
        <w:br w:type="page"/>
      </w:r>
    </w:p>
    <w:p w14:paraId="2B793359" w14:textId="50993954" w:rsidR="006B6366" w:rsidRDefault="006B6366" w:rsidP="00466613">
      <w:pPr>
        <w:spacing w:line="480" w:lineRule="auto"/>
      </w:pPr>
      <w:r w:rsidRPr="008215F6">
        <w:rPr>
          <w:rStyle w:val="Strong"/>
        </w:rPr>
        <w:lastRenderedPageBreak/>
        <w:t>Supplementary</w:t>
      </w:r>
      <w:r w:rsidRPr="008215F6">
        <w:t xml:space="preserve"> </w:t>
      </w:r>
      <w:r w:rsidRPr="008215F6">
        <w:rPr>
          <w:b/>
          <w:bCs/>
        </w:rPr>
        <w:t xml:space="preserve">Table </w:t>
      </w:r>
      <w:r w:rsidRPr="008215F6">
        <w:rPr>
          <w:b/>
          <w:bCs/>
        </w:rPr>
        <w:fldChar w:fldCharType="begin"/>
      </w:r>
      <w:r w:rsidRPr="008215F6">
        <w:rPr>
          <w:b/>
          <w:bCs/>
        </w:rPr>
        <w:instrText xml:space="preserve"> SEQ Table \* ARABIC </w:instrText>
      </w:r>
      <w:r w:rsidRPr="008215F6">
        <w:rPr>
          <w:b/>
          <w:bCs/>
        </w:rPr>
        <w:fldChar w:fldCharType="separate"/>
      </w:r>
      <w:r>
        <w:rPr>
          <w:b/>
          <w:bCs/>
          <w:noProof/>
        </w:rPr>
        <w:t>5</w:t>
      </w:r>
      <w:r w:rsidRPr="008215F6">
        <w:rPr>
          <w:b/>
          <w:bCs/>
        </w:rPr>
        <w:fldChar w:fldCharType="end"/>
      </w:r>
      <w:r w:rsidRPr="008215F6">
        <w:t>.</w:t>
      </w:r>
      <w:r>
        <w:t xml:space="preserve"> </w:t>
      </w:r>
      <w:r w:rsidRPr="006B6366">
        <w:t>Persistence of the LDL-C x RC Interaction across Datasets (Sampson-NIH Sensitivity Analysis).</w:t>
      </w:r>
    </w:p>
    <w:p w14:paraId="6834F99D" w14:textId="77777777" w:rsidR="00466613" w:rsidRDefault="00466613" w:rsidP="00466613">
      <w:pPr>
        <w:spacing w:line="480" w:lineRule="auto"/>
      </w:pPr>
    </w:p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604"/>
        <w:gridCol w:w="1701"/>
        <w:gridCol w:w="2410"/>
        <w:gridCol w:w="2126"/>
      </w:tblGrid>
      <w:tr w:rsidR="00466613" w:rsidRPr="00466613" w14:paraId="3D624D8E" w14:textId="77777777" w:rsidTr="00466613"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C37D" w14:textId="3C606D8F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rStyle w:val="Strong"/>
                <w:rFonts w:eastAsiaTheme="majorEastAsia"/>
                <w:color w:val="1F1F1F"/>
                <w:sz w:val="22"/>
                <w:szCs w:val="22"/>
                <w:bdr w:val="none" w:sz="0" w:space="0" w:color="auto" w:frame="1"/>
              </w:rPr>
              <w:t>Variable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65B51" w14:textId="78C1D244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rStyle w:val="Strong"/>
                <w:rFonts w:eastAsiaTheme="majorEastAsia"/>
                <w:color w:val="1F1F1F"/>
                <w:sz w:val="22"/>
                <w:szCs w:val="22"/>
                <w:bdr w:val="none" w:sz="0" w:space="0" w:color="auto" w:frame="1"/>
              </w:rPr>
              <w:t>Odds Ratio 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A0226" w14:textId="7A08070B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rStyle w:val="Strong"/>
                <w:rFonts w:eastAsiaTheme="majorEastAsia"/>
                <w:color w:val="1F1F1F"/>
                <w:sz w:val="22"/>
                <w:szCs w:val="22"/>
                <w:bdr w:val="none" w:sz="0" w:space="0" w:color="auto" w:frame="1"/>
              </w:rPr>
              <w:t>P-Value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14FD5" w14:textId="13DF138E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rStyle w:val="Strong"/>
                <w:rFonts w:eastAsiaTheme="majorEastAsia"/>
                <w:color w:val="1F1F1F"/>
                <w:sz w:val="22"/>
                <w:szCs w:val="22"/>
                <w:bdr w:val="none" w:sz="0" w:space="0" w:color="auto" w:frame="1"/>
              </w:rPr>
              <w:t>Interpretation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08B06" w14:textId="2CB234B8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rStyle w:val="Strong"/>
                <w:rFonts w:eastAsiaTheme="majorEastAsia"/>
                <w:color w:val="1F1F1F"/>
                <w:sz w:val="22"/>
                <w:szCs w:val="22"/>
                <w:bdr w:val="none" w:sz="0" w:space="0" w:color="auto" w:frame="1"/>
              </w:rPr>
              <w:t>Variable</w:t>
            </w:r>
          </w:p>
        </w:tc>
      </w:tr>
      <w:tr w:rsidR="00466613" w:rsidRPr="00466613" w14:paraId="4558209B" w14:textId="77777777" w:rsidTr="00466613"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14:paraId="7F461B78" w14:textId="79C7F221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Age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14:paraId="3F98D776" w14:textId="617474D8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2.42 [1.90-2.85]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8E8FEC" w14:textId="3BDD6961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&lt; 0.001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9344A92" w14:textId="523F6261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Significant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61D83DA" w14:textId="6986E546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Age</w:t>
            </w:r>
          </w:p>
        </w:tc>
      </w:tr>
      <w:tr w:rsidR="00466613" w:rsidRPr="00466613" w14:paraId="18D3DE8D" w14:textId="77777777" w:rsidTr="00466613">
        <w:tc>
          <w:tcPr>
            <w:tcW w:w="1933" w:type="dxa"/>
            <w:vAlign w:val="center"/>
          </w:tcPr>
          <w:p w14:paraId="60E7AF0D" w14:textId="00D8A531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Sex (Male)</w:t>
            </w:r>
          </w:p>
        </w:tc>
        <w:tc>
          <w:tcPr>
            <w:tcW w:w="2604" w:type="dxa"/>
            <w:vAlign w:val="center"/>
          </w:tcPr>
          <w:p w14:paraId="33337046" w14:textId="23D78B5A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2.35 [1.95-3.05]</w:t>
            </w:r>
          </w:p>
        </w:tc>
        <w:tc>
          <w:tcPr>
            <w:tcW w:w="1701" w:type="dxa"/>
            <w:vAlign w:val="center"/>
          </w:tcPr>
          <w:p w14:paraId="5766EC25" w14:textId="56DA6FCF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&lt; 0.001</w:t>
            </w:r>
          </w:p>
        </w:tc>
        <w:tc>
          <w:tcPr>
            <w:tcW w:w="2410" w:type="dxa"/>
            <w:vAlign w:val="center"/>
          </w:tcPr>
          <w:p w14:paraId="227E228E" w14:textId="433D6EE6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Significant</w:t>
            </w:r>
          </w:p>
        </w:tc>
        <w:tc>
          <w:tcPr>
            <w:tcW w:w="2126" w:type="dxa"/>
            <w:vAlign w:val="center"/>
          </w:tcPr>
          <w:p w14:paraId="5C0076A1" w14:textId="3BA3B51F" w:rsidR="00466613" w:rsidRPr="00466613" w:rsidRDefault="00466613" w:rsidP="00466613">
            <w:pPr>
              <w:spacing w:line="480" w:lineRule="auto"/>
              <w:rPr>
                <w:sz w:val="22"/>
                <w:szCs w:val="22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Sex (Male)</w:t>
            </w:r>
          </w:p>
        </w:tc>
      </w:tr>
      <w:tr w:rsidR="00466613" w:rsidRPr="00466613" w14:paraId="6E6346A5" w14:textId="77777777" w:rsidTr="00466613">
        <w:tc>
          <w:tcPr>
            <w:tcW w:w="1933" w:type="dxa"/>
            <w:vAlign w:val="center"/>
          </w:tcPr>
          <w:p w14:paraId="7ABB67FB" w14:textId="26D448AB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eGFR</w:t>
            </w:r>
          </w:p>
        </w:tc>
        <w:tc>
          <w:tcPr>
            <w:tcW w:w="2604" w:type="dxa"/>
            <w:vAlign w:val="center"/>
          </w:tcPr>
          <w:p w14:paraId="02910099" w14:textId="38F49D2A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1.31 [1.05-1.50]</w:t>
            </w:r>
          </w:p>
        </w:tc>
        <w:tc>
          <w:tcPr>
            <w:tcW w:w="1701" w:type="dxa"/>
            <w:vAlign w:val="center"/>
          </w:tcPr>
          <w:p w14:paraId="0FD09D2A" w14:textId="1B3E3452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0.010</w:t>
            </w:r>
          </w:p>
        </w:tc>
        <w:tc>
          <w:tcPr>
            <w:tcW w:w="2410" w:type="dxa"/>
            <w:vAlign w:val="center"/>
          </w:tcPr>
          <w:p w14:paraId="512A14D9" w14:textId="3C69DC05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Significant</w:t>
            </w:r>
          </w:p>
        </w:tc>
        <w:tc>
          <w:tcPr>
            <w:tcW w:w="2126" w:type="dxa"/>
            <w:vAlign w:val="center"/>
          </w:tcPr>
          <w:p w14:paraId="566EA957" w14:textId="12682BB9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eGFR</w:t>
            </w:r>
          </w:p>
        </w:tc>
      </w:tr>
      <w:tr w:rsidR="00466613" w:rsidRPr="00466613" w14:paraId="73459086" w14:textId="77777777" w:rsidTr="00466613">
        <w:tc>
          <w:tcPr>
            <w:tcW w:w="1933" w:type="dxa"/>
            <w:vAlign w:val="center"/>
          </w:tcPr>
          <w:p w14:paraId="010F8C60" w14:textId="442A886E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Sampson-NIH LDL-C</w:t>
            </w:r>
          </w:p>
        </w:tc>
        <w:tc>
          <w:tcPr>
            <w:tcW w:w="2604" w:type="dxa"/>
            <w:vAlign w:val="center"/>
          </w:tcPr>
          <w:p w14:paraId="4C88E803" w14:textId="2EC0AAEB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0.75 [0.62-0.91]</w:t>
            </w:r>
          </w:p>
        </w:tc>
        <w:tc>
          <w:tcPr>
            <w:tcW w:w="1701" w:type="dxa"/>
            <w:vAlign w:val="center"/>
          </w:tcPr>
          <w:p w14:paraId="3B398A37" w14:textId="3069D3BC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0.004</w:t>
            </w:r>
          </w:p>
        </w:tc>
        <w:tc>
          <w:tcPr>
            <w:tcW w:w="2410" w:type="dxa"/>
            <w:vAlign w:val="center"/>
          </w:tcPr>
          <w:p w14:paraId="29783E18" w14:textId="66ECAF62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Suppressor Effect</w:t>
            </w:r>
          </w:p>
        </w:tc>
        <w:tc>
          <w:tcPr>
            <w:tcW w:w="2126" w:type="dxa"/>
            <w:vAlign w:val="center"/>
          </w:tcPr>
          <w:p w14:paraId="04F2D798" w14:textId="41621A4B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Sampson-NIH LDL-C</w:t>
            </w:r>
          </w:p>
        </w:tc>
      </w:tr>
      <w:tr w:rsidR="00466613" w:rsidRPr="00466613" w14:paraId="17322DAA" w14:textId="77777777" w:rsidTr="00466613">
        <w:tc>
          <w:tcPr>
            <w:tcW w:w="1933" w:type="dxa"/>
            <w:vAlign w:val="center"/>
          </w:tcPr>
          <w:p w14:paraId="6EC25356" w14:textId="21112582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Remnant Cholesterol</w:t>
            </w:r>
          </w:p>
        </w:tc>
        <w:tc>
          <w:tcPr>
            <w:tcW w:w="2604" w:type="dxa"/>
            <w:vAlign w:val="center"/>
          </w:tcPr>
          <w:p w14:paraId="30040A39" w14:textId="29D8BD13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1.84 [1.32-2.58]</w:t>
            </w:r>
          </w:p>
        </w:tc>
        <w:tc>
          <w:tcPr>
            <w:tcW w:w="1701" w:type="dxa"/>
            <w:vAlign w:val="center"/>
          </w:tcPr>
          <w:p w14:paraId="2608E97A" w14:textId="7ADA5B5D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&lt; 0.001</w:t>
            </w:r>
          </w:p>
        </w:tc>
        <w:tc>
          <w:tcPr>
            <w:tcW w:w="2410" w:type="dxa"/>
            <w:vAlign w:val="center"/>
          </w:tcPr>
          <w:p w14:paraId="3EF1ACB6" w14:textId="25EFFA58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Robustly Significant</w:t>
            </w:r>
          </w:p>
        </w:tc>
        <w:tc>
          <w:tcPr>
            <w:tcW w:w="2126" w:type="dxa"/>
            <w:vAlign w:val="center"/>
          </w:tcPr>
          <w:p w14:paraId="587B8F38" w14:textId="6B979106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Remnant Cholesterol</w:t>
            </w:r>
          </w:p>
        </w:tc>
      </w:tr>
      <w:tr w:rsidR="00466613" w:rsidRPr="00466613" w14:paraId="1B5F7B3C" w14:textId="77777777" w:rsidTr="00466613"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0E922878" w14:textId="0263C9AE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Sampson-LDL x RC Interaction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18274815" w14:textId="493CC52B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0.74 [0.61-0.90]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0501DB" w14:textId="3B64DBDD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0.003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924F92F" w14:textId="27538494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Interaction Persists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787CFB" w14:textId="30A394F5" w:rsidR="00466613" w:rsidRPr="00466613" w:rsidRDefault="00466613" w:rsidP="00466613">
            <w:pPr>
              <w:spacing w:line="480" w:lineRule="auto"/>
              <w:rPr>
                <w:color w:val="1F1F1F"/>
                <w:sz w:val="22"/>
                <w:szCs w:val="22"/>
                <w:bdr w:val="none" w:sz="0" w:space="0" w:color="auto" w:frame="1"/>
              </w:rPr>
            </w:pPr>
            <w:r w:rsidRPr="00466613">
              <w:rPr>
                <w:color w:val="1F1F1F"/>
                <w:sz w:val="22"/>
                <w:szCs w:val="22"/>
                <w:bdr w:val="none" w:sz="0" w:space="0" w:color="auto" w:frame="1"/>
              </w:rPr>
              <w:t>Sampson-LDL x RC Interaction</w:t>
            </w:r>
          </w:p>
        </w:tc>
      </w:tr>
    </w:tbl>
    <w:p w14:paraId="4AB79E1D" w14:textId="09E2AE16" w:rsidR="00286743" w:rsidRDefault="006B6366" w:rsidP="00466613">
      <w:pPr>
        <w:spacing w:line="480" w:lineRule="auto"/>
        <w:rPr>
          <w:b/>
          <w:bCs/>
          <w:color w:val="0E2841" w:themeColor="text2"/>
        </w:rPr>
      </w:pPr>
      <w:r w:rsidRPr="006B6366">
        <w:rPr>
          <w:b/>
          <w:bCs/>
        </w:rPr>
        <w:t>Note:</w:t>
      </w:r>
      <w:r>
        <w:t xml:space="preserve"> </w:t>
      </w:r>
      <w:r w:rsidR="00466613">
        <w:t>This multivariable logistic regression model (Model 4 + INT) utilizes the Sampson-NIH equation across all m=50 MICE datasets. The persistence of the inverse association for LDL-C and the highly significant interaction term (p=0.003) confirm that the suppressor effect is not a calculation artifact of the Friedewald formula. (In contrast, a complete-case analysis without imputation yielded an attenuated interaction [p=0.80], highlighting the susceptibility of complete-case approaches to selection bias in this tertiary cohort).</w:t>
      </w:r>
      <w:r w:rsidR="00286743">
        <w:rPr>
          <w:b/>
          <w:bCs/>
          <w:i/>
          <w:iCs/>
        </w:rPr>
        <w:br w:type="page"/>
      </w:r>
    </w:p>
    <w:p w14:paraId="2E40977D" w14:textId="5E453CF5" w:rsidR="00466613" w:rsidRPr="00270183" w:rsidRDefault="006B6366" w:rsidP="00466613">
      <w:pPr>
        <w:spacing w:line="480" w:lineRule="auto"/>
        <w:rPr>
          <w:rFonts w:eastAsiaTheme="minorHAnsi"/>
          <w:b/>
          <w:bCs/>
          <w:kern w:val="2"/>
          <w14:ligatures w14:val="standardContextual"/>
        </w:rPr>
      </w:pPr>
      <w:r w:rsidRPr="00466613">
        <w:rPr>
          <w:rStyle w:val="Strong"/>
          <w:color w:val="000000" w:themeColor="text1"/>
        </w:rPr>
        <w:lastRenderedPageBreak/>
        <w:t>Supplementary</w:t>
      </w:r>
      <w:r w:rsidRPr="00466613">
        <w:rPr>
          <w:color w:val="000000" w:themeColor="text1"/>
        </w:rPr>
        <w:t xml:space="preserve"> </w:t>
      </w:r>
      <w:r w:rsidRPr="00466613">
        <w:rPr>
          <w:b/>
          <w:bCs/>
          <w:color w:val="000000" w:themeColor="text1"/>
        </w:rPr>
        <w:t xml:space="preserve">Table </w:t>
      </w:r>
      <w:r w:rsidRPr="00466613">
        <w:rPr>
          <w:b/>
          <w:bCs/>
          <w:color w:val="000000" w:themeColor="text1"/>
        </w:rPr>
        <w:fldChar w:fldCharType="begin"/>
      </w:r>
      <w:r w:rsidRPr="00466613">
        <w:rPr>
          <w:b/>
          <w:bCs/>
          <w:color w:val="000000" w:themeColor="text1"/>
        </w:rPr>
        <w:instrText xml:space="preserve"> SEQ Table \* ARABIC </w:instrText>
      </w:r>
      <w:r w:rsidRPr="00466613">
        <w:rPr>
          <w:b/>
          <w:bCs/>
          <w:color w:val="000000" w:themeColor="text1"/>
        </w:rPr>
        <w:fldChar w:fldCharType="separate"/>
      </w:r>
      <w:r w:rsidRPr="00466613">
        <w:rPr>
          <w:b/>
          <w:bCs/>
          <w:noProof/>
          <w:color w:val="000000" w:themeColor="text1"/>
        </w:rPr>
        <w:t>6</w:t>
      </w:r>
      <w:r w:rsidRPr="00466613">
        <w:rPr>
          <w:b/>
          <w:bCs/>
          <w:color w:val="000000" w:themeColor="text1"/>
        </w:rPr>
        <w:fldChar w:fldCharType="end"/>
      </w:r>
      <w:r w:rsidRPr="00466613">
        <w:rPr>
          <w:b/>
          <w:bCs/>
          <w:color w:val="000000" w:themeColor="text1"/>
        </w:rPr>
        <w:t>.</w:t>
      </w:r>
      <w:r w:rsidRPr="006B6366">
        <w:rPr>
          <w:color w:val="000000" w:themeColor="text1"/>
        </w:rPr>
        <w:t xml:space="preserve"> </w:t>
      </w:r>
      <w:r w:rsidR="00466613" w:rsidRPr="008215F6">
        <w:t>Sensitivity Analysis without Imputation Group.</w:t>
      </w:r>
    </w:p>
    <w:tbl>
      <w:tblPr>
        <w:tblStyle w:val="TableGrid"/>
        <w:tblW w:w="104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1559"/>
        <w:gridCol w:w="2977"/>
      </w:tblGrid>
      <w:tr w:rsidR="00466613" w:rsidRPr="008215F6" w14:paraId="6D2E3395" w14:textId="77777777" w:rsidTr="00F20E2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5592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Variable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FC6F6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OR (95%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0AE0D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P-Value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E4AB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Interpretation</w:t>
            </w:r>
          </w:p>
        </w:tc>
      </w:tr>
      <w:tr w:rsidR="00466613" w:rsidRPr="008215F6" w14:paraId="5912CAAE" w14:textId="77777777" w:rsidTr="00F20E27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07DD590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Remnant Cholesterol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676C783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1.47 [1.14–1.88]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5D0AA07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0.002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117CCA7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Robustly Significant</w:t>
            </w:r>
          </w:p>
        </w:tc>
      </w:tr>
      <w:tr w:rsidR="00466613" w:rsidRPr="008215F6" w14:paraId="56176492" w14:textId="77777777" w:rsidTr="00F20E27">
        <w:tc>
          <w:tcPr>
            <w:tcW w:w="3402" w:type="dxa"/>
            <w:vAlign w:val="center"/>
          </w:tcPr>
          <w:p w14:paraId="40F64EE6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Calculated LDL-C</w:t>
            </w:r>
          </w:p>
        </w:tc>
        <w:tc>
          <w:tcPr>
            <w:tcW w:w="2552" w:type="dxa"/>
            <w:vAlign w:val="center"/>
          </w:tcPr>
          <w:p w14:paraId="443DB7A7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0.78 [0.61–0.99]</w:t>
            </w:r>
          </w:p>
        </w:tc>
        <w:tc>
          <w:tcPr>
            <w:tcW w:w="1559" w:type="dxa"/>
            <w:vAlign w:val="center"/>
          </w:tcPr>
          <w:p w14:paraId="0EBB634E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0.046</w:t>
            </w:r>
          </w:p>
        </w:tc>
        <w:tc>
          <w:tcPr>
            <w:tcW w:w="2977" w:type="dxa"/>
            <w:vAlign w:val="center"/>
          </w:tcPr>
          <w:p w14:paraId="45DD4E73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Suppressor Effect Persists</w:t>
            </w:r>
          </w:p>
        </w:tc>
      </w:tr>
      <w:tr w:rsidR="00466613" w:rsidRPr="008215F6" w14:paraId="71EA0D12" w14:textId="77777777" w:rsidTr="00F20E27">
        <w:tc>
          <w:tcPr>
            <w:tcW w:w="3402" w:type="dxa"/>
            <w:vAlign w:val="center"/>
          </w:tcPr>
          <w:p w14:paraId="5A7A2A3A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Age</w:t>
            </w:r>
          </w:p>
        </w:tc>
        <w:tc>
          <w:tcPr>
            <w:tcW w:w="2552" w:type="dxa"/>
            <w:vAlign w:val="center"/>
          </w:tcPr>
          <w:p w14:paraId="1BB2D035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3.48 [2.54–4.76]</w:t>
            </w:r>
          </w:p>
        </w:tc>
        <w:tc>
          <w:tcPr>
            <w:tcW w:w="1559" w:type="dxa"/>
            <w:vAlign w:val="center"/>
          </w:tcPr>
          <w:p w14:paraId="35EA52A1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&lt; 0.001</w:t>
            </w:r>
          </w:p>
        </w:tc>
        <w:tc>
          <w:tcPr>
            <w:tcW w:w="2977" w:type="dxa"/>
            <w:vAlign w:val="center"/>
          </w:tcPr>
          <w:p w14:paraId="7970A800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Significant</w:t>
            </w:r>
          </w:p>
        </w:tc>
      </w:tr>
      <w:tr w:rsidR="00466613" w:rsidRPr="008215F6" w14:paraId="5DA70A57" w14:textId="77777777" w:rsidTr="00F20E27">
        <w:tc>
          <w:tcPr>
            <w:tcW w:w="3402" w:type="dxa"/>
            <w:vAlign w:val="center"/>
          </w:tcPr>
          <w:p w14:paraId="3B045C28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Sex (Male)</w:t>
            </w:r>
          </w:p>
        </w:tc>
        <w:tc>
          <w:tcPr>
            <w:tcW w:w="2552" w:type="dxa"/>
            <w:vAlign w:val="center"/>
          </w:tcPr>
          <w:p w14:paraId="315044AC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1.89 [1.28–2.78]</w:t>
            </w:r>
          </w:p>
        </w:tc>
        <w:tc>
          <w:tcPr>
            <w:tcW w:w="1559" w:type="dxa"/>
            <w:vAlign w:val="center"/>
          </w:tcPr>
          <w:p w14:paraId="6F6741AA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0.001</w:t>
            </w:r>
          </w:p>
        </w:tc>
        <w:tc>
          <w:tcPr>
            <w:tcW w:w="2977" w:type="dxa"/>
            <w:vAlign w:val="center"/>
          </w:tcPr>
          <w:p w14:paraId="674F0606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Significant</w:t>
            </w:r>
          </w:p>
        </w:tc>
      </w:tr>
      <w:tr w:rsidR="00466613" w:rsidRPr="008215F6" w14:paraId="095D302A" w14:textId="77777777" w:rsidTr="00F20E27">
        <w:tc>
          <w:tcPr>
            <w:tcW w:w="3402" w:type="dxa"/>
            <w:vAlign w:val="center"/>
          </w:tcPr>
          <w:p w14:paraId="6C44969A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eGFR</w:t>
            </w:r>
          </w:p>
        </w:tc>
        <w:tc>
          <w:tcPr>
            <w:tcW w:w="2552" w:type="dxa"/>
            <w:vAlign w:val="center"/>
          </w:tcPr>
          <w:p w14:paraId="1E527A79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1.39 [1.07–1.81]</w:t>
            </w:r>
          </w:p>
        </w:tc>
        <w:tc>
          <w:tcPr>
            <w:tcW w:w="1559" w:type="dxa"/>
            <w:vAlign w:val="center"/>
          </w:tcPr>
          <w:p w14:paraId="5D31366B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0.013</w:t>
            </w:r>
          </w:p>
        </w:tc>
        <w:tc>
          <w:tcPr>
            <w:tcW w:w="2977" w:type="dxa"/>
            <w:vAlign w:val="center"/>
          </w:tcPr>
          <w:p w14:paraId="44018522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Significant</w:t>
            </w:r>
          </w:p>
        </w:tc>
      </w:tr>
    </w:tbl>
    <w:p w14:paraId="570D6152" w14:textId="77777777" w:rsidR="00466613" w:rsidRPr="008215F6" w:rsidRDefault="00466613" w:rsidP="00466613">
      <w:pPr>
        <w:spacing w:line="480" w:lineRule="auto"/>
      </w:pPr>
      <w:r w:rsidRPr="008215F6">
        <w:rPr>
          <w:b/>
          <w:bCs/>
        </w:rPr>
        <w:t xml:space="preserve">Note: </w:t>
      </w:r>
      <w:r w:rsidRPr="008215F6">
        <w:t>Multivariable logistic regression model trained on complete-case data without MICE imputation.</w:t>
      </w:r>
    </w:p>
    <w:p w14:paraId="7B7B823D" w14:textId="375B6B1E" w:rsidR="00466613" w:rsidRDefault="00466613" w:rsidP="00466613">
      <w:pPr>
        <w:pStyle w:val="Caption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5CD2A322" w14:textId="77777777" w:rsidR="00466613" w:rsidRDefault="00466613" w:rsidP="00466613">
      <w:pPr>
        <w:spacing w:after="160" w:line="480" w:lineRule="auto"/>
        <w:rPr>
          <w:rFonts w:eastAsiaTheme="minorHAnsi"/>
          <w:i/>
          <w:iCs/>
          <w:color w:val="000000" w:themeColor="text1"/>
          <w:kern w:val="2"/>
          <w:sz w:val="18"/>
          <w:szCs w:val="18"/>
          <w14:ligatures w14:val="standardContextual"/>
        </w:rPr>
      </w:pPr>
      <w:r>
        <w:rPr>
          <w:color w:val="000000" w:themeColor="text1"/>
        </w:rPr>
        <w:br w:type="page"/>
      </w:r>
    </w:p>
    <w:p w14:paraId="4D20A6F6" w14:textId="496EAEB1" w:rsidR="00466613" w:rsidRDefault="00466613" w:rsidP="00466613">
      <w:pPr>
        <w:spacing w:after="160" w:line="480" w:lineRule="auto"/>
      </w:pPr>
      <w:r w:rsidRPr="008215F6">
        <w:rPr>
          <w:rStyle w:val="Strong"/>
          <w:rFonts w:eastAsiaTheme="majorEastAsia"/>
        </w:rPr>
        <w:lastRenderedPageBreak/>
        <w:t>Supplementary</w:t>
      </w:r>
      <w:r w:rsidRPr="008215F6">
        <w:rPr>
          <w:rStyle w:val="Strong"/>
          <w:rFonts w:eastAsiaTheme="majorEastAsia"/>
          <w:b w:val="0"/>
          <w:bCs w:val="0"/>
        </w:rPr>
        <w:t xml:space="preserve"> </w:t>
      </w:r>
      <w:r w:rsidRPr="008215F6">
        <w:rPr>
          <w:b/>
          <w:bCs/>
        </w:rPr>
        <w:t xml:space="preserve">Table </w:t>
      </w:r>
      <w:r w:rsidRPr="008215F6">
        <w:rPr>
          <w:b/>
          <w:bCs/>
        </w:rPr>
        <w:fldChar w:fldCharType="begin"/>
      </w:r>
      <w:r w:rsidRPr="008215F6">
        <w:rPr>
          <w:b/>
          <w:bCs/>
        </w:rPr>
        <w:instrText xml:space="preserve"> SEQ Table \* ARABIC </w:instrText>
      </w:r>
      <w:r w:rsidRPr="008215F6">
        <w:rPr>
          <w:b/>
          <w:bCs/>
        </w:rPr>
        <w:fldChar w:fldCharType="separate"/>
      </w:r>
      <w:r>
        <w:rPr>
          <w:b/>
          <w:bCs/>
          <w:noProof/>
        </w:rPr>
        <w:t>7</w:t>
      </w:r>
      <w:r w:rsidRPr="008215F6">
        <w:rPr>
          <w:b/>
          <w:bCs/>
        </w:rPr>
        <w:fldChar w:fldCharType="end"/>
      </w:r>
      <w:r w:rsidRPr="008215F6">
        <w:rPr>
          <w:b/>
          <w:bCs/>
        </w:rPr>
        <w:t xml:space="preserve">. </w:t>
      </w:r>
      <w:r w:rsidRPr="008215F6">
        <w:t>Characteristics of Patients with Negative Remnant Cholesterol.</w:t>
      </w:r>
    </w:p>
    <w:p w14:paraId="7F64871C" w14:textId="77777777" w:rsidR="00466613" w:rsidRDefault="00466613" w:rsidP="00466613">
      <w:pPr>
        <w:spacing w:after="160" w:line="48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6613" w14:paraId="3B74DF67" w14:textId="77777777" w:rsidTr="00466613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1C612" w14:textId="379953BE" w:rsidR="00466613" w:rsidRDefault="00466613" w:rsidP="00466613">
            <w:pPr>
              <w:spacing w:after="160"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Parameter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89E4" w14:textId="102E6C4E" w:rsidR="00466613" w:rsidRDefault="00466613" w:rsidP="00466613">
            <w:pPr>
              <w:spacing w:after="160"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Mean ± SD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EB225" w14:textId="5FFD9C5D" w:rsidR="00466613" w:rsidRDefault="00466613" w:rsidP="00466613">
            <w:pPr>
              <w:spacing w:after="160"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Clinical Interpretation</w:t>
            </w:r>
          </w:p>
        </w:tc>
      </w:tr>
      <w:tr w:rsidR="00466613" w14:paraId="05922BC5" w14:textId="77777777" w:rsidTr="00466613"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0DAB4179" w14:textId="1F648630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Triglycerides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7DFB6445" w14:textId="6E7C9037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72.6 ± 33.3 mg/dL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0429671" w14:textId="3BB57156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Very Low</w:t>
            </w:r>
          </w:p>
        </w:tc>
      </w:tr>
      <w:tr w:rsidR="00466613" w14:paraId="56555F43" w14:textId="77777777" w:rsidTr="00466613">
        <w:tc>
          <w:tcPr>
            <w:tcW w:w="3116" w:type="dxa"/>
            <w:vAlign w:val="center"/>
          </w:tcPr>
          <w:p w14:paraId="53A5D951" w14:textId="3AC9C48A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HDL-C</w:t>
            </w:r>
          </w:p>
        </w:tc>
        <w:tc>
          <w:tcPr>
            <w:tcW w:w="3117" w:type="dxa"/>
            <w:vAlign w:val="center"/>
          </w:tcPr>
          <w:p w14:paraId="1C8ECD79" w14:textId="6985A2DE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72.2 ± 15.2 mg/dL</w:t>
            </w:r>
          </w:p>
        </w:tc>
        <w:tc>
          <w:tcPr>
            <w:tcW w:w="3117" w:type="dxa"/>
            <w:vAlign w:val="center"/>
          </w:tcPr>
          <w:p w14:paraId="2D6D54A7" w14:textId="46C61C74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High</w:t>
            </w:r>
          </w:p>
        </w:tc>
      </w:tr>
      <w:tr w:rsidR="00466613" w14:paraId="28C0C701" w14:textId="77777777" w:rsidTr="00466613">
        <w:tc>
          <w:tcPr>
            <w:tcW w:w="3116" w:type="dxa"/>
            <w:vAlign w:val="center"/>
          </w:tcPr>
          <w:p w14:paraId="243469F4" w14:textId="393E6702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Direct LDL-C</w:t>
            </w:r>
          </w:p>
        </w:tc>
        <w:tc>
          <w:tcPr>
            <w:tcW w:w="3117" w:type="dxa"/>
            <w:vAlign w:val="center"/>
          </w:tcPr>
          <w:p w14:paraId="09D17C9A" w14:textId="2A027B8A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103.5 ± 30.8 mg/dL</w:t>
            </w:r>
          </w:p>
        </w:tc>
        <w:tc>
          <w:tcPr>
            <w:tcW w:w="3117" w:type="dxa"/>
            <w:vAlign w:val="center"/>
          </w:tcPr>
          <w:p w14:paraId="44A5D3F2" w14:textId="3C4A1F5F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-</w:t>
            </w:r>
          </w:p>
        </w:tc>
      </w:tr>
      <w:tr w:rsidR="00466613" w14:paraId="4C57D455" w14:textId="77777777" w:rsidTr="00466613">
        <w:tc>
          <w:tcPr>
            <w:tcW w:w="3116" w:type="dxa"/>
            <w:vAlign w:val="center"/>
          </w:tcPr>
          <w:p w14:paraId="069F2DE9" w14:textId="02A248DF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Remnant Cholesterol</w:t>
            </w:r>
          </w:p>
        </w:tc>
        <w:tc>
          <w:tcPr>
            <w:tcW w:w="3117" w:type="dxa"/>
            <w:vAlign w:val="center"/>
          </w:tcPr>
          <w:p w14:paraId="23B0EE22" w14:textId="26D23FD2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-2.8 ± 2.7 mg/dL</w:t>
            </w:r>
          </w:p>
        </w:tc>
        <w:tc>
          <w:tcPr>
            <w:tcW w:w="3117" w:type="dxa"/>
            <w:vAlign w:val="center"/>
          </w:tcPr>
          <w:p w14:paraId="55AC4174" w14:textId="6AE72698" w:rsidR="00466613" w:rsidRDefault="00466613" w:rsidP="00466613">
            <w:pPr>
              <w:spacing w:after="160"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Negative Artifact</w:t>
            </w:r>
          </w:p>
        </w:tc>
      </w:tr>
    </w:tbl>
    <w:p w14:paraId="17B13B80" w14:textId="77777777" w:rsidR="00466613" w:rsidRPr="00466613" w:rsidRDefault="00466613" w:rsidP="00466613">
      <w:pPr>
        <w:spacing w:after="160" w:line="480" w:lineRule="auto"/>
        <w:rPr>
          <w:rFonts w:eastAsiaTheme="minorHAnsi"/>
          <w:color w:val="000000" w:themeColor="text1"/>
          <w:kern w:val="2"/>
          <w14:ligatures w14:val="standardContextual"/>
        </w:rPr>
      </w:pPr>
    </w:p>
    <w:p w14:paraId="77CBC98D" w14:textId="77777777" w:rsidR="00466613" w:rsidRDefault="00466613" w:rsidP="00466613">
      <w:pPr>
        <w:pStyle w:val="Caption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215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Note:</w:t>
      </w:r>
      <w:r w:rsidRPr="00821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Negative RC values were observed exclusively in patients with a low-TG / high-HDL phenotype.</w:t>
      </w:r>
    </w:p>
    <w:p w14:paraId="4562FAA2" w14:textId="77777777" w:rsidR="00466613" w:rsidRDefault="00466613" w:rsidP="00466613">
      <w:pPr>
        <w:spacing w:after="160" w:line="480" w:lineRule="auto"/>
        <w:rPr>
          <w:rFonts w:eastAsiaTheme="minorHAnsi"/>
          <w:color w:val="000000" w:themeColor="text1"/>
          <w:kern w:val="2"/>
          <w14:ligatures w14:val="standardContextual"/>
        </w:rPr>
      </w:pPr>
      <w:r>
        <w:rPr>
          <w:i/>
          <w:iCs/>
          <w:color w:val="000000" w:themeColor="text1"/>
        </w:rPr>
        <w:br w:type="page"/>
      </w:r>
    </w:p>
    <w:p w14:paraId="608F86C1" w14:textId="7CFC334D" w:rsidR="00466613" w:rsidRPr="00466613" w:rsidRDefault="00466613" w:rsidP="00466613">
      <w:pPr>
        <w:spacing w:line="480" w:lineRule="auto"/>
      </w:pPr>
      <w:r>
        <w:rPr>
          <w:b/>
          <w:bCs/>
          <w:color w:val="000000" w:themeColor="text1"/>
        </w:rPr>
        <w:lastRenderedPageBreak/>
        <w:t xml:space="preserve">Supplementary </w:t>
      </w:r>
      <w:r w:rsidRPr="008215F6">
        <w:rPr>
          <w:b/>
          <w:bCs/>
          <w:color w:val="000000" w:themeColor="text1"/>
        </w:rPr>
        <w:t xml:space="preserve">Table </w:t>
      </w:r>
      <w:r w:rsidRPr="008215F6">
        <w:rPr>
          <w:b/>
          <w:bCs/>
          <w:i/>
          <w:iCs/>
          <w:color w:val="000000" w:themeColor="text1"/>
        </w:rPr>
        <w:fldChar w:fldCharType="begin"/>
      </w:r>
      <w:r w:rsidRPr="008215F6">
        <w:rPr>
          <w:b/>
          <w:bCs/>
          <w:color w:val="000000" w:themeColor="text1"/>
        </w:rPr>
        <w:instrText xml:space="preserve"> SEQ Table \* ARABIC </w:instrText>
      </w:r>
      <w:r w:rsidRPr="008215F6">
        <w:rPr>
          <w:b/>
          <w:bCs/>
          <w:i/>
          <w:iCs/>
          <w:color w:val="000000" w:themeColor="text1"/>
        </w:rPr>
        <w:fldChar w:fldCharType="separate"/>
      </w:r>
      <w:r>
        <w:rPr>
          <w:b/>
          <w:bCs/>
          <w:noProof/>
          <w:color w:val="000000" w:themeColor="text1"/>
        </w:rPr>
        <w:t>8</w:t>
      </w:r>
      <w:r w:rsidRPr="008215F6">
        <w:rPr>
          <w:b/>
          <w:bCs/>
          <w:i/>
          <w:iCs/>
          <w:color w:val="000000" w:themeColor="text1"/>
        </w:rPr>
        <w:fldChar w:fldCharType="end"/>
      </w:r>
      <w:r>
        <w:rPr>
          <w:b/>
          <w:bCs/>
          <w:color w:val="000000" w:themeColor="text1"/>
        </w:rPr>
        <w:t xml:space="preserve">. </w:t>
      </w:r>
      <w:r w:rsidRPr="008215F6">
        <w:t>Model Fit Statistics and Information Criteria.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66613" w:rsidRPr="008215F6" w14:paraId="223E2B58" w14:textId="77777777" w:rsidTr="00F20E27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19597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Model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4CF3E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AIC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F746F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BIC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AA5B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b/>
                <w:bCs/>
                <w:color w:val="1F1F1F"/>
                <w:bdr w:val="none" w:sz="0" w:space="0" w:color="auto" w:frame="1"/>
              </w:rPr>
              <w:t>Pseudo R²</w:t>
            </w:r>
          </w:p>
        </w:tc>
      </w:tr>
      <w:tr w:rsidR="00466613" w:rsidRPr="008215F6" w14:paraId="1D3EE15B" w14:textId="77777777" w:rsidTr="00F20E27"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461190FB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Model 1 (Base)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2AF3C800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2183.1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54C612B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2213.7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3E389F2A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0.082</w:t>
            </w:r>
          </w:p>
        </w:tc>
      </w:tr>
      <w:tr w:rsidR="00466613" w:rsidRPr="008215F6" w14:paraId="4915AA92" w14:textId="77777777" w:rsidTr="00F20E27">
        <w:tc>
          <w:tcPr>
            <w:tcW w:w="2337" w:type="dxa"/>
            <w:vAlign w:val="center"/>
          </w:tcPr>
          <w:p w14:paraId="10582465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Model 2 (+LDL)</w:t>
            </w:r>
          </w:p>
        </w:tc>
        <w:tc>
          <w:tcPr>
            <w:tcW w:w="2337" w:type="dxa"/>
            <w:vAlign w:val="center"/>
          </w:tcPr>
          <w:p w14:paraId="20790358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2180.1</w:t>
            </w:r>
          </w:p>
        </w:tc>
        <w:tc>
          <w:tcPr>
            <w:tcW w:w="2338" w:type="dxa"/>
            <w:vAlign w:val="center"/>
          </w:tcPr>
          <w:p w14:paraId="5D8219D7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2216.8</w:t>
            </w:r>
          </w:p>
        </w:tc>
        <w:tc>
          <w:tcPr>
            <w:tcW w:w="2338" w:type="dxa"/>
            <w:vAlign w:val="center"/>
          </w:tcPr>
          <w:p w14:paraId="632622E6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0.084</w:t>
            </w:r>
          </w:p>
        </w:tc>
      </w:tr>
      <w:tr w:rsidR="00466613" w:rsidRPr="008215F6" w14:paraId="778AED89" w14:textId="77777777" w:rsidTr="00F20E27">
        <w:tc>
          <w:tcPr>
            <w:tcW w:w="2337" w:type="dxa"/>
            <w:vAlign w:val="center"/>
          </w:tcPr>
          <w:p w14:paraId="5F3D74C9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Model 3 (+RC)</w:t>
            </w:r>
          </w:p>
        </w:tc>
        <w:tc>
          <w:tcPr>
            <w:tcW w:w="2337" w:type="dxa"/>
            <w:vAlign w:val="center"/>
          </w:tcPr>
          <w:p w14:paraId="53B62360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2183.1</w:t>
            </w:r>
          </w:p>
        </w:tc>
        <w:tc>
          <w:tcPr>
            <w:tcW w:w="2338" w:type="dxa"/>
            <w:vAlign w:val="center"/>
          </w:tcPr>
          <w:p w14:paraId="0D780A59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2219.8</w:t>
            </w:r>
          </w:p>
        </w:tc>
        <w:tc>
          <w:tcPr>
            <w:tcW w:w="2338" w:type="dxa"/>
            <w:vAlign w:val="center"/>
          </w:tcPr>
          <w:p w14:paraId="51319E18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0.083</w:t>
            </w:r>
          </w:p>
        </w:tc>
      </w:tr>
      <w:tr w:rsidR="00466613" w:rsidRPr="008215F6" w14:paraId="2FFAA345" w14:textId="77777777" w:rsidTr="00F20E27">
        <w:tc>
          <w:tcPr>
            <w:tcW w:w="2337" w:type="dxa"/>
            <w:vAlign w:val="center"/>
          </w:tcPr>
          <w:p w14:paraId="27C79369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Model 4 (Comp)</w:t>
            </w:r>
          </w:p>
        </w:tc>
        <w:tc>
          <w:tcPr>
            <w:tcW w:w="2337" w:type="dxa"/>
            <w:vAlign w:val="center"/>
          </w:tcPr>
          <w:p w14:paraId="2E6EF98A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2174.6</w:t>
            </w:r>
          </w:p>
        </w:tc>
        <w:tc>
          <w:tcPr>
            <w:tcW w:w="2338" w:type="dxa"/>
            <w:vAlign w:val="center"/>
          </w:tcPr>
          <w:p w14:paraId="7267E72A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2223.5</w:t>
            </w:r>
          </w:p>
        </w:tc>
        <w:tc>
          <w:tcPr>
            <w:tcW w:w="2338" w:type="dxa"/>
            <w:vAlign w:val="center"/>
          </w:tcPr>
          <w:p w14:paraId="171C33C4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0.088</w:t>
            </w:r>
          </w:p>
        </w:tc>
      </w:tr>
      <w:tr w:rsidR="00466613" w:rsidRPr="008215F6" w14:paraId="269D771E" w14:textId="77777777" w:rsidTr="00F20E27">
        <w:tc>
          <w:tcPr>
            <w:tcW w:w="2337" w:type="dxa"/>
            <w:vAlign w:val="center"/>
          </w:tcPr>
          <w:p w14:paraId="3D566954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Model 4 + INT</w:t>
            </w:r>
          </w:p>
        </w:tc>
        <w:tc>
          <w:tcPr>
            <w:tcW w:w="2337" w:type="dxa"/>
            <w:vAlign w:val="center"/>
          </w:tcPr>
          <w:p w14:paraId="37139E7F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2156.2</w:t>
            </w:r>
          </w:p>
        </w:tc>
        <w:tc>
          <w:tcPr>
            <w:tcW w:w="2338" w:type="dxa"/>
            <w:vAlign w:val="center"/>
          </w:tcPr>
          <w:p w14:paraId="06B445F5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2211.2</w:t>
            </w:r>
          </w:p>
        </w:tc>
        <w:tc>
          <w:tcPr>
            <w:tcW w:w="2338" w:type="dxa"/>
            <w:vAlign w:val="center"/>
          </w:tcPr>
          <w:p w14:paraId="4CEC76FC" w14:textId="77777777" w:rsidR="00466613" w:rsidRPr="008215F6" w:rsidRDefault="00466613" w:rsidP="00466613">
            <w:pPr>
              <w:spacing w:line="480" w:lineRule="auto"/>
            </w:pPr>
            <w:r w:rsidRPr="008215F6">
              <w:rPr>
                <w:color w:val="1F1F1F"/>
                <w:bdr w:val="none" w:sz="0" w:space="0" w:color="auto" w:frame="1"/>
              </w:rPr>
              <w:t>0.097</w:t>
            </w:r>
          </w:p>
        </w:tc>
      </w:tr>
    </w:tbl>
    <w:p w14:paraId="01EF7E03" w14:textId="77777777" w:rsidR="00466613" w:rsidRPr="008215F6" w:rsidRDefault="00466613" w:rsidP="00466613">
      <w:pPr>
        <w:spacing w:line="480" w:lineRule="auto"/>
      </w:pPr>
      <w:r w:rsidRPr="008215F6">
        <w:rPr>
          <w:b/>
          <w:bCs/>
        </w:rPr>
        <w:t>Note:</w:t>
      </w:r>
      <w:r>
        <w:t xml:space="preserve"> </w:t>
      </w:r>
      <w:r w:rsidRPr="008215F6">
        <w:t>The significant drop in AIC for "Model 4 + INT" confirms improved model fit.</w:t>
      </w:r>
    </w:p>
    <w:p w14:paraId="261CA807" w14:textId="062D73EF" w:rsidR="008215F6" w:rsidRPr="005367EF" w:rsidRDefault="00466613" w:rsidP="005367EF">
      <w:pPr>
        <w:spacing w:after="160" w:line="480" w:lineRule="auto"/>
        <w:rPr>
          <w:rFonts w:eastAsiaTheme="minorHAnsi"/>
          <w:color w:val="0E2841" w:themeColor="text2"/>
          <w:kern w:val="2"/>
          <w14:ligatures w14:val="standardContextual"/>
        </w:rPr>
      </w:pPr>
      <w:r>
        <w:rPr>
          <w:i/>
          <w:iCs/>
        </w:rPr>
        <w:br w:type="page"/>
      </w:r>
    </w:p>
    <w:sectPr w:rsidR="008215F6" w:rsidRPr="00536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AA"/>
    <w:rsid w:val="001E66F4"/>
    <w:rsid w:val="00270183"/>
    <w:rsid w:val="00273126"/>
    <w:rsid w:val="00286743"/>
    <w:rsid w:val="00466613"/>
    <w:rsid w:val="005055CD"/>
    <w:rsid w:val="0053248D"/>
    <w:rsid w:val="005367EF"/>
    <w:rsid w:val="00672535"/>
    <w:rsid w:val="006B6366"/>
    <w:rsid w:val="008215F6"/>
    <w:rsid w:val="008A7621"/>
    <w:rsid w:val="008C688C"/>
    <w:rsid w:val="009955AA"/>
    <w:rsid w:val="00A36A35"/>
    <w:rsid w:val="00A9324B"/>
    <w:rsid w:val="00AE6A8B"/>
    <w:rsid w:val="00B02500"/>
    <w:rsid w:val="00BB64E6"/>
    <w:rsid w:val="00D75651"/>
    <w:rsid w:val="00DF742D"/>
    <w:rsid w:val="00E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66BA0"/>
  <w15:chartTrackingRefBased/>
  <w15:docId w15:val="{EB31E063-98EB-924F-95D0-B5601DE3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6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5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5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5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5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5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5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5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5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5A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955AA"/>
    <w:pPr>
      <w:spacing w:after="200"/>
    </w:pPr>
    <w:rPr>
      <w:rFonts w:asciiTheme="minorHAnsi" w:eastAsiaTheme="minorHAnsi" w:hAnsiTheme="minorHAnsi" w:cstheme="minorBidi"/>
      <w:i/>
      <w:iCs/>
      <w:color w:val="0E2841" w:themeColor="text2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unhideWhenUsed/>
    <w:rsid w:val="009955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742D"/>
    <w:rPr>
      <w:b/>
      <w:bCs/>
    </w:rPr>
  </w:style>
  <w:style w:type="table" w:styleId="TableGrid">
    <w:name w:val="Table Grid"/>
    <w:basedOn w:val="TableNormal"/>
    <w:uiPriority w:val="39"/>
    <w:rsid w:val="00A3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F6F13B-EBA5-014B-807B-25EB8471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661</Words>
  <Characters>4075</Characters>
  <Application>Microsoft Office Word</Application>
  <DocSecurity>0</DocSecurity>
  <Lines>231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Hazar Gözgöz</dc:creator>
  <cp:keywords/>
  <dc:description/>
  <cp:lastModifiedBy>Hazar GÖZGÖZ</cp:lastModifiedBy>
  <cp:revision>9</cp:revision>
  <dcterms:created xsi:type="dcterms:W3CDTF">2025-11-13T10:51:00Z</dcterms:created>
  <dcterms:modified xsi:type="dcterms:W3CDTF">2026-02-20T14:14:00Z</dcterms:modified>
</cp:coreProperties>
</file>