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70E50" w14:textId="5F1A937B" w:rsidR="00040945" w:rsidRDefault="00040945" w:rsidP="00CA7F0E">
      <w:pPr>
        <w:pStyle w:val="Overskrift2"/>
        <w:spacing w:line="240" w:lineRule="auto"/>
      </w:pPr>
      <w:r>
        <w:t xml:space="preserve">Supplementary </w:t>
      </w:r>
    </w:p>
    <w:p w14:paraId="43BCF658" w14:textId="77777777" w:rsidR="00040945" w:rsidRDefault="00040945" w:rsidP="00CA7F0E">
      <w:pPr>
        <w:spacing w:after="0" w:line="240" w:lineRule="auto"/>
        <w:rPr>
          <w:rFonts w:asciiTheme="majorHAnsi" w:eastAsiaTheme="majorEastAsia" w:hAnsiTheme="majorHAnsi" w:cstheme="majorBidi"/>
          <w:color w:val="2F5496" w:themeColor="accent1" w:themeShade="BF"/>
          <w:sz w:val="26"/>
          <w:szCs w:val="26"/>
        </w:rPr>
      </w:pPr>
    </w:p>
    <w:p w14:paraId="43435B4B" w14:textId="77777777" w:rsidR="00040945" w:rsidRDefault="00040945" w:rsidP="008C3BE0">
      <w:pPr>
        <w:keepNext/>
        <w:spacing w:after="0" w:line="480" w:lineRule="auto"/>
      </w:pPr>
      <w:r>
        <w:object w:dxaOrig="6359" w:dyaOrig="3910" w14:anchorId="42A994EA">
          <v:shape id="ole_rId7" o:spid="_x0000_i1025" style="width:560.55pt;height:344.65pt" coordsize="" o:spt="100" adj="0,,0" path="" stroked="f">
            <v:stroke joinstyle="miter"/>
            <v:imagedata r:id="rId6" o:title=""/>
            <v:formulas/>
            <v:path o:connecttype="segments"/>
          </v:shape>
          <o:OLEObject Type="Embed" ProgID="Acrobat.Document.DC" ShapeID="ole_rId7" DrawAspect="Content" ObjectID="_1693377943" r:id="rId7"/>
        </w:object>
      </w:r>
    </w:p>
    <w:p w14:paraId="0A123779" w14:textId="77777777" w:rsidR="00040945" w:rsidRDefault="00040945" w:rsidP="008C3BE0">
      <w:pPr>
        <w:pStyle w:val="Billedtekst"/>
        <w:spacing w:line="480" w:lineRule="auto"/>
      </w:pPr>
      <w:r>
        <w:t xml:space="preserve">Figure S1. PCA made with PCangsd </w:t>
      </w:r>
      <w:r>
        <w:fldChar w:fldCharType="begin" w:fldLock="1"/>
      </w:r>
      <w:r>
        <w:instrText>ADDIN CSL_CITATION {"citationItems":[{"id":"ITEM-1","itemData":{"DOI":"10.1534/genetics.118.301336","ISSN":"0016-6731","PMID":"27182951","abstract":"There is a need for new interventions against the ongoing burden of vector-borne diseases such as malaria and dengue. One suggestion has been to develop genes encoding effector molecules that block parasite development within the vector, and then use the nuclease-based homing reaction as a form of gene drive to spread those genes through target populations. If the effector gene reduces the fitness of the mosquito and does not contribute to the drive, then loss-of-function mutations in the effector will eventually replace functional copies, but protection may nonetheless persist sufficiently long to provide a public health benefit. Here we present a quantitative model allowing one to predict the duration of protection as a function of the probabilities of different molecular processes during the homing reaction, various fitness effects, and the efficacy of the effector in blocking transmission. Factors that increase the duration of protection include reducing the frequency of pre-existing resistant alleles, the probability of non-recombinational DNA repair, the probability of homing-associated loss of the effector, the fitness costs of the nuclease and effector, and the completeness of parasite blocking. For target species that extend over an area much larger than the typical dispersal distance, the duration of protection is expected to be highest at the release site, and decrease away from there, eventually falling to zero, as effector-less drive constructs replace effector-containing ones. We also model an alternative strategy of using the nuclease to target an essential gene, and then linking the effector to a sequence that restores the essential function and is resistant to the nuclease. Depending upon parameter values, this approach can prolong the duration of protection. Our models highlight the key design criteria needed to achieve a desired level of public health benefit.","author":[{"dropping-particle":"","family":"Meisner","given":"Jonas","non-dropping-particle":"","parse-names":false,"suffix":""},{"dropping-particle":"","family":"Albrechtsen","given":"Anders","non-dropping-particle":"","parse-names":false,"suffix":""}],"container-title":"Genetics","id":"ITEM-1","issue":"2","issued":{"date-parts":[["2018","10"]]},"page":"719-731","title":"Inferring Population Structure and Admixture Proportions in Low-Depth NGS Data","type":"article-journal","volume":"210"},"uris":["http://www.mendeley.com/documents/?uuid=355b1a4b-54a6-41ec-ba39-fcb0aeb99343"]}],"mendeley":{"formattedCitation":"(Meisner &amp; Albrechtsen, 2018)","plainTextFormattedCitation":"(Meisner &amp; Albrechtsen, 2018)","previouslyFormattedCitation":"(Meisner &amp; Albrechtsen, 2018)"},"properties":{"noteIndex":0},"schema":"https://github.com/citation-style-language/schema/raw/master/csl-citation.json"}</w:instrText>
      </w:r>
      <w:r>
        <w:fldChar w:fldCharType="separate"/>
      </w:r>
      <w:bookmarkStart w:id="0" w:name="__Fieldmark__68439_2492555283"/>
      <w:r>
        <w:rPr>
          <w:noProof/>
        </w:rPr>
        <w:t>(</w:t>
      </w:r>
      <w:bookmarkStart w:id="1" w:name="__Fieldmark__54140_2492555283"/>
      <w:r>
        <w:rPr>
          <w:noProof/>
        </w:rPr>
        <w:t>Meisner &amp; Albrechtsen, 2018)</w:t>
      </w:r>
      <w:r>
        <w:fldChar w:fldCharType="end"/>
      </w:r>
      <w:bookmarkEnd w:id="0"/>
      <w:bookmarkEnd w:id="1"/>
      <w:r>
        <w:t xml:space="preserve"> displaying genetic split between males and females for 133 individuals based on 164,952 SNPs in the Icelandic population. Black=females (f), red=males (m), green=unknown (un), morphologically sexed in the field.</w:t>
      </w:r>
    </w:p>
    <w:p w14:paraId="77E6CDA8" w14:textId="77777777" w:rsidR="00040945" w:rsidRDefault="00040945" w:rsidP="008C3BE0">
      <w:pPr>
        <w:spacing w:after="0" w:line="480" w:lineRule="auto"/>
        <w:rPr>
          <w:rFonts w:asciiTheme="majorHAnsi" w:eastAsiaTheme="majorEastAsia" w:hAnsiTheme="majorHAnsi" w:cstheme="majorBidi"/>
          <w:color w:val="2F5496" w:themeColor="accent1" w:themeShade="BF"/>
          <w:sz w:val="26"/>
          <w:szCs w:val="26"/>
        </w:rPr>
      </w:pPr>
    </w:p>
    <w:p w14:paraId="6C6CA8C7" w14:textId="77777777" w:rsidR="00040945" w:rsidRDefault="00040945" w:rsidP="008C3BE0">
      <w:pPr>
        <w:spacing w:line="480" w:lineRule="auto"/>
        <w:jc w:val="both"/>
      </w:pPr>
      <w:r>
        <w:rPr>
          <w:noProof/>
        </w:rPr>
        <w:lastRenderedPageBreak/>
        <w:drawing>
          <wp:inline distT="0" distB="0" distL="0" distR="0" wp14:anchorId="7A7A5FE9" wp14:editId="43BE562B">
            <wp:extent cx="6324600" cy="5057775"/>
            <wp:effectExtent l="0" t="0" r="0" b="0"/>
            <wp:docPr id="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lede 18"/>
                    <pic:cNvPicPr>
                      <a:picLocks noChangeAspect="1" noChangeArrowheads="1"/>
                    </pic:cNvPicPr>
                  </pic:nvPicPr>
                  <pic:blipFill>
                    <a:blip r:embed="rId8"/>
                    <a:stretch>
                      <a:fillRect/>
                    </a:stretch>
                  </pic:blipFill>
                  <pic:spPr bwMode="auto">
                    <a:xfrm>
                      <a:off x="0" y="0"/>
                      <a:ext cx="6324600" cy="5057775"/>
                    </a:xfrm>
                    <a:prstGeom prst="rect">
                      <a:avLst/>
                    </a:prstGeom>
                  </pic:spPr>
                </pic:pic>
              </a:graphicData>
            </a:graphic>
          </wp:inline>
        </w:drawing>
      </w:r>
    </w:p>
    <w:p w14:paraId="1F93D926" w14:textId="77777777" w:rsidR="00040945" w:rsidRDefault="00040945" w:rsidP="008C3BE0">
      <w:pPr>
        <w:pStyle w:val="Billedtekst"/>
        <w:spacing w:line="480" w:lineRule="auto"/>
      </w:pPr>
      <w:r>
        <w:t xml:space="preserve">Figure S2. Variation in relative depth in comparison with scaffold size and proportion of the genome. Left y axis with dots show the variance in relative depth between scaffolds per log value, right y axis and square points show the accumulative proportion of the genome. </w:t>
      </w:r>
    </w:p>
    <w:p w14:paraId="05FE4E37" w14:textId="77777777" w:rsidR="00040945" w:rsidRPr="003C46AD" w:rsidRDefault="00040945" w:rsidP="008C3BE0">
      <w:pPr>
        <w:spacing w:line="480" w:lineRule="auto"/>
      </w:pPr>
    </w:p>
    <w:p w14:paraId="3301C00C" w14:textId="77777777" w:rsidR="001A1906" w:rsidRDefault="001A1906" w:rsidP="008C3BE0">
      <w:pPr>
        <w:keepNext/>
        <w:spacing w:line="480" w:lineRule="auto"/>
      </w:pPr>
      <w:r>
        <w:rPr>
          <w:noProof/>
        </w:rPr>
        <w:lastRenderedPageBreak/>
        <w:drawing>
          <wp:inline distT="0" distB="0" distL="0" distR="0" wp14:anchorId="0D4C85F3" wp14:editId="4BBB6277">
            <wp:extent cx="6323330" cy="3890645"/>
            <wp:effectExtent l="0" t="0" r="127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23330" cy="3890645"/>
                    </a:xfrm>
                    <a:prstGeom prst="rect">
                      <a:avLst/>
                    </a:prstGeom>
                    <a:noFill/>
                    <a:ln>
                      <a:noFill/>
                    </a:ln>
                  </pic:spPr>
                </pic:pic>
              </a:graphicData>
            </a:graphic>
          </wp:inline>
        </w:drawing>
      </w:r>
    </w:p>
    <w:p w14:paraId="65316D77" w14:textId="77777777" w:rsidR="001A1906" w:rsidRDefault="001A1906" w:rsidP="008C3BE0">
      <w:pPr>
        <w:pStyle w:val="Billedtekst"/>
        <w:spacing w:line="480" w:lineRule="auto"/>
        <w:rPr>
          <w:lang w:val="en-GB"/>
        </w:rPr>
      </w:pPr>
      <w:r>
        <w:t xml:space="preserve">Figure S3. Relative mode depth for the female (top) and male (bottom) for all scaffolds. </w:t>
      </w:r>
    </w:p>
    <w:p w14:paraId="344157A8" w14:textId="77777777" w:rsidR="001A1906" w:rsidRPr="00753775" w:rsidRDefault="001A1906" w:rsidP="008C3BE0">
      <w:pPr>
        <w:spacing w:line="480" w:lineRule="auto"/>
        <w:rPr>
          <w:lang w:val="en-GB"/>
        </w:rPr>
      </w:pPr>
    </w:p>
    <w:p w14:paraId="49CC9150" w14:textId="77777777" w:rsidR="001A1906" w:rsidRPr="00753775" w:rsidRDefault="001A1906" w:rsidP="008C3BE0">
      <w:pPr>
        <w:spacing w:after="0" w:line="480" w:lineRule="auto"/>
        <w:rPr>
          <w:lang w:val="en-GB"/>
        </w:rPr>
      </w:pPr>
      <w:r w:rsidRPr="00753775">
        <w:rPr>
          <w:rFonts w:ascii="Calibri Light" w:eastAsiaTheme="majorEastAsia" w:hAnsi="Calibri Light" w:cstheme="majorBidi"/>
          <w:noProof/>
          <w:color w:val="2F5496" w:themeColor="accent1" w:themeShade="BF"/>
          <w:sz w:val="26"/>
          <w:szCs w:val="26"/>
          <w:lang w:val="en-GB"/>
        </w:rPr>
        <w:lastRenderedPageBreak/>
        <w:drawing>
          <wp:inline distT="0" distB="0" distL="0" distR="0" wp14:anchorId="6EBD48FE" wp14:editId="6EA62956">
            <wp:extent cx="6329680" cy="3162300"/>
            <wp:effectExtent l="0" t="0" r="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29680" cy="3162300"/>
                    </a:xfrm>
                    <a:prstGeom prst="rect">
                      <a:avLst/>
                    </a:prstGeom>
                    <a:noFill/>
                    <a:ln>
                      <a:noFill/>
                    </a:ln>
                  </pic:spPr>
                </pic:pic>
              </a:graphicData>
            </a:graphic>
          </wp:inline>
        </w:drawing>
      </w:r>
    </w:p>
    <w:p w14:paraId="47EF7644" w14:textId="77777777" w:rsidR="001A1906" w:rsidRPr="00753775" w:rsidRDefault="001A1906" w:rsidP="008C3BE0">
      <w:pPr>
        <w:spacing w:after="0" w:line="480" w:lineRule="auto"/>
        <w:rPr>
          <w:lang w:val="en-GB"/>
        </w:rPr>
      </w:pPr>
      <w:r w:rsidRPr="00753775">
        <w:rPr>
          <w:rFonts w:ascii="Calibri Light" w:eastAsiaTheme="majorEastAsia" w:hAnsi="Calibri Light" w:cstheme="majorBidi"/>
          <w:noProof/>
          <w:color w:val="2F5496" w:themeColor="accent1" w:themeShade="BF"/>
          <w:sz w:val="26"/>
          <w:szCs w:val="26"/>
          <w:lang w:val="en-GB"/>
        </w:rPr>
        <mc:AlternateContent>
          <mc:Choice Requires="wps">
            <w:drawing>
              <wp:inline distT="0" distB="0" distL="0" distR="0" wp14:anchorId="778CCC30" wp14:editId="6F8248B1">
                <wp:extent cx="6332220" cy="545410"/>
                <wp:effectExtent l="0" t="0" r="0" b="6985"/>
                <wp:docPr id="9" name="Tekstfelt 17"/>
                <wp:cNvGraphicFramePr/>
                <a:graphic xmlns:a="http://schemas.openxmlformats.org/drawingml/2006/main">
                  <a:graphicData uri="http://schemas.microsoft.com/office/word/2010/wordprocessingShape">
                    <wps:wsp>
                      <wps:cNvSpPr/>
                      <wps:spPr>
                        <a:xfrm>
                          <a:off x="0" y="0"/>
                          <a:ext cx="6332220" cy="54541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56A1F356" w14:textId="77777777" w:rsidR="001A1906" w:rsidRDefault="001A1906" w:rsidP="008C3BE0">
                            <w:pPr>
                              <w:pStyle w:val="Billedtekst"/>
                              <w:spacing w:line="480" w:lineRule="auto"/>
                              <w:rPr>
                                <w:rFonts w:ascii="Calibri Light" w:eastAsiaTheme="majorEastAsia" w:hAnsi="Calibri Light" w:cstheme="majorBidi"/>
                                <w:color w:val="2F5496" w:themeColor="accent1" w:themeShade="BF"/>
                                <w:sz w:val="26"/>
                                <w:szCs w:val="26"/>
                              </w:rPr>
                            </w:pPr>
                            <w:r>
                              <w:t>Figure S4. Cumulative proportion of heterozygotic sites and of their chromosomes per scaffold, in the genome of the high depth white-tailed eagle female and male. Proportion of scaffolds on the Z-chromosome (a) and autosomes (b) and proportion of total size of the Z chromosome (c) and autosomes (d). F: female, M: male.</w:t>
                            </w:r>
                          </w:p>
                        </w:txbxContent>
                      </wps:txbx>
                      <wps:bodyPr lIns="0" tIns="0" rIns="0" bIns="0">
                        <a:spAutoFit/>
                      </wps:bodyPr>
                    </wps:wsp>
                  </a:graphicData>
                </a:graphic>
              </wp:inline>
            </w:drawing>
          </mc:Choice>
          <mc:Fallback>
            <w:pict>
              <v:rect w14:anchorId="778CCC30" id="Tekstfelt 17" o:spid="_x0000_s1026" style="width:498.6pt;height:4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" stroked="f" strokeweight="0">
                <v:textbox style="mso-fit-shape-to-text:t" inset="0,0,0,0">
                  <w:txbxContent>
                    <w:p w14:paraId="56A1F356" w14:textId="77777777" w:rsidR="001A1906" w:rsidRDefault="001A1906" w:rsidP="008C3BE0">
                      <w:pPr>
                        <w:pStyle w:val="Billedtekst"/>
                        <w:spacing w:line="480" w:lineRule="auto"/>
                        <w:rPr>
                          <w:rFonts w:ascii="Calibri Light" w:eastAsiaTheme="majorEastAsia" w:hAnsi="Calibri Light" w:cstheme="majorBidi"/>
                          <w:color w:val="2F5496" w:themeColor="accent1" w:themeShade="BF"/>
                          <w:sz w:val="26"/>
                          <w:szCs w:val="26"/>
                        </w:rPr>
                      </w:pPr>
                      <w:r>
                        <w:t>Figure S4. Cumulative proportion of heterozygotic sites and of their chromosomes per scaffold, in the genome of the high depth white-tailed eagle female and male. Proportion of scaffolds on the Z-chromosome (a) and autosomes (b) and proportion of total size of the Z chromosome (c) and autosomes (d). F: female, M: male.</w:t>
                      </w:r>
                    </w:p>
                  </w:txbxContent>
                </v:textbox>
                <w10:anchorlock/>
              </v:rect>
            </w:pict>
          </mc:Fallback>
        </mc:AlternateContent>
      </w:r>
    </w:p>
    <w:p w14:paraId="4898DE20" w14:textId="77777777" w:rsidR="001A1906" w:rsidRPr="00753775" w:rsidRDefault="001A1906" w:rsidP="008C3BE0">
      <w:pPr>
        <w:spacing w:after="0" w:line="480" w:lineRule="auto"/>
        <w:rPr>
          <w:lang w:val="en-GB"/>
        </w:rPr>
      </w:pPr>
    </w:p>
    <w:p w14:paraId="2B8E6025" w14:textId="77777777" w:rsidR="001A1906" w:rsidRPr="00753775" w:rsidRDefault="001A1906" w:rsidP="008C3BE0">
      <w:pPr>
        <w:spacing w:after="0" w:line="480" w:lineRule="auto"/>
        <w:rPr>
          <w:lang w:val="en-GB"/>
        </w:rPr>
      </w:pPr>
    </w:p>
    <w:p w14:paraId="100B4236" w14:textId="77777777" w:rsidR="001A1906" w:rsidRPr="00753775" w:rsidRDefault="001A1906" w:rsidP="008C3BE0">
      <w:pPr>
        <w:spacing w:after="0" w:line="480" w:lineRule="auto"/>
        <w:rPr>
          <w:lang w:val="en-GB"/>
        </w:rPr>
      </w:pPr>
      <w:r w:rsidRPr="00753775">
        <w:rPr>
          <w:rFonts w:ascii="Calibri Light" w:eastAsiaTheme="majorEastAsia" w:hAnsi="Calibri Light" w:cstheme="majorBidi"/>
          <w:noProof/>
          <w:color w:val="2F5496" w:themeColor="accent1" w:themeShade="BF"/>
          <w:sz w:val="26"/>
          <w:szCs w:val="26"/>
          <w:lang w:val="en-GB"/>
        </w:rPr>
        <w:lastRenderedPageBreak/>
        <w:drawing>
          <wp:inline distT="0" distB="0" distL="0" distR="0" wp14:anchorId="742BA6DC" wp14:editId="49AD29CD">
            <wp:extent cx="6332220" cy="3101340"/>
            <wp:effectExtent l="0" t="0" r="0" b="3810"/>
            <wp:docPr id="14"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332220" cy="3101340"/>
                    </a:xfrm>
                    <a:prstGeom prst="rect">
                      <a:avLst/>
                    </a:prstGeom>
                  </pic:spPr>
                </pic:pic>
              </a:graphicData>
            </a:graphic>
          </wp:inline>
        </w:drawing>
      </w:r>
    </w:p>
    <w:p w14:paraId="1AF7D222" w14:textId="77777777" w:rsidR="001A1906" w:rsidRPr="00753775" w:rsidRDefault="001A1906" w:rsidP="008C3BE0">
      <w:pPr>
        <w:spacing w:after="0" w:line="480" w:lineRule="auto"/>
        <w:rPr>
          <w:lang w:val="en-GB"/>
        </w:rPr>
      </w:pPr>
      <w:r w:rsidRPr="00753775">
        <w:rPr>
          <w:rFonts w:ascii="Calibri Light" w:eastAsiaTheme="majorEastAsia" w:hAnsi="Calibri Light" w:cstheme="majorBidi"/>
          <w:noProof/>
          <w:color w:val="2F5496" w:themeColor="accent1" w:themeShade="BF"/>
          <w:sz w:val="26"/>
          <w:szCs w:val="26"/>
          <w:lang w:val="en-GB"/>
        </w:rPr>
        <mc:AlternateContent>
          <mc:Choice Requires="wps">
            <w:drawing>
              <wp:inline distT="0" distB="0" distL="0" distR="0" wp14:anchorId="13297C43" wp14:editId="3990C133">
                <wp:extent cx="6332220" cy="532712"/>
                <wp:effectExtent l="0" t="0" r="0" b="635"/>
                <wp:docPr id="12" name="Tekstfelt 16"/>
                <wp:cNvGraphicFramePr/>
                <a:graphic xmlns:a="http://schemas.openxmlformats.org/drawingml/2006/main">
                  <a:graphicData uri="http://schemas.microsoft.com/office/word/2010/wordprocessingShape">
                    <wps:wsp>
                      <wps:cNvSpPr/>
                      <wps:spPr>
                        <a:xfrm>
                          <a:off x="0" y="0"/>
                          <a:ext cx="6332220" cy="532712"/>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E010030" w14:textId="77777777" w:rsidR="001A1906" w:rsidRDefault="001A1906" w:rsidP="008C3BE0">
                            <w:pPr>
                              <w:pStyle w:val="Billedtekst"/>
                            </w:pPr>
                            <w:r>
                              <w:t xml:space="preserve">Figure S5. Cumulative proportion of heterozygotic sites in windows of a size of 50 kb in the genome of the two  </w:t>
                            </w:r>
                          </w:p>
                          <w:p w14:paraId="2770F207" w14:textId="77777777" w:rsidR="001A1906" w:rsidRDefault="001A1906" w:rsidP="008C3BE0">
                            <w:pPr>
                              <w:pStyle w:val="Billedtekst"/>
                            </w:pPr>
                            <w:r>
                              <w:t>white-tailed eagles. a) Z-chromosome, b) autosomal chromosomes. F: female, M: male.</w:t>
                            </w:r>
                          </w:p>
                        </w:txbxContent>
                      </wps:txbx>
                      <wps:bodyPr lIns="0" tIns="0" rIns="0" bIns="0">
                        <a:spAutoFit/>
                      </wps:bodyPr>
                    </wps:wsp>
                  </a:graphicData>
                </a:graphic>
              </wp:inline>
            </w:drawing>
          </mc:Choice>
          <mc:Fallback>
            <w:pict>
              <v:rect w14:anchorId="13297C43" id="Tekstfelt 16" o:spid="_x0000_s1027" style="width:498.6pt;height:4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" stroked="f" strokeweight="0">
                <v:textbox style="mso-fit-shape-to-text:t" inset="0,0,0,0">
                  <w:txbxContent>
                    <w:p w14:paraId="1E010030" w14:textId="77777777" w:rsidR="001A1906" w:rsidRDefault="001A1906" w:rsidP="008C3BE0">
                      <w:pPr>
                        <w:pStyle w:val="Billedtekst"/>
                      </w:pPr>
                      <w:r>
                        <w:t xml:space="preserve">Figure S5. Cumulative proportion of heterozygotic sites in windows of a size of 50 kb in the genome of the two  </w:t>
                      </w:r>
                    </w:p>
                    <w:p w14:paraId="2770F207" w14:textId="77777777" w:rsidR="001A1906" w:rsidRDefault="001A1906" w:rsidP="008C3BE0">
                      <w:pPr>
                        <w:pStyle w:val="Billedtekst"/>
                      </w:pPr>
                      <w:r>
                        <w:t>white-tailed eagles. a) Z-chromosome, b) autosomal chromosomes. F: female, M: male.</w:t>
                      </w:r>
                    </w:p>
                  </w:txbxContent>
                </v:textbox>
                <w10:anchorlock/>
              </v:rect>
            </w:pict>
          </mc:Fallback>
        </mc:AlternateContent>
      </w:r>
    </w:p>
    <w:p w14:paraId="304524E4" w14:textId="77777777" w:rsidR="001A1906" w:rsidRPr="00753775" w:rsidRDefault="001A1906" w:rsidP="008C3BE0">
      <w:pPr>
        <w:spacing w:after="0" w:line="480" w:lineRule="auto"/>
        <w:rPr>
          <w:lang w:val="en-GB"/>
        </w:rPr>
      </w:pPr>
      <w:r w:rsidRPr="00753775">
        <w:rPr>
          <w:noProof/>
          <w:lang w:val="en-GB"/>
        </w:rPr>
        <w:lastRenderedPageBreak/>
        <w:drawing>
          <wp:inline distT="0" distB="0" distL="0" distR="0" wp14:anchorId="01509779" wp14:editId="0BCFBD8C">
            <wp:extent cx="6929755" cy="4619625"/>
            <wp:effectExtent l="0" t="0" r="0" b="0"/>
            <wp:docPr id="15" name="Mynd1" descr="Et billede, der indeholder bord&#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ynd1" descr="Et billede, der indeholder bord&#10;&#10;Automatisk genereret beskrivelse"/>
                    <pic:cNvPicPr>
                      <a:picLocks noChangeAspect="1" noChangeArrowheads="1"/>
                    </pic:cNvPicPr>
                  </pic:nvPicPr>
                  <pic:blipFill>
                    <a:blip r:embed="rId12"/>
                    <a:stretch>
                      <a:fillRect/>
                    </a:stretch>
                  </pic:blipFill>
                  <pic:spPr bwMode="auto">
                    <a:xfrm>
                      <a:off x="0" y="0"/>
                      <a:ext cx="6929755" cy="4619625"/>
                    </a:xfrm>
                    <a:prstGeom prst="rect">
                      <a:avLst/>
                    </a:prstGeom>
                  </pic:spPr>
                </pic:pic>
              </a:graphicData>
            </a:graphic>
          </wp:inline>
        </w:drawing>
      </w:r>
    </w:p>
    <w:p w14:paraId="67A4FDB1" w14:textId="77777777" w:rsidR="001A1906" w:rsidRPr="00753775" w:rsidRDefault="001A1906" w:rsidP="008C3BE0">
      <w:pPr>
        <w:pStyle w:val="Billedtekst"/>
        <w:spacing w:line="480" w:lineRule="auto"/>
        <w:rPr>
          <w:lang w:val="en-GB"/>
        </w:rPr>
      </w:pPr>
      <w:r w:rsidRPr="00753775">
        <w:rPr>
          <w:lang w:val="en-GB"/>
        </w:rPr>
        <w:t>Figure S</w:t>
      </w:r>
      <w:r>
        <w:rPr>
          <w:lang w:val="en-GB"/>
        </w:rPr>
        <w:t>6</w:t>
      </w:r>
      <w:r w:rsidRPr="00753775">
        <w:rPr>
          <w:lang w:val="en-GB"/>
        </w:rPr>
        <w:t xml:space="preserve">. Heterozygosity per window (50 </w:t>
      </w:r>
      <w:proofErr w:type="spellStart"/>
      <w:r w:rsidRPr="00753775">
        <w:rPr>
          <w:lang w:val="en-GB"/>
        </w:rPr>
        <w:t>Kb</w:t>
      </w:r>
      <w:proofErr w:type="spellEnd"/>
      <w:r w:rsidRPr="00753775">
        <w:rPr>
          <w:lang w:val="en-GB"/>
        </w:rPr>
        <w:t xml:space="preserve"> windows) along the scaffold for A) NW_011950951.1, B) NW_011950990.1, C) NW_011951047.1, D) NW_011951051.1.</w:t>
      </w:r>
    </w:p>
    <w:p w14:paraId="3FA5585A" w14:textId="77777777" w:rsidR="001A1906" w:rsidRPr="00753775" w:rsidRDefault="001A1906" w:rsidP="008C3BE0">
      <w:pPr>
        <w:spacing w:line="480" w:lineRule="auto"/>
        <w:rPr>
          <w:lang w:val="en-GB"/>
        </w:rPr>
      </w:pPr>
    </w:p>
    <w:p w14:paraId="453B417F" w14:textId="744096AF" w:rsidR="001A1906" w:rsidRDefault="00235FE4" w:rsidP="008C3BE0">
      <w:pPr>
        <w:pStyle w:val="Overskrift3"/>
        <w:spacing w:line="480" w:lineRule="auto"/>
        <w:rPr>
          <w:lang w:val="en-GB"/>
        </w:rPr>
      </w:pPr>
      <w:r>
        <w:rPr>
          <w:lang w:val="en-GB"/>
        </w:rPr>
        <w:t>Supplementary Table 1</w:t>
      </w:r>
    </w:p>
    <w:p w14:paraId="6CE1A39E" w14:textId="08128F9F" w:rsidR="00235FE4" w:rsidRDefault="00235FE4" w:rsidP="008C3BE0">
      <w:pPr>
        <w:spacing w:line="480" w:lineRule="auto"/>
        <w:rPr>
          <w:lang w:val="en-GB"/>
        </w:rPr>
      </w:pPr>
      <w:r>
        <w:rPr>
          <w:lang w:val="en-GB"/>
        </w:rPr>
        <w:t xml:space="preserve">See separate file. </w:t>
      </w:r>
    </w:p>
    <w:p w14:paraId="05C05B4A" w14:textId="037CC2D8" w:rsidR="00115FC7" w:rsidRPr="00115FC7" w:rsidRDefault="00115FC7" w:rsidP="008C3BE0">
      <w:pPr>
        <w:pStyle w:val="Billedtekst"/>
        <w:spacing w:line="480" w:lineRule="auto"/>
        <w:jc w:val="both"/>
      </w:pPr>
      <w:r>
        <w:rPr>
          <w:lang w:val="en-GB"/>
        </w:rPr>
        <w:t xml:space="preserve">Table S1. </w:t>
      </w:r>
      <w:r w:rsidRPr="00115FC7">
        <w:t xml:space="preserve">Full raw data file, containing all values used to refer results in the paper. </w:t>
      </w:r>
      <w:r>
        <w:t>“</w:t>
      </w:r>
      <w:proofErr w:type="spellStart"/>
      <w:r>
        <w:t>golden_contig</w:t>
      </w:r>
      <w:proofErr w:type="spellEnd"/>
      <w:r>
        <w:t>”</w:t>
      </w:r>
      <w:r w:rsidR="00E3597A">
        <w:t>:</w:t>
      </w:r>
      <w:r>
        <w:t xml:space="preserve"> </w:t>
      </w:r>
      <w:r w:rsidRPr="00115FC7">
        <w:t>Scaffold name in golden eagle scaffold assembled genome</w:t>
      </w:r>
      <w:r>
        <w:t>; “</w:t>
      </w:r>
      <w:proofErr w:type="spellStart"/>
      <w:r w:rsidR="00E3597A" w:rsidRPr="00115FC7">
        <w:t>chicken_contig_best</w:t>
      </w:r>
      <w:proofErr w:type="spellEnd"/>
      <w:r>
        <w:t>”</w:t>
      </w:r>
      <w:r w:rsidR="00E3597A">
        <w:t xml:space="preserve">: </w:t>
      </w:r>
      <w:proofErr w:type="spellStart"/>
      <w:r w:rsidR="00E3597A" w:rsidRPr="00115FC7">
        <w:t>Chromsome</w:t>
      </w:r>
      <w:proofErr w:type="spellEnd"/>
      <w:r w:rsidR="00E3597A" w:rsidRPr="00115FC7">
        <w:t xml:space="preserve"> name in chicken genome that the "</w:t>
      </w:r>
      <w:proofErr w:type="spellStart"/>
      <w:r w:rsidR="00E3597A" w:rsidRPr="00115FC7">
        <w:t>golden_contig</w:t>
      </w:r>
      <w:proofErr w:type="spellEnd"/>
      <w:r w:rsidR="00E3597A" w:rsidRPr="00115FC7">
        <w:t>" mapped best to</w:t>
      </w:r>
      <w:r w:rsidR="00E3597A">
        <w:t>; “</w:t>
      </w:r>
      <w:proofErr w:type="spellStart"/>
      <w:r w:rsidR="00E3597A" w:rsidRPr="00115FC7">
        <w:t>mapped_bases_best</w:t>
      </w:r>
      <w:proofErr w:type="spellEnd"/>
      <w:r w:rsidR="00E3597A">
        <w:t xml:space="preserve">”: </w:t>
      </w:r>
      <w:r w:rsidR="00E3597A" w:rsidRPr="00115FC7">
        <w:t>Number of bases of "</w:t>
      </w:r>
      <w:proofErr w:type="spellStart"/>
      <w:r w:rsidR="00E3597A" w:rsidRPr="00115FC7">
        <w:t>golden_contig</w:t>
      </w:r>
      <w:proofErr w:type="spellEnd"/>
      <w:r w:rsidR="00E3597A" w:rsidRPr="00115FC7">
        <w:t>" that mapped to the reported chicken chromosome</w:t>
      </w:r>
      <w:r w:rsidR="00E3597A">
        <w:t>; “</w:t>
      </w:r>
      <w:proofErr w:type="spellStart"/>
      <w:r w:rsidR="00E3597A" w:rsidRPr="00115FC7">
        <w:t>mapped_reads_best</w:t>
      </w:r>
      <w:proofErr w:type="spellEnd"/>
      <w:r w:rsidR="00E3597A">
        <w:t xml:space="preserve">”: </w:t>
      </w:r>
      <w:r w:rsidR="00E3597A" w:rsidRPr="00115FC7">
        <w:t>Number of continues reads of "</w:t>
      </w:r>
      <w:proofErr w:type="spellStart"/>
      <w:r w:rsidR="00E3597A" w:rsidRPr="00115FC7">
        <w:t>golden_contig</w:t>
      </w:r>
      <w:proofErr w:type="spellEnd"/>
      <w:r w:rsidR="00E3597A" w:rsidRPr="00115FC7">
        <w:t>" that mapped to the reported chicken chromosome</w:t>
      </w:r>
      <w:r w:rsidR="00E3597A">
        <w:t>; “</w:t>
      </w:r>
      <w:proofErr w:type="spellStart"/>
      <w:r w:rsidR="00E3597A" w:rsidRPr="00115FC7">
        <w:t>chicken_contig_secondbest</w:t>
      </w:r>
      <w:proofErr w:type="spellEnd"/>
      <w:r w:rsidR="00E3597A">
        <w:t xml:space="preserve">”: </w:t>
      </w:r>
      <w:proofErr w:type="spellStart"/>
      <w:r w:rsidR="00E3597A" w:rsidRPr="00115FC7">
        <w:lastRenderedPageBreak/>
        <w:t>Chromsome</w:t>
      </w:r>
      <w:proofErr w:type="spellEnd"/>
      <w:r w:rsidR="00E3597A" w:rsidRPr="00115FC7">
        <w:t xml:space="preserve"> name in chicken genome that the "</w:t>
      </w:r>
      <w:proofErr w:type="spellStart"/>
      <w:r w:rsidR="00E3597A" w:rsidRPr="00115FC7">
        <w:t>golden_contig</w:t>
      </w:r>
      <w:proofErr w:type="spellEnd"/>
      <w:r w:rsidR="00E3597A" w:rsidRPr="00115FC7">
        <w:t>" mapped second best to</w:t>
      </w:r>
      <w:r w:rsidR="00E3597A">
        <w:t>; “</w:t>
      </w:r>
      <w:proofErr w:type="spellStart"/>
      <w:r w:rsidR="00E3597A" w:rsidRPr="00115FC7">
        <w:t>mode_M_WZ</w:t>
      </w:r>
      <w:proofErr w:type="spellEnd"/>
      <w:r w:rsidR="00E3597A">
        <w:t xml:space="preserve">”: </w:t>
      </w:r>
      <w:r w:rsidR="00E3597A" w:rsidRPr="00115FC7">
        <w:t>Mode of sequencing depth of high depth male of "</w:t>
      </w:r>
      <w:proofErr w:type="spellStart"/>
      <w:r w:rsidR="00E3597A" w:rsidRPr="00115FC7">
        <w:t>golden_contig</w:t>
      </w:r>
      <w:proofErr w:type="spellEnd"/>
      <w:r w:rsidR="00E3597A" w:rsidRPr="00115FC7">
        <w:t>"</w:t>
      </w:r>
      <w:r w:rsidR="00E3597A">
        <w:t>; “</w:t>
      </w:r>
      <w:proofErr w:type="spellStart"/>
      <w:r w:rsidR="00E3597A" w:rsidRPr="00115FC7">
        <w:t>mode_F_XA</w:t>
      </w:r>
      <w:proofErr w:type="spellEnd"/>
      <w:r w:rsidR="00E3597A">
        <w:t xml:space="preserve">”: </w:t>
      </w:r>
      <w:r w:rsidR="00E3597A" w:rsidRPr="00115FC7">
        <w:t>Mode of sequencing depth of high depth female of "</w:t>
      </w:r>
      <w:proofErr w:type="spellStart"/>
      <w:r w:rsidR="00E3597A" w:rsidRPr="00115FC7">
        <w:t>golden_contig</w:t>
      </w:r>
      <w:proofErr w:type="spellEnd"/>
      <w:r w:rsidR="00E3597A" w:rsidRPr="00115FC7">
        <w:t>"</w:t>
      </w:r>
      <w:r w:rsidR="00E3597A">
        <w:t>; “</w:t>
      </w:r>
      <w:proofErr w:type="spellStart"/>
      <w:r w:rsidR="00E3597A" w:rsidRPr="00115FC7">
        <w:t>sd_M_WZ</w:t>
      </w:r>
      <w:proofErr w:type="spellEnd"/>
      <w:r w:rsidR="00E3597A">
        <w:t xml:space="preserve">”: </w:t>
      </w:r>
      <w:r w:rsidR="00E3597A" w:rsidRPr="00115FC7">
        <w:t>Standard deviation of mode of sequencing depth of high depth male of "</w:t>
      </w:r>
      <w:proofErr w:type="spellStart"/>
      <w:r w:rsidR="00E3597A" w:rsidRPr="00115FC7">
        <w:t>golden_contig</w:t>
      </w:r>
      <w:proofErr w:type="spellEnd"/>
      <w:r w:rsidR="00E3597A" w:rsidRPr="00115FC7">
        <w:t>"</w:t>
      </w:r>
      <w:r w:rsidR="00E3597A">
        <w:t>; “</w:t>
      </w:r>
      <w:proofErr w:type="spellStart"/>
      <w:r w:rsidR="00E3597A" w:rsidRPr="00115FC7">
        <w:t>sd_F_XA</w:t>
      </w:r>
      <w:proofErr w:type="spellEnd"/>
      <w:r w:rsidR="00E3597A">
        <w:t xml:space="preserve">”: </w:t>
      </w:r>
      <w:r w:rsidR="00E3597A" w:rsidRPr="00115FC7">
        <w:t>Standard deviation of mode of sequencing depth of high depth female of "</w:t>
      </w:r>
      <w:proofErr w:type="spellStart"/>
      <w:r w:rsidR="00E3597A" w:rsidRPr="00115FC7">
        <w:t>golden_contig</w:t>
      </w:r>
      <w:proofErr w:type="spellEnd"/>
      <w:r w:rsidR="00E3597A" w:rsidRPr="00115FC7">
        <w:t>"</w:t>
      </w:r>
      <w:r w:rsidR="00E3597A">
        <w:t>; “</w:t>
      </w:r>
      <w:proofErr w:type="spellStart"/>
      <w:r w:rsidR="00E3597A" w:rsidRPr="00115FC7">
        <w:t>length_golden_contig</w:t>
      </w:r>
      <w:proofErr w:type="spellEnd"/>
      <w:r w:rsidR="00E3597A">
        <w:t xml:space="preserve">: </w:t>
      </w:r>
      <w:r w:rsidR="00E3597A" w:rsidRPr="00115FC7">
        <w:t>Length (number of bases) of "</w:t>
      </w:r>
      <w:proofErr w:type="spellStart"/>
      <w:r w:rsidR="00E3597A" w:rsidRPr="00115FC7">
        <w:t>golden_contig</w:t>
      </w:r>
      <w:proofErr w:type="spellEnd"/>
      <w:r w:rsidR="00E3597A" w:rsidRPr="00115FC7">
        <w:t>"</w:t>
      </w:r>
      <w:r w:rsidR="00E3597A">
        <w:t>; “</w:t>
      </w:r>
      <w:r w:rsidR="00E3597A" w:rsidRPr="00115FC7">
        <w:t>X5pctile</w:t>
      </w:r>
      <w:r w:rsidR="00E3597A">
        <w:t xml:space="preserve">”: </w:t>
      </w:r>
      <w:r w:rsidR="00E3597A" w:rsidRPr="00115FC7">
        <w:t xml:space="preserve">SNP loading of the 5. </w:t>
      </w:r>
      <w:proofErr w:type="spellStart"/>
      <w:r w:rsidR="00E3597A" w:rsidRPr="00115FC7">
        <w:t>percentil</w:t>
      </w:r>
      <w:proofErr w:type="spellEnd"/>
      <w:r w:rsidR="00E3597A" w:rsidRPr="00115FC7">
        <w:t xml:space="preserve"> of "</w:t>
      </w:r>
      <w:proofErr w:type="spellStart"/>
      <w:r w:rsidR="00E3597A" w:rsidRPr="00115FC7">
        <w:t>golden_contig</w:t>
      </w:r>
      <w:proofErr w:type="spellEnd"/>
      <w:r w:rsidR="00E3597A" w:rsidRPr="00115FC7">
        <w:t>"</w:t>
      </w:r>
      <w:r w:rsidR="00E3597A">
        <w:t>; “</w:t>
      </w:r>
      <w:r w:rsidR="00E3597A" w:rsidRPr="00115FC7">
        <w:t>X95pctile</w:t>
      </w:r>
      <w:r w:rsidR="00E3597A">
        <w:t xml:space="preserve">”: </w:t>
      </w:r>
      <w:r w:rsidR="00E3597A" w:rsidRPr="00115FC7">
        <w:t xml:space="preserve">SNP loading of the 95. </w:t>
      </w:r>
      <w:proofErr w:type="spellStart"/>
      <w:r w:rsidR="00E3597A" w:rsidRPr="00115FC7">
        <w:t>percentil</w:t>
      </w:r>
      <w:proofErr w:type="spellEnd"/>
      <w:r w:rsidR="00E3597A" w:rsidRPr="00115FC7">
        <w:t xml:space="preserve"> of "</w:t>
      </w:r>
      <w:proofErr w:type="spellStart"/>
      <w:r w:rsidR="00E3597A" w:rsidRPr="00115FC7">
        <w:t>golden_contig</w:t>
      </w:r>
      <w:proofErr w:type="spellEnd"/>
      <w:r w:rsidR="00E3597A" w:rsidRPr="00115FC7">
        <w:t>"</w:t>
      </w:r>
      <w:r w:rsidR="00E3597A">
        <w:t>; “</w:t>
      </w:r>
      <w:proofErr w:type="spellStart"/>
      <w:r w:rsidR="00E3597A" w:rsidRPr="00115FC7">
        <w:t>het_m_all</w:t>
      </w:r>
      <w:proofErr w:type="spellEnd"/>
      <w:r w:rsidR="00E3597A">
        <w:t xml:space="preserve">”: </w:t>
      </w:r>
      <w:proofErr w:type="spellStart"/>
      <w:r w:rsidR="00E3597A" w:rsidRPr="00115FC7">
        <w:t>Heterozygoes</w:t>
      </w:r>
      <w:proofErr w:type="spellEnd"/>
      <w:r w:rsidR="00E3597A" w:rsidRPr="00115FC7">
        <w:t xml:space="preserve"> sites with no filtering in the high depth male in the "</w:t>
      </w:r>
      <w:proofErr w:type="spellStart"/>
      <w:r w:rsidR="00E3597A" w:rsidRPr="00115FC7">
        <w:t>golden_contig</w:t>
      </w:r>
      <w:proofErr w:type="spellEnd"/>
      <w:r w:rsidR="00E3597A" w:rsidRPr="00115FC7">
        <w:t>"</w:t>
      </w:r>
      <w:r w:rsidR="00E3597A">
        <w:t>; “</w:t>
      </w:r>
      <w:proofErr w:type="spellStart"/>
      <w:r w:rsidR="00E3597A" w:rsidRPr="00115FC7">
        <w:t>het_f_all</w:t>
      </w:r>
      <w:proofErr w:type="spellEnd"/>
      <w:r w:rsidR="00E3597A">
        <w:t xml:space="preserve">”: </w:t>
      </w:r>
      <w:proofErr w:type="spellStart"/>
      <w:r w:rsidR="00E3597A" w:rsidRPr="00115FC7">
        <w:t>Heterozygoes</w:t>
      </w:r>
      <w:proofErr w:type="spellEnd"/>
      <w:r w:rsidR="00E3597A" w:rsidRPr="00115FC7">
        <w:t xml:space="preserve"> sites with no filtering in the high depth female in the "</w:t>
      </w:r>
      <w:proofErr w:type="spellStart"/>
      <w:r w:rsidR="00E3597A" w:rsidRPr="00115FC7">
        <w:t>golden_contig</w:t>
      </w:r>
      <w:proofErr w:type="spellEnd"/>
      <w:r w:rsidR="00E3597A" w:rsidRPr="00115FC7">
        <w:t>"</w:t>
      </w:r>
      <w:r w:rsidR="00E3597A">
        <w:t>; “</w:t>
      </w:r>
      <w:proofErr w:type="spellStart"/>
      <w:r w:rsidR="00E3597A" w:rsidRPr="00115FC7">
        <w:t>het_m_filtered</w:t>
      </w:r>
      <w:proofErr w:type="spellEnd"/>
      <w:r w:rsidR="00E3597A">
        <w:t xml:space="preserve">”: </w:t>
      </w:r>
      <w:proofErr w:type="spellStart"/>
      <w:r w:rsidR="00E3597A" w:rsidRPr="00115FC7">
        <w:t>Heterozygoes</w:t>
      </w:r>
      <w:proofErr w:type="spellEnd"/>
      <w:r w:rsidR="00E3597A" w:rsidRPr="00115FC7">
        <w:t xml:space="preserve"> sites with filtering as described in the paper in the high depth male in the "</w:t>
      </w:r>
      <w:proofErr w:type="spellStart"/>
      <w:r w:rsidR="00E3597A" w:rsidRPr="00115FC7">
        <w:t>golden_contig</w:t>
      </w:r>
      <w:proofErr w:type="spellEnd"/>
      <w:r w:rsidR="00E3597A" w:rsidRPr="00115FC7">
        <w:t>"</w:t>
      </w:r>
      <w:r w:rsidR="00E3597A">
        <w:t>; “</w:t>
      </w:r>
      <w:proofErr w:type="spellStart"/>
      <w:r w:rsidR="00E3597A" w:rsidRPr="00115FC7">
        <w:t>het_f_filtered</w:t>
      </w:r>
      <w:proofErr w:type="spellEnd"/>
      <w:r w:rsidR="00E3597A">
        <w:t xml:space="preserve">”: </w:t>
      </w:r>
      <w:proofErr w:type="spellStart"/>
      <w:r w:rsidR="00E3597A" w:rsidRPr="00115FC7">
        <w:t>Heterozygoes</w:t>
      </w:r>
      <w:proofErr w:type="spellEnd"/>
      <w:r w:rsidR="00E3597A" w:rsidRPr="00115FC7">
        <w:t xml:space="preserve"> sites with filtering as described in the paper in the high depth female in the "</w:t>
      </w:r>
      <w:proofErr w:type="spellStart"/>
      <w:r w:rsidR="00E3597A" w:rsidRPr="00115FC7">
        <w:t>golden_contig</w:t>
      </w:r>
      <w:proofErr w:type="spellEnd"/>
      <w:r w:rsidR="00E3597A" w:rsidRPr="00115FC7">
        <w:t>"</w:t>
      </w:r>
      <w:r w:rsidR="00E3597A">
        <w:t>; “</w:t>
      </w:r>
      <w:proofErr w:type="spellStart"/>
      <w:r w:rsidR="00E3597A" w:rsidRPr="00115FC7">
        <w:t>TrueChromosome</w:t>
      </w:r>
      <w:proofErr w:type="spellEnd"/>
      <w:r w:rsidR="00E3597A">
        <w:t xml:space="preserve">”: </w:t>
      </w:r>
      <w:proofErr w:type="spellStart"/>
      <w:r w:rsidR="00E3597A" w:rsidRPr="00115FC7">
        <w:t>Chromsome</w:t>
      </w:r>
      <w:proofErr w:type="spellEnd"/>
      <w:r w:rsidR="00E3597A" w:rsidRPr="00115FC7">
        <w:t xml:space="preserve"> name in golden eagle chromosome assembled genome that the "</w:t>
      </w:r>
      <w:proofErr w:type="spellStart"/>
      <w:r w:rsidR="00E3597A" w:rsidRPr="00115FC7">
        <w:t>golden_contig</w:t>
      </w:r>
      <w:proofErr w:type="spellEnd"/>
      <w:r w:rsidR="00E3597A" w:rsidRPr="00115FC7">
        <w:t>" mapped to</w:t>
      </w:r>
      <w:r w:rsidR="00E3597A">
        <w:t>; “</w:t>
      </w:r>
      <w:proofErr w:type="spellStart"/>
      <w:r w:rsidR="00E3597A" w:rsidRPr="00115FC7">
        <w:t>TrueChromosomeZorA</w:t>
      </w:r>
      <w:proofErr w:type="spellEnd"/>
      <w:r w:rsidR="00E3597A">
        <w:t xml:space="preserve">”: </w:t>
      </w:r>
      <w:r w:rsidR="00E3597A" w:rsidRPr="00115FC7">
        <w:t>Separation of the chromosomes in "</w:t>
      </w:r>
      <w:proofErr w:type="spellStart"/>
      <w:r w:rsidR="00E3597A" w:rsidRPr="00115FC7">
        <w:t>TrueChromosome</w:t>
      </w:r>
      <w:proofErr w:type="spellEnd"/>
      <w:r w:rsidR="00E3597A" w:rsidRPr="00115FC7">
        <w:t>" into autosomes and Z-chromosome</w:t>
      </w:r>
      <w:r w:rsidR="00E3597A">
        <w:t>.</w:t>
      </w:r>
    </w:p>
    <w:p w14:paraId="0F56005F" w14:textId="77777777" w:rsidR="00040945" w:rsidRPr="001A1906" w:rsidRDefault="00040945" w:rsidP="00CA7F0E">
      <w:pPr>
        <w:spacing w:line="240" w:lineRule="auto"/>
        <w:rPr>
          <w:lang w:val="en-GB"/>
        </w:rPr>
      </w:pPr>
    </w:p>
    <w:p w14:paraId="7158E5F2" w14:textId="77777777" w:rsidR="00040945" w:rsidRDefault="00040945" w:rsidP="00CA7F0E">
      <w:pPr>
        <w:spacing w:line="240" w:lineRule="auto"/>
      </w:pPr>
    </w:p>
    <w:p w14:paraId="1698556A" w14:textId="77777777" w:rsidR="00673AA7" w:rsidRDefault="00673AA7" w:rsidP="00673AA7">
      <w:pPr>
        <w:pStyle w:val="Overskrift3"/>
        <w:rPr>
          <w:lang w:val="en-GB"/>
        </w:rPr>
      </w:pPr>
      <w:r>
        <w:rPr>
          <w:lang w:val="en-GB"/>
        </w:rPr>
        <w:t xml:space="preserve">Supplement text 1 - </w:t>
      </w:r>
      <w:proofErr w:type="spellStart"/>
      <w:r>
        <w:rPr>
          <w:lang w:val="en-GB"/>
        </w:rPr>
        <w:t>ddRAD</w:t>
      </w:r>
      <w:proofErr w:type="spellEnd"/>
      <w:r>
        <w:rPr>
          <w:lang w:val="en-GB"/>
        </w:rPr>
        <w:t xml:space="preserve"> library preparation and sequencing</w:t>
      </w:r>
    </w:p>
    <w:p w14:paraId="5506D31B" w14:textId="6963E71B" w:rsidR="00D12A3A" w:rsidRPr="00673AA7" w:rsidRDefault="00673AA7" w:rsidP="004275A9">
      <w:pPr>
        <w:spacing w:line="480" w:lineRule="auto"/>
        <w:jc w:val="both"/>
        <w:rPr>
          <w:lang w:val="en-GB"/>
        </w:rPr>
      </w:pPr>
      <w:r w:rsidRPr="00753775">
        <w:rPr>
          <w:lang w:val="en-GB"/>
        </w:rPr>
        <w:t>The 133 samples were prepared for double digest restriction-site associated DNA sequencing (</w:t>
      </w:r>
      <w:proofErr w:type="spellStart"/>
      <w:r w:rsidRPr="00753775">
        <w:rPr>
          <w:lang w:val="en-GB"/>
        </w:rPr>
        <w:t>ddRADseq</w:t>
      </w:r>
      <w:proofErr w:type="spellEnd"/>
      <w:r w:rsidRPr="00753775">
        <w:rPr>
          <w:lang w:val="en-GB"/>
        </w:rPr>
        <w:t xml:space="preserve">) using modified protocols from </w:t>
      </w:r>
      <w:proofErr w:type="spellStart"/>
      <w:r w:rsidRPr="00753775">
        <w:rPr>
          <w:lang w:val="en-GB"/>
        </w:rPr>
        <w:t>Elshire</w:t>
      </w:r>
      <w:proofErr w:type="spellEnd"/>
      <w:r w:rsidRPr="00753775">
        <w:rPr>
          <w:lang w:val="en-GB"/>
        </w:rPr>
        <w:t xml:space="preserve"> et al. </w:t>
      </w:r>
      <w:sdt>
        <w:sdtPr>
          <w:rPr>
            <w:color w:val="000000"/>
            <w:lang w:val="en-GB"/>
          </w:rPr>
          <w:tag w:val="MENDELEY_CITATION_v3_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"/>
          <w:id w:val="1709368636"/>
          <w:placeholder>
            <w:docPart w:val="9D8B7535064244CF959130264CDC5B5D"/>
          </w:placeholder>
        </w:sdtPr>
        <w:sdtEndPr/>
        <w:sdtContent>
          <w:r w:rsidRPr="00942DDE">
            <w:rPr>
              <w:color w:val="000000"/>
              <w:lang w:val="en-GB"/>
            </w:rPr>
            <w:t>[61]</w:t>
          </w:r>
        </w:sdtContent>
      </w:sdt>
      <w:r w:rsidRPr="00753775">
        <w:rPr>
          <w:lang w:val="en-GB"/>
        </w:rPr>
        <w:t xml:space="preserve"> and Peterson et al. </w:t>
      </w:r>
      <w:sdt>
        <w:sdtPr>
          <w:rPr>
            <w:color w:val="000000"/>
            <w:lang w:val="en-GB"/>
          </w:rPr>
          <w:tag w:val="MENDELEY_CITATION_v3_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"/>
          <w:id w:val="-1550918949"/>
          <w:placeholder>
            <w:docPart w:val="9D8B7535064244CF959130264CDC5B5D"/>
          </w:placeholder>
        </w:sdtPr>
        <w:sdtEndPr/>
        <w:sdtContent>
          <w:r w:rsidRPr="00942DDE">
            <w:rPr>
              <w:color w:val="000000"/>
              <w:lang w:val="en-GB"/>
            </w:rPr>
            <w:t>[62]</w:t>
          </w:r>
        </w:sdtContent>
      </w:sdt>
      <w:r w:rsidRPr="00753775">
        <w:rPr>
          <w:lang w:val="en-GB"/>
        </w:rPr>
        <w:t xml:space="preserve">. Total genomic DNA (100-500 ng) was sequentially digested using the restriction endonucleases Sau3AI (1U) and </w:t>
      </w:r>
      <w:proofErr w:type="spellStart"/>
      <w:r w:rsidRPr="00753775">
        <w:rPr>
          <w:lang w:val="en-GB"/>
        </w:rPr>
        <w:t>ApeKI</w:t>
      </w:r>
      <w:proofErr w:type="spellEnd"/>
      <w:r w:rsidRPr="00753775">
        <w:rPr>
          <w:lang w:val="en-GB"/>
        </w:rPr>
        <w:t xml:space="preserve"> (2U), respectively, each for four hours at manufacturer (NEB) recommended temperatures in NEB Buffer 4. Digested DNA (100 ng) was ligated to adapters (sequences in </w:t>
      </w:r>
      <w:proofErr w:type="spellStart"/>
      <w:r w:rsidRPr="00753775">
        <w:rPr>
          <w:lang w:val="en-GB"/>
        </w:rPr>
        <w:t>Elshire</w:t>
      </w:r>
      <w:proofErr w:type="spellEnd"/>
      <w:r w:rsidRPr="00753775">
        <w:rPr>
          <w:lang w:val="en-GB"/>
        </w:rPr>
        <w:t xml:space="preserve"> et al. </w:t>
      </w:r>
      <w:sdt>
        <w:sdtPr>
          <w:rPr>
            <w:color w:val="000000"/>
            <w:lang w:val="en-GB"/>
          </w:rPr>
          <w:tag w:val="MENDELEY_CITATION_v3_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"/>
          <w:id w:val="1961141745"/>
          <w:placeholder>
            <w:docPart w:val="9D8B7535064244CF959130264CDC5B5D"/>
          </w:placeholder>
        </w:sdtPr>
        <w:sdtEndPr/>
        <w:sdtContent>
          <w:r w:rsidRPr="00942DDE">
            <w:rPr>
              <w:color w:val="000000"/>
              <w:lang w:val="en-GB"/>
            </w:rPr>
            <w:t>[61]</w:t>
          </w:r>
        </w:sdtContent>
      </w:sdt>
      <w:r w:rsidRPr="00753775">
        <w:rPr>
          <w:lang w:val="en-GB"/>
        </w:rPr>
        <w:t xml:space="preserve">) containing unique combinatorial barcodes (16 unique 5 bp barcodes for </w:t>
      </w:r>
      <w:proofErr w:type="spellStart"/>
      <w:r w:rsidRPr="00753775">
        <w:rPr>
          <w:lang w:val="en-GB"/>
        </w:rPr>
        <w:t>ApeKI</w:t>
      </w:r>
      <w:proofErr w:type="spellEnd"/>
      <w:r w:rsidRPr="00753775">
        <w:rPr>
          <w:lang w:val="en-GB"/>
        </w:rPr>
        <w:t xml:space="preserve"> adapters and five unique 6 bp barcodes for Sau3AI adapters) for </w:t>
      </w:r>
      <w:proofErr w:type="gramStart"/>
      <w:r w:rsidRPr="00753775">
        <w:rPr>
          <w:lang w:val="en-GB"/>
        </w:rPr>
        <w:t>each individual</w:t>
      </w:r>
      <w:proofErr w:type="gramEnd"/>
      <w:r w:rsidRPr="00753775">
        <w:rPr>
          <w:lang w:val="en-GB"/>
        </w:rPr>
        <w:t xml:space="preserve"> (barcode and adapter sequences in Supplementary Information S1) using T4 DNA ligase (NEB) in supplied buffer at 21°C for four hours. Ligation reactions contained a 6:1 molar excess of adapter to fragmented DNA, calculated using the mean fragment size determined from an agarose gel. Ligated DNA was pooled and purified using magnetic beads (</w:t>
      </w:r>
      <w:proofErr w:type="spellStart"/>
      <w:r w:rsidRPr="00753775">
        <w:rPr>
          <w:lang w:val="en-GB"/>
        </w:rPr>
        <w:t>Macherey</w:t>
      </w:r>
      <w:proofErr w:type="spellEnd"/>
      <w:r w:rsidRPr="00753775">
        <w:rPr>
          <w:lang w:val="en-GB"/>
        </w:rPr>
        <w:t xml:space="preserve">-Nagel NGS clean-up and size selection) following the manufacturers protocol. Size selection of ligated DNA fragments was performed on a Pippin Prep (Sage Science) with 2% ethidium-free agarose gels and external size standard. The narrow range setting included a mean fragment size of 350 bp ± 18 bp. The eluate was split </w:t>
      </w:r>
      <w:r w:rsidRPr="00753775">
        <w:rPr>
          <w:lang w:val="en-GB"/>
        </w:rPr>
        <w:lastRenderedPageBreak/>
        <w:t xml:space="preserve">among eight PCR reactions and amplified using the primers and PCR conditions as in </w:t>
      </w:r>
      <w:proofErr w:type="spellStart"/>
      <w:r w:rsidRPr="00753775">
        <w:rPr>
          <w:lang w:val="en-GB"/>
        </w:rPr>
        <w:t>Elshire</w:t>
      </w:r>
      <w:proofErr w:type="spellEnd"/>
      <w:r w:rsidRPr="00753775">
        <w:rPr>
          <w:lang w:val="en-GB"/>
        </w:rPr>
        <w:t xml:space="preserve"> et al. </w:t>
      </w:r>
      <w:sdt>
        <w:sdtPr>
          <w:rPr>
            <w:color w:val="000000"/>
            <w:lang w:val="en-GB"/>
          </w:rPr>
          <w:tag w:val="MENDELEY_CITATION_v3_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"/>
          <w:id w:val="1618176117"/>
          <w:placeholder>
            <w:docPart w:val="9D8B7535064244CF959130264CDC5B5D"/>
          </w:placeholder>
        </w:sdtPr>
        <w:sdtEndPr/>
        <w:sdtContent>
          <w:r w:rsidRPr="00942DDE">
            <w:rPr>
              <w:color w:val="000000"/>
              <w:lang w:val="en-GB"/>
            </w:rPr>
            <w:t>[61]</w:t>
          </w:r>
        </w:sdtContent>
      </w:sdt>
      <w:r w:rsidRPr="00753775">
        <w:rPr>
          <w:lang w:val="en-GB"/>
        </w:rPr>
        <w:t xml:space="preserve">. Each PCR reaction had a total volume of 25 </w:t>
      </w:r>
      <w:proofErr w:type="spellStart"/>
      <w:r w:rsidRPr="00753775">
        <w:rPr>
          <w:lang w:val="en-GB"/>
        </w:rPr>
        <w:t>μL</w:t>
      </w:r>
      <w:proofErr w:type="spellEnd"/>
      <w:r w:rsidRPr="00753775">
        <w:rPr>
          <w:lang w:val="en-GB"/>
        </w:rPr>
        <w:t xml:space="preserve"> containing; 1x </w:t>
      </w:r>
      <w:proofErr w:type="spellStart"/>
      <w:r w:rsidRPr="00753775">
        <w:rPr>
          <w:lang w:val="en-GB"/>
        </w:rPr>
        <w:t>OneTaq</w:t>
      </w:r>
      <w:proofErr w:type="spellEnd"/>
      <w:r w:rsidRPr="00753775">
        <w:rPr>
          <w:lang w:val="en-GB"/>
        </w:rPr>
        <w:t xml:space="preserve"> Master Mix with Standard Buffer (NEB), 0.5 mM each primer, and 8 </w:t>
      </w:r>
      <w:proofErr w:type="spellStart"/>
      <w:r w:rsidRPr="00753775">
        <w:rPr>
          <w:lang w:val="en-GB"/>
        </w:rPr>
        <w:t>μL</w:t>
      </w:r>
      <w:proofErr w:type="spellEnd"/>
      <w:r w:rsidRPr="00753775">
        <w:rPr>
          <w:lang w:val="en-GB"/>
        </w:rPr>
        <w:t xml:space="preserve"> template DNA. PCR products were pooled and purified using magnetic beads before quantification using a SYBR Gold fluorometric assay (protocol in Supplementary Information S2). The library was prepared for sequencing following manufacturer’s instructions with a final concentration of 38 </w:t>
      </w:r>
      <w:proofErr w:type="spellStart"/>
      <w:r w:rsidRPr="00753775">
        <w:rPr>
          <w:lang w:val="en-GB"/>
        </w:rPr>
        <w:t>nM.</w:t>
      </w:r>
      <w:proofErr w:type="spellEnd"/>
      <w:r w:rsidRPr="00753775">
        <w:rPr>
          <w:lang w:val="en-GB"/>
        </w:rPr>
        <w:t xml:space="preserve"> The library was sequenced on an Illumina HiSeq2500 using the Illumina </w:t>
      </w:r>
      <w:proofErr w:type="spellStart"/>
      <w:r w:rsidRPr="00753775">
        <w:rPr>
          <w:lang w:val="en-GB"/>
        </w:rPr>
        <w:t>TruSeq</w:t>
      </w:r>
      <w:proofErr w:type="spellEnd"/>
      <w:r w:rsidRPr="00753775">
        <w:rPr>
          <w:lang w:val="en-GB"/>
        </w:rPr>
        <w:t xml:space="preserve"> kit (2x125bp) following the manufacturer’s instructions.</w:t>
      </w:r>
      <w:r w:rsidRPr="00753775">
        <w:rPr>
          <w:rFonts w:eastAsia="Calibri" w:cs="Times New Roman"/>
          <w:lang w:val="en-GB"/>
        </w:rPr>
        <w:t xml:space="preserve"> The sequencing was done on one lane and obtained 303 million unambiguous PE reads. </w:t>
      </w:r>
    </w:p>
    <w:sectPr w:rsidR="00D12A3A" w:rsidRPr="00673AA7">
      <w:headerReference w:type="even" r:id="rId13"/>
      <w:headerReference w:type="default" r:id="rId14"/>
      <w:footerReference w:type="even" r:id="rId15"/>
      <w:footerReference w:type="default" r:id="rId16"/>
      <w:headerReference w:type="first" r:id="rId17"/>
      <w:footerReference w:type="first" r:id="rId18"/>
      <w:pgSz w:w="12240" w:h="15840"/>
      <w:pgMar w:top="1701" w:right="1134" w:bottom="1701" w:left="1134" w:header="0" w:footer="0" w:gutter="0"/>
      <w:lnNumType w:countBy="1" w:distance="283" w:restart="continuous"/>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99D45" w14:textId="77777777" w:rsidR="002A3B44" w:rsidRDefault="002A3B44">
      <w:pPr>
        <w:spacing w:after="0" w:line="240" w:lineRule="auto"/>
      </w:pPr>
      <w:r>
        <w:separator/>
      </w:r>
    </w:p>
  </w:endnote>
  <w:endnote w:type="continuationSeparator" w:id="0">
    <w:p w14:paraId="17C65868" w14:textId="77777777" w:rsidR="002A3B44" w:rsidRDefault="002A3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A27D5" w14:textId="77777777" w:rsidR="007E49CB" w:rsidRDefault="002A3B44">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061820"/>
      <w:docPartObj>
        <w:docPartGallery w:val="Page Numbers (Top of Page)"/>
        <w:docPartUnique/>
      </w:docPartObj>
    </w:sdtPr>
    <w:sdtEndPr/>
    <w:sdtContent>
      <w:p w14:paraId="4FFA46CF" w14:textId="77777777" w:rsidR="00E4326E" w:rsidRDefault="00040945">
        <w:pPr>
          <w:pStyle w:val="Sidefod"/>
          <w:jc w:val="right"/>
        </w:pPr>
        <w:r>
          <w:rPr>
            <w:lang w:val="da-DK"/>
          </w:rPr>
          <w:t xml:space="preserve">Side </w:t>
        </w:r>
        <w:r>
          <w:rPr>
            <w:b/>
            <w:bCs/>
            <w:sz w:val="24"/>
            <w:szCs w:val="24"/>
          </w:rPr>
          <w:fldChar w:fldCharType="begin"/>
        </w:r>
        <w:r>
          <w:rPr>
            <w:b/>
            <w:bCs/>
            <w:sz w:val="24"/>
            <w:szCs w:val="24"/>
          </w:rPr>
          <w:instrText>PAGE</w:instrText>
        </w:r>
        <w:r>
          <w:rPr>
            <w:b/>
            <w:bCs/>
            <w:sz w:val="24"/>
            <w:szCs w:val="24"/>
          </w:rPr>
          <w:fldChar w:fldCharType="separate"/>
        </w:r>
        <w:r>
          <w:rPr>
            <w:b/>
            <w:bCs/>
            <w:noProof/>
            <w:sz w:val="24"/>
            <w:szCs w:val="24"/>
          </w:rPr>
          <w:t>34</w:t>
        </w:r>
        <w:r>
          <w:rPr>
            <w:b/>
            <w:bCs/>
            <w:sz w:val="24"/>
            <w:szCs w:val="24"/>
          </w:rPr>
          <w:fldChar w:fldCharType="end"/>
        </w:r>
        <w:r>
          <w:rPr>
            <w:lang w:val="da-DK"/>
          </w:rPr>
          <w:t xml:space="preserve"> af </w:t>
        </w:r>
        <w:r>
          <w:rPr>
            <w:b/>
            <w:bCs/>
            <w:sz w:val="24"/>
            <w:szCs w:val="24"/>
          </w:rPr>
          <w:fldChar w:fldCharType="begin"/>
        </w:r>
        <w:r>
          <w:rPr>
            <w:b/>
            <w:bCs/>
            <w:sz w:val="24"/>
            <w:szCs w:val="24"/>
          </w:rPr>
          <w:instrText>NUMPAGES</w:instrText>
        </w:r>
        <w:r>
          <w:rPr>
            <w:b/>
            <w:bCs/>
            <w:sz w:val="24"/>
            <w:szCs w:val="24"/>
          </w:rPr>
          <w:fldChar w:fldCharType="separate"/>
        </w:r>
        <w:r>
          <w:rPr>
            <w:b/>
            <w:bCs/>
            <w:noProof/>
            <w:sz w:val="24"/>
            <w:szCs w:val="24"/>
          </w:rPr>
          <w:t>34</w:t>
        </w:r>
        <w:r>
          <w:rPr>
            <w:b/>
            <w:bCs/>
            <w:sz w:val="24"/>
            <w:szCs w:val="24"/>
          </w:rPr>
          <w:fldChar w:fldCharType="end"/>
        </w:r>
      </w:p>
    </w:sdtContent>
  </w:sdt>
  <w:p w14:paraId="4F7B459F" w14:textId="77777777" w:rsidR="00E4326E" w:rsidRDefault="002A3B44">
    <w:pPr>
      <w:pStyle w:val="Sidefo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9F055" w14:textId="77777777" w:rsidR="007E49CB" w:rsidRDefault="002A3B44">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EC0A1" w14:textId="77777777" w:rsidR="002A3B44" w:rsidRDefault="002A3B44">
      <w:pPr>
        <w:spacing w:after="0" w:line="240" w:lineRule="auto"/>
      </w:pPr>
      <w:r>
        <w:separator/>
      </w:r>
    </w:p>
  </w:footnote>
  <w:footnote w:type="continuationSeparator" w:id="0">
    <w:p w14:paraId="54A57CD4" w14:textId="77777777" w:rsidR="002A3B44" w:rsidRDefault="002A3B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7FFBF" w14:textId="77777777" w:rsidR="007E49CB" w:rsidRDefault="002A3B44">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4E800" w14:textId="77777777" w:rsidR="007E49CB" w:rsidRDefault="002A3B44">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F788D" w14:textId="77777777" w:rsidR="007E49CB" w:rsidRDefault="002A3B44">
    <w:pPr>
      <w:pStyle w:val="Sidehove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945"/>
    <w:rsid w:val="00040945"/>
    <w:rsid w:val="000A78AB"/>
    <w:rsid w:val="00115FC7"/>
    <w:rsid w:val="001A1906"/>
    <w:rsid w:val="00235FE4"/>
    <w:rsid w:val="00281042"/>
    <w:rsid w:val="002A3B44"/>
    <w:rsid w:val="00367C94"/>
    <w:rsid w:val="004275A9"/>
    <w:rsid w:val="00673AA7"/>
    <w:rsid w:val="008840E9"/>
    <w:rsid w:val="008C3BE0"/>
    <w:rsid w:val="00975A79"/>
    <w:rsid w:val="00CA7F0E"/>
    <w:rsid w:val="00D12A3A"/>
    <w:rsid w:val="00D2318B"/>
    <w:rsid w:val="00E3597A"/>
    <w:rsid w:val="00EB15E6"/>
    <w:rsid w:val="00F91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8E617"/>
  <w15:chartTrackingRefBased/>
  <w15:docId w15:val="{48583CDD-4836-4971-9F43-5309AC03D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945"/>
    <w:pPr>
      <w:suppressAutoHyphens/>
    </w:pPr>
  </w:style>
  <w:style w:type="paragraph" w:styleId="Overskrift1">
    <w:name w:val="heading 1"/>
    <w:basedOn w:val="Normal"/>
    <w:next w:val="Normal"/>
    <w:link w:val="Overskrift1Tegn"/>
    <w:uiPriority w:val="9"/>
    <w:qFormat/>
    <w:rsid w:val="000409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04094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673AA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qFormat/>
    <w:rsid w:val="00040945"/>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typeiafsnit"/>
    <w:link w:val="Overskrift2"/>
    <w:uiPriority w:val="9"/>
    <w:qFormat/>
    <w:rsid w:val="00040945"/>
    <w:rPr>
      <w:rFonts w:asciiTheme="majorHAnsi" w:eastAsiaTheme="majorEastAsia" w:hAnsiTheme="majorHAnsi" w:cstheme="majorBidi"/>
      <w:color w:val="2F5496" w:themeColor="accent1" w:themeShade="BF"/>
      <w:sz w:val="26"/>
      <w:szCs w:val="26"/>
    </w:rPr>
  </w:style>
  <w:style w:type="character" w:customStyle="1" w:styleId="SidehovedTegn">
    <w:name w:val="Sidehoved Tegn"/>
    <w:basedOn w:val="Standardskrifttypeiafsnit"/>
    <w:link w:val="Sidehoved"/>
    <w:uiPriority w:val="99"/>
    <w:qFormat/>
    <w:rsid w:val="00040945"/>
  </w:style>
  <w:style w:type="character" w:customStyle="1" w:styleId="SidefodTegn">
    <w:name w:val="Sidefod Tegn"/>
    <w:basedOn w:val="Standardskrifttypeiafsnit"/>
    <w:link w:val="Sidefod"/>
    <w:uiPriority w:val="99"/>
    <w:qFormat/>
    <w:rsid w:val="00040945"/>
  </w:style>
  <w:style w:type="paragraph" w:styleId="Billedtekst">
    <w:name w:val="caption"/>
    <w:basedOn w:val="Normal"/>
    <w:next w:val="Normal"/>
    <w:uiPriority w:val="35"/>
    <w:unhideWhenUsed/>
    <w:qFormat/>
    <w:rsid w:val="00040945"/>
    <w:pPr>
      <w:spacing w:after="200" w:line="240" w:lineRule="auto"/>
    </w:pPr>
    <w:rPr>
      <w:i/>
      <w:iCs/>
      <w:color w:val="44546A" w:themeColor="text2"/>
      <w:sz w:val="18"/>
      <w:szCs w:val="18"/>
    </w:rPr>
  </w:style>
  <w:style w:type="paragraph" w:styleId="Sidehoved">
    <w:name w:val="header"/>
    <w:basedOn w:val="Normal"/>
    <w:link w:val="SidehovedTegn"/>
    <w:uiPriority w:val="99"/>
    <w:unhideWhenUsed/>
    <w:rsid w:val="00040945"/>
    <w:pPr>
      <w:suppressLineNumbers/>
      <w:tabs>
        <w:tab w:val="center" w:pos="4680"/>
        <w:tab w:val="right" w:pos="9360"/>
      </w:tabs>
      <w:spacing w:after="0" w:line="240" w:lineRule="auto"/>
    </w:pPr>
  </w:style>
  <w:style w:type="character" w:customStyle="1" w:styleId="SidehovedTegn1">
    <w:name w:val="Sidehoved Tegn1"/>
    <w:basedOn w:val="Standardskrifttypeiafsnit"/>
    <w:uiPriority w:val="99"/>
    <w:semiHidden/>
    <w:rsid w:val="00040945"/>
  </w:style>
  <w:style w:type="paragraph" w:styleId="Sidefod">
    <w:name w:val="footer"/>
    <w:basedOn w:val="Normal"/>
    <w:link w:val="SidefodTegn"/>
    <w:uiPriority w:val="99"/>
    <w:unhideWhenUsed/>
    <w:rsid w:val="00040945"/>
    <w:pPr>
      <w:suppressLineNumbers/>
      <w:tabs>
        <w:tab w:val="center" w:pos="4680"/>
        <w:tab w:val="right" w:pos="9360"/>
      </w:tabs>
      <w:spacing w:after="0" w:line="240" w:lineRule="auto"/>
    </w:pPr>
  </w:style>
  <w:style w:type="character" w:customStyle="1" w:styleId="SidefodTegn1">
    <w:name w:val="Sidefod Tegn1"/>
    <w:basedOn w:val="Standardskrifttypeiafsnit"/>
    <w:uiPriority w:val="99"/>
    <w:semiHidden/>
    <w:rsid w:val="00040945"/>
  </w:style>
  <w:style w:type="character" w:styleId="Linjenummer">
    <w:name w:val="line number"/>
    <w:basedOn w:val="Standardskrifttypeiafsnit"/>
    <w:uiPriority w:val="99"/>
    <w:semiHidden/>
    <w:unhideWhenUsed/>
    <w:rsid w:val="00040945"/>
  </w:style>
  <w:style w:type="character" w:customStyle="1" w:styleId="Overskrift3Tegn">
    <w:name w:val="Overskrift 3 Tegn"/>
    <w:basedOn w:val="Standardskrifttypeiafsnit"/>
    <w:link w:val="Overskrift3"/>
    <w:uiPriority w:val="9"/>
    <w:qFormat/>
    <w:rsid w:val="00673AA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97373">
      <w:bodyDiv w:val="1"/>
      <w:marLeft w:val="0"/>
      <w:marRight w:val="0"/>
      <w:marTop w:val="0"/>
      <w:marBottom w:val="0"/>
      <w:divBdr>
        <w:top w:val="none" w:sz="0" w:space="0" w:color="auto"/>
        <w:left w:val="none" w:sz="0" w:space="0" w:color="auto"/>
        <w:bottom w:val="none" w:sz="0" w:space="0" w:color="auto"/>
        <w:right w:val="none" w:sz="0" w:space="0" w:color="auto"/>
      </w:divBdr>
    </w:div>
    <w:div w:id="168115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D8B7535064244CF959130264CDC5B5D"/>
        <w:category>
          <w:name w:val="Generelt"/>
          <w:gallery w:val="placeholder"/>
        </w:category>
        <w:types>
          <w:type w:val="bbPlcHdr"/>
        </w:types>
        <w:behaviors>
          <w:behavior w:val="content"/>
        </w:behaviors>
        <w:guid w:val="{135CD327-7417-4E86-A232-358FAA45B55D}"/>
      </w:docPartPr>
      <w:docPartBody>
        <w:p w:rsidR="00804A18" w:rsidRDefault="00FF2D1C" w:rsidP="00FF2D1C">
          <w:pPr>
            <w:pStyle w:val="9D8B7535064244CF959130264CDC5B5D"/>
          </w:pPr>
          <w:r w:rsidRPr="00DE7638">
            <w:rPr>
              <w:rStyle w:val="Pladsholdertekst"/>
            </w:rPr>
            <w:t>Klik eller tryk her for at skrive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D1C"/>
    <w:rsid w:val="002737AF"/>
    <w:rsid w:val="00374783"/>
    <w:rsid w:val="00804A18"/>
    <w:rsid w:val="00A32BE7"/>
    <w:rsid w:val="00D1398A"/>
    <w:rsid w:val="00FF2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Pladsholdertekst">
    <w:name w:val="Placeholder Text"/>
    <w:basedOn w:val="Standardskrifttypeiafsnit"/>
    <w:uiPriority w:val="99"/>
    <w:semiHidden/>
    <w:qFormat/>
    <w:rsid w:val="00FF2D1C"/>
    <w:rPr>
      <w:color w:val="808080"/>
    </w:rPr>
  </w:style>
  <w:style w:type="paragraph" w:customStyle="1" w:styleId="9D8B7535064244CF959130264CDC5B5D">
    <w:name w:val="9D8B7535064244CF959130264CDC5B5D"/>
    <w:rsid w:val="00FF2D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1162</Words>
  <Characters>6624</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Hansen</dc:creator>
  <cp:keywords/>
  <dc:description/>
  <cp:lastModifiedBy>Charles Hansen</cp:lastModifiedBy>
  <cp:revision>9</cp:revision>
  <dcterms:created xsi:type="dcterms:W3CDTF">2021-05-03T08:08:00Z</dcterms:created>
  <dcterms:modified xsi:type="dcterms:W3CDTF">2021-09-17T09:59:00Z</dcterms:modified>
</cp:coreProperties>
</file>