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B8E34" w14:textId="77777777" w:rsidR="00AE62AF" w:rsidRDefault="00AE62AF" w:rsidP="00AE62AF"/>
    <w:p w14:paraId="604B2AD8" w14:textId="77777777" w:rsidR="00AE62AF" w:rsidRDefault="00AE62AF" w:rsidP="00AE62AF">
      <w:pPr>
        <w:pStyle w:val="Heading2"/>
      </w:pPr>
      <w:r>
        <w:t>Appendix</w:t>
      </w:r>
    </w:p>
    <w:p w14:paraId="3EB79C07" w14:textId="77777777" w:rsidR="00AE62AF" w:rsidRDefault="00AE62AF" w:rsidP="00AE62AF">
      <w:pPr>
        <w:pStyle w:val="Heading3"/>
      </w:pPr>
      <w:r>
        <w:t>Table 3: Common Predictive Features Across Studies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58"/>
        <w:gridCol w:w="2158"/>
        <w:gridCol w:w="2157"/>
        <w:gridCol w:w="2157"/>
      </w:tblGrid>
      <w:tr w:rsidR="00AE62AF" w14:paraId="1F7DD00B" w14:textId="77777777" w:rsidTr="004E1B80">
        <w:trPr>
          <w:jc w:val="center"/>
        </w:trPr>
        <w:tc>
          <w:tcPr>
            <w:tcW w:w="2160" w:type="dxa"/>
          </w:tcPr>
          <w:p w14:paraId="24E9802D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Feature Category</w:t>
            </w:r>
          </w:p>
        </w:tc>
        <w:tc>
          <w:tcPr>
            <w:tcW w:w="2160" w:type="dxa"/>
          </w:tcPr>
          <w:p w14:paraId="2CE70AB3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Specific Feature</w:t>
            </w:r>
          </w:p>
        </w:tc>
        <w:tc>
          <w:tcPr>
            <w:tcW w:w="2160" w:type="dxa"/>
          </w:tcPr>
          <w:p w14:paraId="36925264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Frequency (%)</w:t>
            </w:r>
          </w:p>
        </w:tc>
        <w:tc>
          <w:tcPr>
            <w:tcW w:w="2160" w:type="dxa"/>
          </w:tcPr>
          <w:p w14:paraId="266F863E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Typical Importance Rank</w:t>
            </w:r>
          </w:p>
        </w:tc>
      </w:tr>
      <w:tr w:rsidR="00AE62AF" w14:paraId="3F27E701" w14:textId="77777777" w:rsidTr="004E1B80">
        <w:trPr>
          <w:jc w:val="center"/>
        </w:trPr>
        <w:tc>
          <w:tcPr>
            <w:tcW w:w="2160" w:type="dxa"/>
          </w:tcPr>
          <w:p w14:paraId="38A2EF7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Demographics</w:t>
            </w:r>
          </w:p>
        </w:tc>
        <w:tc>
          <w:tcPr>
            <w:tcW w:w="2160" w:type="dxa"/>
          </w:tcPr>
          <w:p w14:paraId="5DC98E4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Age</w:t>
            </w:r>
          </w:p>
        </w:tc>
        <w:tc>
          <w:tcPr>
            <w:tcW w:w="2160" w:type="dxa"/>
          </w:tcPr>
          <w:p w14:paraId="1864492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95%</w:t>
            </w:r>
          </w:p>
        </w:tc>
        <w:tc>
          <w:tcPr>
            <w:tcW w:w="2160" w:type="dxa"/>
          </w:tcPr>
          <w:p w14:paraId="5A56632F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1–3</w:t>
            </w:r>
          </w:p>
        </w:tc>
      </w:tr>
      <w:tr w:rsidR="00AE62AF" w14:paraId="47337CAE" w14:textId="77777777" w:rsidTr="004E1B80">
        <w:trPr>
          <w:jc w:val="center"/>
        </w:trPr>
        <w:tc>
          <w:tcPr>
            <w:tcW w:w="2160" w:type="dxa"/>
          </w:tcPr>
          <w:p w14:paraId="78D5DE89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Neurological</w:t>
            </w:r>
          </w:p>
        </w:tc>
        <w:tc>
          <w:tcPr>
            <w:tcW w:w="2160" w:type="dxa"/>
          </w:tcPr>
          <w:p w14:paraId="3FC7316B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Glasgow Coma Scale (GCS)</w:t>
            </w:r>
          </w:p>
        </w:tc>
        <w:tc>
          <w:tcPr>
            <w:tcW w:w="2160" w:type="dxa"/>
          </w:tcPr>
          <w:p w14:paraId="57BFB541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88%</w:t>
            </w:r>
          </w:p>
        </w:tc>
        <w:tc>
          <w:tcPr>
            <w:tcW w:w="2160" w:type="dxa"/>
          </w:tcPr>
          <w:p w14:paraId="70996137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1–5</w:t>
            </w:r>
          </w:p>
        </w:tc>
      </w:tr>
      <w:tr w:rsidR="00AE62AF" w14:paraId="6E0B9503" w14:textId="77777777" w:rsidTr="004E1B80">
        <w:trPr>
          <w:jc w:val="center"/>
        </w:trPr>
        <w:tc>
          <w:tcPr>
            <w:tcW w:w="2160" w:type="dxa"/>
          </w:tcPr>
          <w:p w14:paraId="1D43093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Severity Scores</w:t>
            </w:r>
          </w:p>
        </w:tc>
        <w:tc>
          <w:tcPr>
            <w:tcW w:w="2160" w:type="dxa"/>
          </w:tcPr>
          <w:p w14:paraId="2FC61D7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APACHE II</w:t>
            </w:r>
          </w:p>
        </w:tc>
        <w:tc>
          <w:tcPr>
            <w:tcW w:w="2160" w:type="dxa"/>
          </w:tcPr>
          <w:p w14:paraId="5E65097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85%</w:t>
            </w:r>
          </w:p>
        </w:tc>
        <w:tc>
          <w:tcPr>
            <w:tcW w:w="2160" w:type="dxa"/>
          </w:tcPr>
          <w:p w14:paraId="6528ECA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2–6</w:t>
            </w:r>
          </w:p>
        </w:tc>
      </w:tr>
      <w:tr w:rsidR="00AE62AF" w14:paraId="660DCF1E" w14:textId="77777777" w:rsidTr="004E1B80">
        <w:trPr>
          <w:jc w:val="center"/>
        </w:trPr>
        <w:tc>
          <w:tcPr>
            <w:tcW w:w="2160" w:type="dxa"/>
          </w:tcPr>
          <w:p w14:paraId="4D6085D5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Interventions</w:t>
            </w:r>
          </w:p>
        </w:tc>
        <w:tc>
          <w:tcPr>
            <w:tcW w:w="2160" w:type="dxa"/>
          </w:tcPr>
          <w:p w14:paraId="0AFB0C0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Mechanical Ventilation</w:t>
            </w:r>
          </w:p>
        </w:tc>
        <w:tc>
          <w:tcPr>
            <w:tcW w:w="2160" w:type="dxa"/>
          </w:tcPr>
          <w:p w14:paraId="5C09459A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90%</w:t>
            </w:r>
          </w:p>
        </w:tc>
        <w:tc>
          <w:tcPr>
            <w:tcW w:w="2160" w:type="dxa"/>
          </w:tcPr>
          <w:p w14:paraId="6AC015B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1–4</w:t>
            </w:r>
          </w:p>
        </w:tc>
      </w:tr>
      <w:tr w:rsidR="00AE62AF" w14:paraId="40D0E923" w14:textId="77777777" w:rsidTr="004E1B80">
        <w:trPr>
          <w:jc w:val="center"/>
        </w:trPr>
        <w:tc>
          <w:tcPr>
            <w:tcW w:w="2160" w:type="dxa"/>
          </w:tcPr>
          <w:p w14:paraId="3ACF903C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Medications</w:t>
            </w:r>
          </w:p>
        </w:tc>
        <w:tc>
          <w:tcPr>
            <w:tcW w:w="2160" w:type="dxa"/>
          </w:tcPr>
          <w:p w14:paraId="47DD1B9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Sedative Use (Benzodiazepines)</w:t>
            </w:r>
          </w:p>
        </w:tc>
        <w:tc>
          <w:tcPr>
            <w:tcW w:w="2160" w:type="dxa"/>
          </w:tcPr>
          <w:p w14:paraId="08779EB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85%</w:t>
            </w:r>
          </w:p>
        </w:tc>
        <w:tc>
          <w:tcPr>
            <w:tcW w:w="2160" w:type="dxa"/>
          </w:tcPr>
          <w:p w14:paraId="70106A74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2–5</w:t>
            </w:r>
          </w:p>
        </w:tc>
      </w:tr>
      <w:tr w:rsidR="00AE62AF" w14:paraId="72718BDA" w14:textId="77777777" w:rsidTr="004E1B80">
        <w:trPr>
          <w:jc w:val="center"/>
        </w:trPr>
        <w:tc>
          <w:tcPr>
            <w:tcW w:w="2160" w:type="dxa"/>
          </w:tcPr>
          <w:p w14:paraId="298CCD71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Medications</w:t>
            </w:r>
          </w:p>
        </w:tc>
        <w:tc>
          <w:tcPr>
            <w:tcW w:w="2160" w:type="dxa"/>
          </w:tcPr>
          <w:p w14:paraId="19B226D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Opioid Administration</w:t>
            </w:r>
          </w:p>
        </w:tc>
        <w:tc>
          <w:tcPr>
            <w:tcW w:w="2160" w:type="dxa"/>
          </w:tcPr>
          <w:p w14:paraId="6288E82F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72%</w:t>
            </w:r>
          </w:p>
        </w:tc>
        <w:tc>
          <w:tcPr>
            <w:tcW w:w="2160" w:type="dxa"/>
          </w:tcPr>
          <w:p w14:paraId="39404A5C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3–7</w:t>
            </w:r>
          </w:p>
        </w:tc>
      </w:tr>
      <w:tr w:rsidR="00AE62AF" w14:paraId="2E9B2835" w14:textId="77777777" w:rsidTr="004E1B80">
        <w:trPr>
          <w:jc w:val="center"/>
        </w:trPr>
        <w:tc>
          <w:tcPr>
            <w:tcW w:w="2160" w:type="dxa"/>
          </w:tcPr>
          <w:p w14:paraId="090F21A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Severity Scores</w:t>
            </w:r>
          </w:p>
        </w:tc>
        <w:tc>
          <w:tcPr>
            <w:tcW w:w="2160" w:type="dxa"/>
          </w:tcPr>
          <w:p w14:paraId="248A0C0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SOFA Score</w:t>
            </w:r>
          </w:p>
        </w:tc>
        <w:tc>
          <w:tcPr>
            <w:tcW w:w="2160" w:type="dxa"/>
          </w:tcPr>
          <w:p w14:paraId="5EFB7F7E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70%</w:t>
            </w:r>
          </w:p>
        </w:tc>
        <w:tc>
          <w:tcPr>
            <w:tcW w:w="2160" w:type="dxa"/>
          </w:tcPr>
          <w:p w14:paraId="7156EBA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3–6</w:t>
            </w:r>
          </w:p>
        </w:tc>
      </w:tr>
      <w:tr w:rsidR="00AE62AF" w14:paraId="3DD9FE3E" w14:textId="77777777" w:rsidTr="004E1B80">
        <w:trPr>
          <w:jc w:val="center"/>
        </w:trPr>
        <w:tc>
          <w:tcPr>
            <w:tcW w:w="2160" w:type="dxa"/>
          </w:tcPr>
          <w:p w14:paraId="1162381F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Vital Signs</w:t>
            </w:r>
          </w:p>
        </w:tc>
        <w:tc>
          <w:tcPr>
            <w:tcW w:w="2160" w:type="dxa"/>
          </w:tcPr>
          <w:p w14:paraId="000FBFF4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Mean Arterial Pressure (MAP)</w:t>
            </w:r>
          </w:p>
        </w:tc>
        <w:tc>
          <w:tcPr>
            <w:tcW w:w="2160" w:type="dxa"/>
          </w:tcPr>
          <w:p w14:paraId="77439A1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68%</w:t>
            </w:r>
          </w:p>
        </w:tc>
        <w:tc>
          <w:tcPr>
            <w:tcW w:w="2160" w:type="dxa"/>
          </w:tcPr>
          <w:p w14:paraId="777AD21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4–8</w:t>
            </w:r>
          </w:p>
        </w:tc>
      </w:tr>
      <w:tr w:rsidR="00AE62AF" w14:paraId="48155E2F" w14:textId="77777777" w:rsidTr="004E1B80">
        <w:trPr>
          <w:jc w:val="center"/>
        </w:trPr>
        <w:tc>
          <w:tcPr>
            <w:tcW w:w="2160" w:type="dxa"/>
          </w:tcPr>
          <w:p w14:paraId="6EFB542E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Vital Signs</w:t>
            </w:r>
          </w:p>
        </w:tc>
        <w:tc>
          <w:tcPr>
            <w:tcW w:w="2160" w:type="dxa"/>
          </w:tcPr>
          <w:p w14:paraId="3AD969B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Heart Rate</w:t>
            </w:r>
          </w:p>
        </w:tc>
        <w:tc>
          <w:tcPr>
            <w:tcW w:w="2160" w:type="dxa"/>
          </w:tcPr>
          <w:p w14:paraId="41BA496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65%</w:t>
            </w:r>
          </w:p>
        </w:tc>
        <w:tc>
          <w:tcPr>
            <w:tcW w:w="2160" w:type="dxa"/>
          </w:tcPr>
          <w:p w14:paraId="229EFB24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4–8</w:t>
            </w:r>
          </w:p>
        </w:tc>
      </w:tr>
      <w:tr w:rsidR="00AE62AF" w14:paraId="4108D31A" w14:textId="77777777" w:rsidTr="004E1B80">
        <w:trPr>
          <w:jc w:val="center"/>
        </w:trPr>
        <w:tc>
          <w:tcPr>
            <w:tcW w:w="2160" w:type="dxa"/>
          </w:tcPr>
          <w:p w14:paraId="76CAFD3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Laboratory</w:t>
            </w:r>
          </w:p>
        </w:tc>
        <w:tc>
          <w:tcPr>
            <w:tcW w:w="2160" w:type="dxa"/>
          </w:tcPr>
          <w:p w14:paraId="64607C5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BUN / Creatinine</w:t>
            </w:r>
          </w:p>
        </w:tc>
        <w:tc>
          <w:tcPr>
            <w:tcW w:w="2160" w:type="dxa"/>
          </w:tcPr>
          <w:p w14:paraId="648F2EAF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75%</w:t>
            </w:r>
          </w:p>
        </w:tc>
        <w:tc>
          <w:tcPr>
            <w:tcW w:w="2160" w:type="dxa"/>
          </w:tcPr>
          <w:p w14:paraId="63FECCEF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3–7</w:t>
            </w:r>
          </w:p>
        </w:tc>
      </w:tr>
      <w:tr w:rsidR="00AE62AF" w14:paraId="2841DA9A" w14:textId="77777777" w:rsidTr="004E1B80">
        <w:trPr>
          <w:jc w:val="center"/>
        </w:trPr>
        <w:tc>
          <w:tcPr>
            <w:tcW w:w="2160" w:type="dxa"/>
          </w:tcPr>
          <w:p w14:paraId="0A9763F7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Laboratory</w:t>
            </w:r>
          </w:p>
        </w:tc>
        <w:tc>
          <w:tcPr>
            <w:tcW w:w="2160" w:type="dxa"/>
          </w:tcPr>
          <w:p w14:paraId="6CE2B43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Bilirubin</w:t>
            </w:r>
          </w:p>
        </w:tc>
        <w:tc>
          <w:tcPr>
            <w:tcW w:w="2160" w:type="dxa"/>
          </w:tcPr>
          <w:p w14:paraId="5027EE94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45%</w:t>
            </w:r>
          </w:p>
        </w:tc>
        <w:tc>
          <w:tcPr>
            <w:tcW w:w="2160" w:type="dxa"/>
          </w:tcPr>
          <w:p w14:paraId="26F88CE4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5–10</w:t>
            </w:r>
          </w:p>
        </w:tc>
      </w:tr>
      <w:tr w:rsidR="00AE62AF" w14:paraId="3BEE9801" w14:textId="77777777" w:rsidTr="004E1B80">
        <w:trPr>
          <w:jc w:val="center"/>
        </w:trPr>
        <w:tc>
          <w:tcPr>
            <w:tcW w:w="2160" w:type="dxa"/>
          </w:tcPr>
          <w:p w14:paraId="016BFC4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Laboratory</w:t>
            </w:r>
          </w:p>
        </w:tc>
        <w:tc>
          <w:tcPr>
            <w:tcW w:w="2160" w:type="dxa"/>
          </w:tcPr>
          <w:p w14:paraId="26B9B0FE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Albumin</w:t>
            </w:r>
          </w:p>
        </w:tc>
        <w:tc>
          <w:tcPr>
            <w:tcW w:w="2160" w:type="dxa"/>
          </w:tcPr>
          <w:p w14:paraId="3CC7D685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42%</w:t>
            </w:r>
          </w:p>
        </w:tc>
        <w:tc>
          <w:tcPr>
            <w:tcW w:w="2160" w:type="dxa"/>
          </w:tcPr>
          <w:p w14:paraId="597D6DEA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6–10</w:t>
            </w:r>
          </w:p>
        </w:tc>
      </w:tr>
      <w:tr w:rsidR="00AE62AF" w14:paraId="4BF48E9A" w14:textId="77777777" w:rsidTr="004E1B80">
        <w:trPr>
          <w:jc w:val="center"/>
        </w:trPr>
        <w:tc>
          <w:tcPr>
            <w:tcW w:w="2160" w:type="dxa"/>
          </w:tcPr>
          <w:p w14:paraId="4B4A2AB7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Comorbidities</w:t>
            </w:r>
          </w:p>
        </w:tc>
        <w:tc>
          <w:tcPr>
            <w:tcW w:w="2160" w:type="dxa"/>
          </w:tcPr>
          <w:p w14:paraId="77558BD7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History of Dementia/Cognitive Impairment</w:t>
            </w:r>
          </w:p>
        </w:tc>
        <w:tc>
          <w:tcPr>
            <w:tcW w:w="2160" w:type="dxa"/>
          </w:tcPr>
          <w:p w14:paraId="27E29D6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60%</w:t>
            </w:r>
          </w:p>
        </w:tc>
        <w:tc>
          <w:tcPr>
            <w:tcW w:w="2160" w:type="dxa"/>
          </w:tcPr>
          <w:p w14:paraId="3BBC9031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2–5</w:t>
            </w:r>
          </w:p>
        </w:tc>
      </w:tr>
      <w:tr w:rsidR="00AE62AF" w14:paraId="6E8DA8FA" w14:textId="77777777" w:rsidTr="004E1B80">
        <w:trPr>
          <w:jc w:val="center"/>
        </w:trPr>
        <w:tc>
          <w:tcPr>
            <w:tcW w:w="2160" w:type="dxa"/>
          </w:tcPr>
          <w:p w14:paraId="000F8BE1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Comorbidities</w:t>
            </w:r>
          </w:p>
        </w:tc>
        <w:tc>
          <w:tcPr>
            <w:tcW w:w="2160" w:type="dxa"/>
          </w:tcPr>
          <w:p w14:paraId="6F75F9B9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Diabetes Mellitus</w:t>
            </w:r>
          </w:p>
        </w:tc>
        <w:tc>
          <w:tcPr>
            <w:tcW w:w="2160" w:type="dxa"/>
          </w:tcPr>
          <w:p w14:paraId="1BFA16E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38%</w:t>
            </w:r>
          </w:p>
        </w:tc>
        <w:tc>
          <w:tcPr>
            <w:tcW w:w="2160" w:type="dxa"/>
          </w:tcPr>
          <w:p w14:paraId="644CBA2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6–10</w:t>
            </w:r>
          </w:p>
        </w:tc>
      </w:tr>
      <w:tr w:rsidR="00AE62AF" w14:paraId="4D2FF5A2" w14:textId="77777777" w:rsidTr="004E1B80">
        <w:trPr>
          <w:jc w:val="center"/>
        </w:trPr>
        <w:tc>
          <w:tcPr>
            <w:tcW w:w="2160" w:type="dxa"/>
          </w:tcPr>
          <w:p w14:paraId="4B987DF9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ICU Factors</w:t>
            </w:r>
          </w:p>
        </w:tc>
        <w:tc>
          <w:tcPr>
            <w:tcW w:w="2160" w:type="dxa"/>
          </w:tcPr>
          <w:p w14:paraId="34259CB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Length of Stay (prior to prediction)</w:t>
            </w:r>
          </w:p>
        </w:tc>
        <w:tc>
          <w:tcPr>
            <w:tcW w:w="2160" w:type="dxa"/>
          </w:tcPr>
          <w:p w14:paraId="21FACBF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55%</w:t>
            </w:r>
          </w:p>
        </w:tc>
        <w:tc>
          <w:tcPr>
            <w:tcW w:w="2160" w:type="dxa"/>
          </w:tcPr>
          <w:p w14:paraId="2D706DC5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4–8</w:t>
            </w:r>
          </w:p>
        </w:tc>
      </w:tr>
      <w:tr w:rsidR="00AE62AF" w14:paraId="5519A1E5" w14:textId="77777777" w:rsidTr="004E1B80">
        <w:trPr>
          <w:jc w:val="center"/>
        </w:trPr>
        <w:tc>
          <w:tcPr>
            <w:tcW w:w="2160" w:type="dxa"/>
          </w:tcPr>
          <w:p w14:paraId="43EF243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ICU Factors</w:t>
            </w:r>
          </w:p>
        </w:tc>
        <w:tc>
          <w:tcPr>
            <w:tcW w:w="2160" w:type="dxa"/>
          </w:tcPr>
          <w:p w14:paraId="484E109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Admission Type (Emergency vs. Elective)</w:t>
            </w:r>
          </w:p>
        </w:tc>
        <w:tc>
          <w:tcPr>
            <w:tcW w:w="2160" w:type="dxa"/>
          </w:tcPr>
          <w:p w14:paraId="75DEBE20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50%</w:t>
            </w:r>
          </w:p>
        </w:tc>
        <w:tc>
          <w:tcPr>
            <w:tcW w:w="2160" w:type="dxa"/>
          </w:tcPr>
          <w:p w14:paraId="7D30D2F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5–9</w:t>
            </w:r>
          </w:p>
        </w:tc>
      </w:tr>
    </w:tbl>
    <w:p w14:paraId="5364C481" w14:textId="77777777" w:rsidR="00AE62AF" w:rsidRDefault="00AE62AF" w:rsidP="00AE62AF">
      <w:pPr>
        <w:pStyle w:val="BodyText"/>
      </w:pPr>
      <w:r>
        <w:t>Abbreviations: APACHE = Acute Physiology and Chronic Health Evaluation; SOFA = Sequential Organ Failure Assessment; GCS = Glasgow Coma Scale; MAP = Mean Arterial Pressure; SBP = Systolic Blood Pressure; DBP = Diastolic Blood Pressure; SpO2 = Peripheral Oxygen Saturation; BUN = Blood Urea Nitrogen.</w:t>
      </w:r>
    </w:p>
    <w:p w14:paraId="5BD35B6F" w14:textId="77777777" w:rsidR="00AE62AF" w:rsidRDefault="00AE62AF" w:rsidP="00AE62AF">
      <w:pPr>
        <w:pStyle w:val="Heading3"/>
      </w:pPr>
      <w:r>
        <w:t>Table 4: Quality Assessment Summary (PROBAST Domains)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6"/>
        <w:gridCol w:w="1725"/>
        <w:gridCol w:w="1726"/>
        <w:gridCol w:w="1726"/>
        <w:gridCol w:w="1727"/>
      </w:tblGrid>
      <w:tr w:rsidR="00AE62AF" w14:paraId="78511CD7" w14:textId="77777777" w:rsidTr="004E1B80">
        <w:trPr>
          <w:jc w:val="center"/>
        </w:trPr>
        <w:tc>
          <w:tcPr>
            <w:tcW w:w="1728" w:type="dxa"/>
          </w:tcPr>
          <w:p w14:paraId="5667919B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PROBAST Domain</w:t>
            </w:r>
          </w:p>
        </w:tc>
        <w:tc>
          <w:tcPr>
            <w:tcW w:w="1728" w:type="dxa"/>
          </w:tcPr>
          <w:p w14:paraId="5E49D0CE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Low Risk (%)</w:t>
            </w:r>
          </w:p>
        </w:tc>
        <w:tc>
          <w:tcPr>
            <w:tcW w:w="1728" w:type="dxa"/>
          </w:tcPr>
          <w:p w14:paraId="50DC6572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High Risk (%)</w:t>
            </w:r>
          </w:p>
        </w:tc>
        <w:tc>
          <w:tcPr>
            <w:tcW w:w="1728" w:type="dxa"/>
          </w:tcPr>
          <w:p w14:paraId="322CB4DC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Unclear (%)</w:t>
            </w:r>
          </w:p>
        </w:tc>
        <w:tc>
          <w:tcPr>
            <w:tcW w:w="1728" w:type="dxa"/>
          </w:tcPr>
          <w:p w14:paraId="78232BB8" w14:textId="77777777" w:rsidR="00AE62AF" w:rsidRDefault="00AE62AF" w:rsidP="004E1B80">
            <w:r>
              <w:rPr>
                <w:rFonts w:ascii="Times New Roman" w:hAnsi="Times New Roman"/>
                <w:b/>
                <w:sz w:val="16"/>
              </w:rPr>
              <w:t>Common Issues</w:t>
            </w:r>
          </w:p>
        </w:tc>
      </w:tr>
      <w:tr w:rsidR="00AE62AF" w14:paraId="6B571713" w14:textId="77777777" w:rsidTr="004E1B80">
        <w:trPr>
          <w:jc w:val="center"/>
        </w:trPr>
        <w:tc>
          <w:tcPr>
            <w:tcW w:w="1728" w:type="dxa"/>
          </w:tcPr>
          <w:p w14:paraId="5ACC4CA1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lastRenderedPageBreak/>
              <w:t>Participants</w:t>
            </w:r>
          </w:p>
        </w:tc>
        <w:tc>
          <w:tcPr>
            <w:tcW w:w="1728" w:type="dxa"/>
          </w:tcPr>
          <w:p w14:paraId="6AA4A550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72%</w:t>
            </w:r>
          </w:p>
        </w:tc>
        <w:tc>
          <w:tcPr>
            <w:tcW w:w="1728" w:type="dxa"/>
          </w:tcPr>
          <w:p w14:paraId="4966CC5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17%</w:t>
            </w:r>
          </w:p>
        </w:tc>
        <w:tc>
          <w:tcPr>
            <w:tcW w:w="1728" w:type="dxa"/>
          </w:tcPr>
          <w:p w14:paraId="07B952F7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11%</w:t>
            </w:r>
          </w:p>
        </w:tc>
        <w:tc>
          <w:tcPr>
            <w:tcW w:w="1728" w:type="dxa"/>
          </w:tcPr>
          <w:p w14:paraId="6BB073CB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Selection bias; single-center designs</w:t>
            </w:r>
          </w:p>
        </w:tc>
      </w:tr>
      <w:tr w:rsidR="00AE62AF" w14:paraId="154DCB18" w14:textId="77777777" w:rsidTr="004E1B80">
        <w:trPr>
          <w:jc w:val="center"/>
        </w:trPr>
        <w:tc>
          <w:tcPr>
            <w:tcW w:w="1728" w:type="dxa"/>
          </w:tcPr>
          <w:p w14:paraId="071D1623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Predictors</w:t>
            </w:r>
          </w:p>
        </w:tc>
        <w:tc>
          <w:tcPr>
            <w:tcW w:w="1728" w:type="dxa"/>
          </w:tcPr>
          <w:p w14:paraId="01E6F54A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81%</w:t>
            </w:r>
          </w:p>
        </w:tc>
        <w:tc>
          <w:tcPr>
            <w:tcW w:w="1728" w:type="dxa"/>
          </w:tcPr>
          <w:p w14:paraId="145CD0AE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8%</w:t>
            </w:r>
          </w:p>
        </w:tc>
        <w:tc>
          <w:tcPr>
            <w:tcW w:w="1728" w:type="dxa"/>
          </w:tcPr>
          <w:p w14:paraId="47BE70EA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11%</w:t>
            </w:r>
          </w:p>
        </w:tc>
        <w:tc>
          <w:tcPr>
            <w:tcW w:w="1728" w:type="dxa"/>
          </w:tcPr>
          <w:p w14:paraId="6FFE995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Measurement timing inconsistency</w:t>
            </w:r>
          </w:p>
        </w:tc>
      </w:tr>
      <w:tr w:rsidR="00AE62AF" w14:paraId="6AF82551" w14:textId="77777777" w:rsidTr="004E1B80">
        <w:trPr>
          <w:jc w:val="center"/>
        </w:trPr>
        <w:tc>
          <w:tcPr>
            <w:tcW w:w="1728" w:type="dxa"/>
          </w:tcPr>
          <w:p w14:paraId="64751096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Outcome</w:t>
            </w:r>
          </w:p>
        </w:tc>
        <w:tc>
          <w:tcPr>
            <w:tcW w:w="1728" w:type="dxa"/>
          </w:tcPr>
          <w:p w14:paraId="7A0A4585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86%</w:t>
            </w:r>
          </w:p>
        </w:tc>
        <w:tc>
          <w:tcPr>
            <w:tcW w:w="1728" w:type="dxa"/>
          </w:tcPr>
          <w:p w14:paraId="771A094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6%</w:t>
            </w:r>
          </w:p>
        </w:tc>
        <w:tc>
          <w:tcPr>
            <w:tcW w:w="1728" w:type="dxa"/>
          </w:tcPr>
          <w:p w14:paraId="3CE21240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8%</w:t>
            </w:r>
          </w:p>
        </w:tc>
        <w:tc>
          <w:tcPr>
            <w:tcW w:w="1728" w:type="dxa"/>
          </w:tcPr>
          <w:p w14:paraId="47E3030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CAM-ICU timing variability</w:t>
            </w:r>
          </w:p>
        </w:tc>
      </w:tr>
      <w:tr w:rsidR="00AE62AF" w14:paraId="7D390429" w14:textId="77777777" w:rsidTr="004E1B80">
        <w:trPr>
          <w:jc w:val="center"/>
        </w:trPr>
        <w:tc>
          <w:tcPr>
            <w:tcW w:w="1728" w:type="dxa"/>
          </w:tcPr>
          <w:p w14:paraId="4CBC8558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Analysis</w:t>
            </w:r>
          </w:p>
        </w:tc>
        <w:tc>
          <w:tcPr>
            <w:tcW w:w="1728" w:type="dxa"/>
          </w:tcPr>
          <w:p w14:paraId="7754509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56%</w:t>
            </w:r>
          </w:p>
        </w:tc>
        <w:tc>
          <w:tcPr>
            <w:tcW w:w="1728" w:type="dxa"/>
          </w:tcPr>
          <w:p w14:paraId="78A59A75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33%</w:t>
            </w:r>
          </w:p>
        </w:tc>
        <w:tc>
          <w:tcPr>
            <w:tcW w:w="1728" w:type="dxa"/>
          </w:tcPr>
          <w:p w14:paraId="04236B6D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11%</w:t>
            </w:r>
          </w:p>
        </w:tc>
        <w:tc>
          <w:tcPr>
            <w:tcW w:w="1728" w:type="dxa"/>
          </w:tcPr>
          <w:p w14:paraId="5DDCDDE2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Inadequate sample size; no external validation</w:t>
            </w:r>
          </w:p>
        </w:tc>
      </w:tr>
      <w:tr w:rsidR="00AE62AF" w14:paraId="737CEDA9" w14:textId="77777777" w:rsidTr="004E1B80">
        <w:trPr>
          <w:jc w:val="center"/>
        </w:trPr>
        <w:tc>
          <w:tcPr>
            <w:tcW w:w="1728" w:type="dxa"/>
          </w:tcPr>
          <w:p w14:paraId="0F6189AA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Overall</w:t>
            </w:r>
          </w:p>
        </w:tc>
        <w:tc>
          <w:tcPr>
            <w:tcW w:w="1728" w:type="dxa"/>
          </w:tcPr>
          <w:p w14:paraId="2BEB0079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69%</w:t>
            </w:r>
          </w:p>
        </w:tc>
        <w:tc>
          <w:tcPr>
            <w:tcW w:w="1728" w:type="dxa"/>
          </w:tcPr>
          <w:p w14:paraId="717DE0E5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31%</w:t>
            </w:r>
          </w:p>
        </w:tc>
        <w:tc>
          <w:tcPr>
            <w:tcW w:w="1728" w:type="dxa"/>
          </w:tcPr>
          <w:p w14:paraId="0529A137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—</w:t>
            </w:r>
          </w:p>
        </w:tc>
        <w:tc>
          <w:tcPr>
            <w:tcW w:w="1728" w:type="dxa"/>
          </w:tcPr>
          <w:p w14:paraId="291A5D60" w14:textId="77777777" w:rsidR="00AE62AF" w:rsidRDefault="00AE62AF" w:rsidP="004E1B80">
            <w:r>
              <w:rPr>
                <w:rFonts w:ascii="Times New Roman" w:hAnsi="Times New Roman"/>
                <w:sz w:val="16"/>
              </w:rPr>
              <w:t>Lack of external validation most common</w:t>
            </w:r>
          </w:p>
        </w:tc>
      </w:tr>
    </w:tbl>
    <w:p w14:paraId="1AB658AB" w14:textId="77777777" w:rsidR="00AE62AF" w:rsidRDefault="00AE62AF" w:rsidP="00AE62AF">
      <w:pPr>
        <w:pStyle w:val="BodyText"/>
      </w:pPr>
      <w:r>
        <w:t>PROBAST Domains: Participants (selection bias, representativeness); Predictors (measurement, availability at prediction time); Outcome (definition, assessment method); Analysis (sample size, missing data handling, validation).</w:t>
      </w:r>
    </w:p>
    <w:p w14:paraId="60745DBA" w14:textId="77777777" w:rsidR="00AE62AF" w:rsidRDefault="00AE62AF" w:rsidP="00AE62AF"/>
    <w:p w14:paraId="1EB67C7E" w14:textId="77777777" w:rsidR="00DE6AE2" w:rsidRDefault="00DE6AE2"/>
    <w:sectPr w:rsidR="00DE6AE2" w:rsidSect="00AE62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2AF"/>
    <w:rsid w:val="00195413"/>
    <w:rsid w:val="003D0186"/>
    <w:rsid w:val="007278E4"/>
    <w:rsid w:val="00A3738C"/>
    <w:rsid w:val="00AE62AF"/>
    <w:rsid w:val="00B72FB6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5ED35"/>
  <w15:chartTrackingRefBased/>
  <w15:docId w15:val="{058E210A-4123-475F-B9AD-8F13BFBF1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2AF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62A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62A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62A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2A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2A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2A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2A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2A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2A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E6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E62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2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2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2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2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2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2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6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2A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6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2AF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62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2AF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62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2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2A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AE62A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E62AF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243</Words>
  <Characters>1525</Characters>
  <Application>Microsoft Office Word</Application>
  <DocSecurity>0</DocSecurity>
  <Lines>37</Lines>
  <Paragraphs>19</Paragraphs>
  <ScaleCrop>false</ScaleCrop>
  <Company>Springer Nature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2026-03-11T08:46:00Z</dcterms:created>
  <dcterms:modified xsi:type="dcterms:W3CDTF">2026-03-11T08:47:00Z</dcterms:modified>
</cp:coreProperties>
</file>