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1DDEE" w14:textId="77777777" w:rsidR="002A2BAA" w:rsidRDefault="002A2BAA" w:rsidP="002A2BAA">
      <w:pPr>
        <w:spacing w:line="360" w:lineRule="auto"/>
        <w:rPr>
          <w:rFonts w:ascii="Arial" w:eastAsia="Arial" w:hAnsi="Arial" w:cs="Arial"/>
          <w:b/>
          <w:bCs/>
          <w:caps/>
          <w:color w:val="333333"/>
          <w:sz w:val="22"/>
          <w:szCs w:val="22"/>
          <w:highlight w:val="white"/>
          <w:lang w:val="en-US"/>
        </w:rPr>
      </w:pPr>
      <w:r>
        <w:rPr>
          <w:rFonts w:ascii="Arial" w:eastAsia="Arial" w:hAnsi="Arial" w:cs="Arial"/>
          <w:b/>
          <w:bCs/>
          <w:caps/>
          <w:color w:val="333333"/>
          <w:sz w:val="22"/>
          <w:szCs w:val="22"/>
          <w:highlight w:val="white"/>
          <w:lang w:val="en-US"/>
        </w:rPr>
        <w:t>Supplemental Information titles and legends</w:t>
      </w:r>
    </w:p>
    <w:p w14:paraId="06FBCBBB" w14:textId="77777777" w:rsidR="002A2BAA" w:rsidRDefault="002A2BAA" w:rsidP="002A2BAA">
      <w:pPr>
        <w:spacing w:line="360" w:lineRule="auto"/>
        <w:rPr>
          <w:rFonts w:ascii="Arial" w:eastAsia="Arial" w:hAnsi="Arial" w:cs="Arial"/>
          <w:color w:val="333333"/>
          <w:sz w:val="22"/>
          <w:szCs w:val="22"/>
          <w:highlight w:val="white"/>
          <w:lang w:val="en-US"/>
        </w:rPr>
      </w:pPr>
    </w:p>
    <w:p w14:paraId="04C3775D" w14:textId="77777777" w:rsidR="002A2BAA" w:rsidRDefault="002A2BAA" w:rsidP="002A2BAA">
      <w:pPr>
        <w:spacing w:line="360" w:lineRule="auto"/>
        <w:rPr>
          <w:rFonts w:ascii="Arial" w:eastAsia="Arial" w:hAnsi="Arial" w:cs="Arial"/>
          <w:sz w:val="22"/>
          <w:szCs w:val="22"/>
          <w:lang w:val="en-US"/>
        </w:rPr>
      </w:pPr>
      <w:r>
        <w:rPr>
          <w:noProof/>
        </w:rPr>
        <w:drawing>
          <wp:inline distT="0" distB="8890" distL="0" distR="0" wp14:anchorId="202FE7E5" wp14:editId="68E004A5">
            <wp:extent cx="5961380" cy="6334760"/>
            <wp:effectExtent l="0" t="0" r="0" b="0"/>
            <wp:docPr id="6" name="Picture 30"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30" descr="A screenshot of a computer&#10;&#10;Description automatically generated with medium confidence"/>
                    <pic:cNvPicPr>
                      <a:picLocks noChangeAspect="1" noChangeArrowheads="1"/>
                    </pic:cNvPicPr>
                  </pic:nvPicPr>
                  <pic:blipFill>
                    <a:blip r:embed="rId4"/>
                    <a:stretch>
                      <a:fillRect/>
                    </a:stretch>
                  </pic:blipFill>
                  <pic:spPr bwMode="auto">
                    <a:xfrm>
                      <a:off x="0" y="0"/>
                      <a:ext cx="5961380" cy="6334760"/>
                    </a:xfrm>
                    <a:prstGeom prst="rect">
                      <a:avLst/>
                    </a:prstGeom>
                  </pic:spPr>
                </pic:pic>
              </a:graphicData>
            </a:graphic>
          </wp:inline>
        </w:drawing>
      </w:r>
    </w:p>
    <w:p w14:paraId="59C6E7A0" w14:textId="77777777" w:rsidR="002A2BAA" w:rsidRDefault="002A2BAA" w:rsidP="002A2BAA">
      <w:pPr>
        <w:spacing w:line="360" w:lineRule="auto"/>
        <w:jc w:val="both"/>
        <w:rPr>
          <w:rFonts w:ascii="Arial" w:eastAsia="Arial" w:hAnsi="Arial" w:cs="Arial"/>
          <w:sz w:val="22"/>
          <w:szCs w:val="22"/>
          <w:lang w:val="en-US"/>
        </w:rPr>
      </w:pPr>
      <w:r>
        <w:rPr>
          <w:rFonts w:ascii="Arial" w:eastAsia="Arial" w:hAnsi="Arial" w:cs="Arial"/>
          <w:b/>
          <w:sz w:val="22"/>
          <w:szCs w:val="22"/>
          <w:lang w:val="en-US"/>
        </w:rPr>
        <w:t>Fig. S1.</w:t>
      </w:r>
      <w:r>
        <w:rPr>
          <w:rFonts w:ascii="Arial" w:eastAsia="Arial" w:hAnsi="Arial" w:cs="Arial"/>
          <w:sz w:val="22"/>
          <w:szCs w:val="22"/>
          <w:lang w:val="en-US"/>
        </w:rPr>
        <w:t xml:space="preserve"> </w:t>
      </w:r>
      <w:r>
        <w:rPr>
          <w:rFonts w:ascii="Arial" w:eastAsia="Arial" w:hAnsi="Arial" w:cs="Arial"/>
          <w:b/>
          <w:bCs/>
          <w:sz w:val="22"/>
          <w:szCs w:val="22"/>
          <w:lang w:val="en-US"/>
        </w:rPr>
        <w:t>Growth curves of remaining tumors left in situ after surgical removal of the contralateral AB1 and Renca tumors.</w:t>
      </w:r>
      <w:r>
        <w:rPr>
          <w:rFonts w:ascii="Arial" w:eastAsia="Arial" w:hAnsi="Arial" w:cs="Arial"/>
          <w:sz w:val="22"/>
          <w:szCs w:val="22"/>
          <w:lang w:val="en-US"/>
        </w:rPr>
        <w:t xml:space="preserve"> Mice bearing contralateral tumors had one tumor removed for RNA sequencing, with the remaining tumor monitored for response to ICB. (</w:t>
      </w:r>
      <w:r>
        <w:rPr>
          <w:rFonts w:ascii="Arial" w:eastAsia="Arial" w:hAnsi="Arial" w:cs="Arial"/>
          <w:b/>
          <w:bCs/>
          <w:sz w:val="22"/>
          <w:szCs w:val="22"/>
          <w:lang w:val="en-US"/>
        </w:rPr>
        <w:t>A</w:t>
      </w:r>
      <w:r>
        <w:rPr>
          <w:rFonts w:ascii="Arial" w:eastAsia="Arial" w:hAnsi="Arial" w:cs="Arial"/>
          <w:sz w:val="22"/>
          <w:szCs w:val="22"/>
          <w:lang w:val="en-US"/>
        </w:rPr>
        <w:t>) AB1 tumors were treated with ICB on day 8, and one tumor excised 1 hour, 2, 4, or 6 days after. (</w:t>
      </w:r>
      <w:r>
        <w:rPr>
          <w:rFonts w:ascii="Arial" w:eastAsia="Arial" w:hAnsi="Arial" w:cs="Arial"/>
          <w:b/>
          <w:bCs/>
          <w:sz w:val="22"/>
          <w:szCs w:val="22"/>
          <w:lang w:val="en-US"/>
        </w:rPr>
        <w:t>B</w:t>
      </w:r>
      <w:r>
        <w:rPr>
          <w:rFonts w:ascii="Arial" w:eastAsia="Arial" w:hAnsi="Arial" w:cs="Arial"/>
          <w:sz w:val="22"/>
          <w:szCs w:val="22"/>
          <w:lang w:val="en-US"/>
        </w:rPr>
        <w:t xml:space="preserve">) Renca tumors were treated with ICB on day 10, and one tumor excised 1 hour, 2, 4, or 6 days </w:t>
      </w:r>
      <w:r>
        <w:rPr>
          <w:rFonts w:ascii="Arial" w:eastAsia="Arial" w:hAnsi="Arial" w:cs="Arial"/>
          <w:sz w:val="22"/>
          <w:szCs w:val="22"/>
          <w:lang w:val="en-US"/>
        </w:rPr>
        <w:lastRenderedPageBreak/>
        <w:t>after. Tumors were categorized as responders (red lines) or non-responders (blue lines). Dotted line = beginning of ICB treatment. Dashed line = day of surgical removal of tumor on right side. (</w:t>
      </w:r>
      <w:r>
        <w:rPr>
          <w:rFonts w:ascii="Arial" w:eastAsia="Arial" w:hAnsi="Arial" w:cs="Arial"/>
          <w:b/>
          <w:bCs/>
          <w:sz w:val="22"/>
          <w:szCs w:val="22"/>
          <w:lang w:val="en-US"/>
        </w:rPr>
        <w:t>C</w:t>
      </w:r>
      <w:r>
        <w:rPr>
          <w:rFonts w:ascii="Arial" w:eastAsia="Arial" w:hAnsi="Arial" w:cs="Arial"/>
          <w:sz w:val="22"/>
          <w:szCs w:val="22"/>
          <w:lang w:val="en-US"/>
        </w:rPr>
        <w:t>) CIBERSORTx cell deconvolution analysis of responder (RS) and non-responder (NR) tumors over time, showing all cell subsets. (</w:t>
      </w:r>
      <w:r>
        <w:rPr>
          <w:rFonts w:ascii="Arial" w:eastAsia="Arial" w:hAnsi="Arial" w:cs="Arial"/>
          <w:b/>
          <w:bCs/>
          <w:sz w:val="22"/>
          <w:szCs w:val="22"/>
          <w:lang w:val="en-US"/>
        </w:rPr>
        <w:t>D</w:t>
      </w:r>
      <w:r>
        <w:rPr>
          <w:rFonts w:ascii="Arial" w:eastAsia="Arial" w:hAnsi="Arial" w:cs="Arial"/>
          <w:sz w:val="22"/>
          <w:szCs w:val="22"/>
          <w:lang w:val="en-US"/>
        </w:rPr>
        <w:t>) Dynamics of NK cells, M2 macrophages and M1 macrophages in responders (red) and non-responders (blue) over time in the AB1 (left) and Renca (right) models. Bars represent standard deviation.</w:t>
      </w:r>
    </w:p>
    <w:p w14:paraId="3EB0D1D9" w14:textId="77777777" w:rsidR="002A2BAA" w:rsidRDefault="002A2BAA" w:rsidP="002A2BAA">
      <w:pPr>
        <w:spacing w:line="360" w:lineRule="auto"/>
        <w:rPr>
          <w:rFonts w:ascii="Arial" w:eastAsia="Arial" w:hAnsi="Arial" w:cs="Arial"/>
          <w:sz w:val="22"/>
          <w:szCs w:val="22"/>
          <w:lang w:val="en-US"/>
        </w:rPr>
      </w:pPr>
      <w:r>
        <w:br w:type="page"/>
      </w:r>
    </w:p>
    <w:p w14:paraId="206F3AD0" w14:textId="77777777" w:rsidR="002A2BAA" w:rsidRDefault="002A2BAA" w:rsidP="002A2BAA">
      <w:pPr>
        <w:spacing w:line="360" w:lineRule="auto"/>
        <w:rPr>
          <w:rFonts w:ascii="Arial" w:eastAsia="Arial" w:hAnsi="Arial" w:cs="Arial"/>
          <w:sz w:val="22"/>
          <w:szCs w:val="22"/>
          <w:lang w:val="en-US"/>
        </w:rPr>
      </w:pPr>
      <w:r>
        <w:rPr>
          <w:noProof/>
        </w:rPr>
        <w:lastRenderedPageBreak/>
        <w:drawing>
          <wp:inline distT="0" distB="0" distL="0" distR="0" wp14:anchorId="751F2094" wp14:editId="4631CA85">
            <wp:extent cx="5731510" cy="2611755"/>
            <wp:effectExtent l="0" t="0" r="0" b="0"/>
            <wp:docPr id="7" name="image13.png"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3.png" descr="A screenshot of a computer&#10;&#10;Description automatically generated with medium confidence"/>
                    <pic:cNvPicPr>
                      <a:picLocks noChangeAspect="1" noChangeArrowheads="1"/>
                    </pic:cNvPicPr>
                  </pic:nvPicPr>
                  <pic:blipFill>
                    <a:blip r:embed="rId5"/>
                    <a:stretch>
                      <a:fillRect/>
                    </a:stretch>
                  </pic:blipFill>
                  <pic:spPr bwMode="auto">
                    <a:xfrm>
                      <a:off x="0" y="0"/>
                      <a:ext cx="5731510" cy="2611755"/>
                    </a:xfrm>
                    <a:prstGeom prst="rect">
                      <a:avLst/>
                    </a:prstGeom>
                  </pic:spPr>
                </pic:pic>
              </a:graphicData>
            </a:graphic>
          </wp:inline>
        </w:drawing>
      </w:r>
    </w:p>
    <w:p w14:paraId="66301441" w14:textId="77777777" w:rsidR="002A2BAA" w:rsidRDefault="002A2BAA" w:rsidP="002A2BAA">
      <w:pPr>
        <w:spacing w:line="360" w:lineRule="auto"/>
        <w:rPr>
          <w:rFonts w:ascii="Arial" w:eastAsia="Arial" w:hAnsi="Arial" w:cs="Arial"/>
          <w:sz w:val="22"/>
          <w:szCs w:val="22"/>
          <w:lang w:val="en-US"/>
        </w:rPr>
      </w:pPr>
    </w:p>
    <w:p w14:paraId="5D85E185" w14:textId="77777777" w:rsidR="002A2BAA" w:rsidRDefault="002A2BAA" w:rsidP="002A2BAA">
      <w:pPr>
        <w:spacing w:line="360" w:lineRule="auto"/>
        <w:jc w:val="both"/>
        <w:rPr>
          <w:rFonts w:ascii="Arial" w:eastAsia="Arial" w:hAnsi="Arial" w:cs="Arial"/>
          <w:sz w:val="22"/>
          <w:szCs w:val="22"/>
          <w:lang w:val="en-US"/>
        </w:rPr>
      </w:pPr>
      <w:r>
        <w:rPr>
          <w:rFonts w:ascii="Arial" w:eastAsia="Arial" w:hAnsi="Arial" w:cs="Arial"/>
          <w:b/>
          <w:sz w:val="22"/>
          <w:szCs w:val="22"/>
          <w:lang w:val="en-US"/>
        </w:rPr>
        <w:t xml:space="preserve">Fig.  S2. Correlation analysis of the trendlines between responders and non-responders of each cluster identified by TCseq. </w:t>
      </w:r>
      <w:r>
        <w:rPr>
          <w:rFonts w:ascii="Arial" w:eastAsia="Arial" w:hAnsi="Arial" w:cs="Arial"/>
          <w:sz w:val="22"/>
          <w:szCs w:val="22"/>
          <w:lang w:val="en-US"/>
        </w:rPr>
        <w:t>(</w:t>
      </w:r>
      <w:r w:rsidRPr="00F425D7">
        <w:rPr>
          <w:rFonts w:ascii="Arial" w:eastAsia="Arial" w:hAnsi="Arial" w:cs="Arial"/>
          <w:b/>
          <w:bCs/>
          <w:sz w:val="22"/>
          <w:szCs w:val="22"/>
          <w:lang w:val="en-US"/>
        </w:rPr>
        <w:t>A</w:t>
      </w:r>
      <w:r>
        <w:rPr>
          <w:rFonts w:ascii="Arial" w:eastAsia="Arial" w:hAnsi="Arial" w:cs="Arial"/>
          <w:sz w:val="22"/>
          <w:szCs w:val="22"/>
          <w:lang w:val="en-US"/>
        </w:rPr>
        <w:t>) AB1 responders and non-responders have a similar trend (r&gt;0.8) in clusters 1-3, but not in cluster 4. (</w:t>
      </w:r>
      <w:r w:rsidRPr="00F425D7">
        <w:rPr>
          <w:rFonts w:ascii="Arial" w:eastAsia="Arial" w:hAnsi="Arial" w:cs="Arial"/>
          <w:b/>
          <w:bCs/>
          <w:sz w:val="22"/>
          <w:szCs w:val="22"/>
          <w:lang w:val="en-US"/>
        </w:rPr>
        <w:t>B</w:t>
      </w:r>
      <w:r>
        <w:rPr>
          <w:rFonts w:ascii="Arial" w:eastAsia="Arial" w:hAnsi="Arial" w:cs="Arial"/>
          <w:sz w:val="22"/>
          <w:szCs w:val="22"/>
          <w:lang w:val="en-US"/>
        </w:rPr>
        <w:t xml:space="preserve">) Renca responders and non-responders have a similar trend (r&gt;0.8) in clusters 1-3, but not in cluster 4. </w:t>
      </w:r>
    </w:p>
    <w:p w14:paraId="74299856" w14:textId="77777777" w:rsidR="002A2BAA" w:rsidRDefault="002A2BAA" w:rsidP="002A2BAA">
      <w:pPr>
        <w:spacing w:line="360" w:lineRule="auto"/>
        <w:rPr>
          <w:rFonts w:ascii="Arial" w:eastAsia="Arial" w:hAnsi="Arial" w:cs="Arial"/>
          <w:sz w:val="22"/>
          <w:szCs w:val="22"/>
          <w:lang w:val="en-US"/>
        </w:rPr>
      </w:pPr>
    </w:p>
    <w:p w14:paraId="7AC60018" w14:textId="77777777" w:rsidR="002A2BAA" w:rsidRDefault="002A2BAA" w:rsidP="002A2BAA">
      <w:pPr>
        <w:spacing w:line="360" w:lineRule="auto"/>
        <w:rPr>
          <w:rFonts w:ascii="Arial" w:eastAsia="Arial" w:hAnsi="Arial" w:cs="Arial"/>
          <w:sz w:val="22"/>
          <w:szCs w:val="22"/>
          <w:lang w:val="en-US"/>
        </w:rPr>
      </w:pPr>
    </w:p>
    <w:p w14:paraId="18FE8571" w14:textId="77777777" w:rsidR="002A2BAA" w:rsidRDefault="002A2BAA" w:rsidP="002A2BAA">
      <w:pPr>
        <w:spacing w:line="360" w:lineRule="auto"/>
        <w:rPr>
          <w:rFonts w:ascii="Arial" w:eastAsia="Arial" w:hAnsi="Arial" w:cs="Arial"/>
          <w:sz w:val="22"/>
          <w:szCs w:val="22"/>
          <w:lang w:val="en-US"/>
        </w:rPr>
      </w:pPr>
      <w:r>
        <w:rPr>
          <w:noProof/>
        </w:rPr>
        <w:lastRenderedPageBreak/>
        <w:drawing>
          <wp:inline distT="0" distB="2540" distL="0" distR="0" wp14:anchorId="7F333AC9" wp14:editId="6B63357E">
            <wp:extent cx="5648325" cy="5884545"/>
            <wp:effectExtent l="0" t="0" r="0" b="0"/>
            <wp:docPr id="8" name="Picture 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 descr="Graphical user interface, application&#10;&#10;Description automatically generated"/>
                    <pic:cNvPicPr>
                      <a:picLocks noChangeAspect="1" noChangeArrowheads="1"/>
                    </pic:cNvPicPr>
                  </pic:nvPicPr>
                  <pic:blipFill>
                    <a:blip r:embed="rId6"/>
                    <a:stretch>
                      <a:fillRect/>
                    </a:stretch>
                  </pic:blipFill>
                  <pic:spPr bwMode="auto">
                    <a:xfrm>
                      <a:off x="0" y="0"/>
                      <a:ext cx="5648325" cy="5884545"/>
                    </a:xfrm>
                    <a:prstGeom prst="rect">
                      <a:avLst/>
                    </a:prstGeom>
                  </pic:spPr>
                </pic:pic>
              </a:graphicData>
            </a:graphic>
          </wp:inline>
        </w:drawing>
      </w:r>
    </w:p>
    <w:p w14:paraId="7752091A" w14:textId="77777777" w:rsidR="002A2BAA" w:rsidRDefault="002A2BAA" w:rsidP="002A2BAA">
      <w:pPr>
        <w:spacing w:line="360" w:lineRule="auto"/>
        <w:jc w:val="both"/>
        <w:rPr>
          <w:rFonts w:ascii="Arial" w:eastAsia="Arial" w:hAnsi="Arial" w:cs="Arial"/>
          <w:sz w:val="22"/>
          <w:szCs w:val="22"/>
          <w:lang w:val="en-US"/>
        </w:rPr>
      </w:pPr>
      <w:bookmarkStart w:id="0" w:name="_2grqrue"/>
      <w:bookmarkEnd w:id="0"/>
      <w:r>
        <w:rPr>
          <w:rFonts w:ascii="Arial" w:eastAsia="Arial" w:hAnsi="Arial" w:cs="Arial"/>
          <w:b/>
          <w:bCs/>
          <w:sz w:val="22"/>
          <w:szCs w:val="22"/>
          <w:lang w:val="en-US"/>
        </w:rPr>
        <w:t>Fig. S3. Network construction approach and analysis on bulk RNA-seq data in AB1 and Renca.</w:t>
      </w:r>
      <w:r>
        <w:rPr>
          <w:rFonts w:ascii="Arial" w:eastAsia="Arial" w:hAnsi="Arial" w:cs="Arial"/>
          <w:color w:val="000000"/>
          <w:sz w:val="22"/>
          <w:szCs w:val="22"/>
          <w:lang w:val="en-US"/>
        </w:rPr>
        <w:t xml:space="preserve"> We constructed two “direct-interaction networks”, one for AB1 and one for Renca using all responder samples for each strain across four experimental time points. (</w:t>
      </w:r>
      <w:r w:rsidRPr="00F425D7">
        <w:rPr>
          <w:rFonts w:ascii="Arial" w:eastAsia="Arial" w:hAnsi="Arial" w:cs="Arial"/>
          <w:b/>
          <w:color w:val="000000"/>
          <w:sz w:val="22"/>
          <w:szCs w:val="22"/>
          <w:lang w:val="en-US"/>
        </w:rPr>
        <w:t>A</w:t>
      </w:r>
      <w:r>
        <w:rPr>
          <w:rFonts w:ascii="Arial" w:eastAsia="Arial" w:hAnsi="Arial" w:cs="Arial"/>
          <w:bCs/>
          <w:color w:val="000000"/>
          <w:sz w:val="22"/>
          <w:szCs w:val="22"/>
          <w:lang w:val="en-US"/>
        </w:rPr>
        <w:t xml:space="preserve"> and </w:t>
      </w:r>
      <w:r w:rsidRPr="00F425D7">
        <w:rPr>
          <w:rFonts w:ascii="Arial" w:eastAsia="Arial" w:hAnsi="Arial" w:cs="Arial"/>
          <w:b/>
          <w:color w:val="000000"/>
          <w:sz w:val="22"/>
          <w:szCs w:val="22"/>
          <w:lang w:val="en-US"/>
        </w:rPr>
        <w:t>B</w:t>
      </w:r>
      <w:r>
        <w:rPr>
          <w:rFonts w:ascii="Arial" w:eastAsia="Arial" w:hAnsi="Arial" w:cs="Arial"/>
          <w:color w:val="000000"/>
          <w:sz w:val="22"/>
          <w:szCs w:val="22"/>
          <w:lang w:val="en-US"/>
        </w:rPr>
        <w:t>) Pruning schema used to construct these networks. As illustrated in (</w:t>
      </w:r>
      <w:r w:rsidRPr="00F425D7">
        <w:rPr>
          <w:rFonts w:ascii="Arial" w:eastAsia="Arial" w:hAnsi="Arial" w:cs="Arial"/>
          <w:b/>
          <w:bCs/>
          <w:color w:val="000000"/>
          <w:sz w:val="22"/>
          <w:szCs w:val="22"/>
          <w:lang w:val="en-US"/>
        </w:rPr>
        <w:t>B</w:t>
      </w:r>
      <w:r>
        <w:rPr>
          <w:rFonts w:ascii="Arial" w:eastAsia="Arial" w:hAnsi="Arial" w:cs="Arial"/>
          <w:color w:val="000000"/>
          <w:sz w:val="22"/>
          <w:szCs w:val="22"/>
          <w:lang w:val="en-US"/>
        </w:rPr>
        <w:t>), we eliminate the GENIE3 edge from TF2 to differentially expressed gene 3 because gene 3 does not possess the transcription factor binding site for TF2. (</w:t>
      </w:r>
      <w:r w:rsidRPr="00F425D7">
        <w:rPr>
          <w:rFonts w:ascii="Arial" w:eastAsia="Arial" w:hAnsi="Arial" w:cs="Arial"/>
          <w:b/>
          <w:color w:val="000000"/>
          <w:sz w:val="22"/>
          <w:szCs w:val="22"/>
          <w:lang w:val="en-US"/>
        </w:rPr>
        <w:t>C</w:t>
      </w:r>
      <w:r>
        <w:rPr>
          <w:rFonts w:ascii="Arial" w:eastAsia="Arial" w:hAnsi="Arial" w:cs="Arial"/>
          <w:color w:val="000000"/>
          <w:sz w:val="22"/>
          <w:szCs w:val="22"/>
          <w:lang w:val="en-US"/>
        </w:rPr>
        <w:t>)</w:t>
      </w:r>
      <w:r>
        <w:rPr>
          <w:rFonts w:ascii="Arial" w:eastAsia="Arial" w:hAnsi="Arial" w:cs="Arial"/>
          <w:sz w:val="22"/>
          <w:szCs w:val="22"/>
          <w:lang w:val="en-US"/>
        </w:rPr>
        <w:t xml:space="preserve"> Threshold selection after considering the union set of all GENIE3 weights from Renca and AB1 direct networks (red line - 0.0003125). (</w:t>
      </w:r>
      <w:r w:rsidRPr="00F425D7">
        <w:rPr>
          <w:rFonts w:ascii="Arial" w:eastAsia="Arial" w:hAnsi="Arial" w:cs="Arial"/>
          <w:b/>
          <w:bCs/>
          <w:sz w:val="22"/>
          <w:szCs w:val="22"/>
          <w:lang w:val="en-US"/>
        </w:rPr>
        <w:t>D</w:t>
      </w:r>
      <w:r>
        <w:rPr>
          <w:rFonts w:ascii="Arial" w:eastAsia="Arial" w:hAnsi="Arial" w:cs="Arial"/>
          <w:sz w:val="22"/>
          <w:szCs w:val="22"/>
          <w:lang w:val="en-US"/>
        </w:rPr>
        <w:t xml:space="preserve"> and </w:t>
      </w:r>
      <w:r w:rsidRPr="00F425D7">
        <w:rPr>
          <w:rFonts w:ascii="Arial" w:eastAsia="Arial" w:hAnsi="Arial" w:cs="Arial"/>
          <w:b/>
          <w:bCs/>
          <w:sz w:val="22"/>
          <w:szCs w:val="22"/>
          <w:lang w:val="en-US"/>
        </w:rPr>
        <w:t>E</w:t>
      </w:r>
      <w:r>
        <w:rPr>
          <w:rFonts w:ascii="Arial" w:eastAsia="Arial" w:hAnsi="Arial" w:cs="Arial"/>
          <w:sz w:val="22"/>
          <w:szCs w:val="22"/>
          <w:lang w:val="en-US"/>
        </w:rPr>
        <w:t>) Full heatmap of TF to ISGs GENIE3 scores in AB1 (</w:t>
      </w:r>
      <w:r w:rsidRPr="00F425D7">
        <w:rPr>
          <w:rFonts w:ascii="Arial" w:eastAsia="Arial" w:hAnsi="Arial" w:cs="Arial"/>
          <w:b/>
          <w:bCs/>
          <w:sz w:val="22"/>
          <w:szCs w:val="22"/>
          <w:lang w:val="en-US"/>
        </w:rPr>
        <w:t>D</w:t>
      </w:r>
      <w:r>
        <w:rPr>
          <w:rFonts w:ascii="Arial" w:eastAsia="Arial" w:hAnsi="Arial" w:cs="Arial"/>
          <w:sz w:val="22"/>
          <w:szCs w:val="22"/>
          <w:lang w:val="en-US"/>
        </w:rPr>
        <w:t>) and Renca (</w:t>
      </w:r>
      <w:r w:rsidRPr="00F425D7">
        <w:rPr>
          <w:rFonts w:ascii="Arial" w:eastAsia="Arial" w:hAnsi="Arial" w:cs="Arial"/>
          <w:b/>
          <w:bCs/>
          <w:sz w:val="22"/>
          <w:szCs w:val="22"/>
          <w:lang w:val="en-US"/>
        </w:rPr>
        <w:t>E</w:t>
      </w:r>
      <w:r>
        <w:rPr>
          <w:rFonts w:ascii="Arial" w:eastAsia="Arial" w:hAnsi="Arial" w:cs="Arial"/>
          <w:sz w:val="22"/>
          <w:szCs w:val="22"/>
          <w:lang w:val="en-US"/>
        </w:rPr>
        <w:t xml:space="preserve">) from TFs (x-axis) to ISGs (y-axis). The yellow box across both heatmaps is displayed in Figure 2C, emphasizing that regulation is </w:t>
      </w:r>
      <w:r>
        <w:rPr>
          <w:rFonts w:ascii="Arial" w:eastAsia="Arial" w:hAnsi="Arial" w:cs="Arial"/>
          <w:sz w:val="22"/>
          <w:szCs w:val="22"/>
          <w:lang w:val="en-US"/>
        </w:rPr>
        <w:lastRenderedPageBreak/>
        <w:t>confined to IFN-related TFs. (</w:t>
      </w:r>
      <w:r w:rsidRPr="00F425D7">
        <w:rPr>
          <w:rFonts w:ascii="Arial" w:eastAsia="Arial" w:hAnsi="Arial" w:cs="Arial"/>
          <w:b/>
          <w:bCs/>
          <w:sz w:val="22"/>
          <w:szCs w:val="22"/>
          <w:lang w:val="en-US"/>
        </w:rPr>
        <w:t>F</w:t>
      </w:r>
      <w:r>
        <w:rPr>
          <w:rFonts w:ascii="Arial" w:eastAsia="Arial" w:hAnsi="Arial" w:cs="Arial"/>
          <w:sz w:val="22"/>
          <w:szCs w:val="22"/>
          <w:lang w:val="en-US"/>
        </w:rPr>
        <w:t>) The on/fast-off component of ISGs is composed of genes stimulated by type I and type II IFN.</w:t>
      </w:r>
    </w:p>
    <w:p w14:paraId="21342E79" w14:textId="77777777" w:rsidR="002A2BAA" w:rsidRDefault="002A2BAA" w:rsidP="002A2BAA">
      <w:pPr>
        <w:spacing w:line="360" w:lineRule="auto"/>
        <w:jc w:val="both"/>
        <w:rPr>
          <w:rFonts w:ascii="Arial" w:eastAsia="Arial" w:hAnsi="Arial" w:cs="Arial"/>
          <w:color w:val="000000"/>
          <w:sz w:val="22"/>
          <w:szCs w:val="22"/>
          <w:lang w:val="en-US"/>
        </w:rPr>
      </w:pPr>
    </w:p>
    <w:p w14:paraId="69E78D87" w14:textId="77777777" w:rsidR="002A2BAA" w:rsidRDefault="002A2BAA" w:rsidP="002A2BAA">
      <w:pPr>
        <w:keepNext/>
        <w:spacing w:before="240" w:line="360" w:lineRule="auto"/>
        <w:rPr>
          <w:rFonts w:ascii="Arial" w:eastAsia="Arial" w:hAnsi="Arial" w:cs="Arial"/>
          <w:b/>
          <w:sz w:val="22"/>
          <w:szCs w:val="22"/>
          <w:lang w:val="en-US"/>
        </w:rPr>
      </w:pPr>
      <w:r>
        <w:rPr>
          <w:rFonts w:ascii="Arial" w:eastAsia="Arial" w:hAnsi="Arial" w:cs="Arial"/>
          <w:b/>
          <w:noProof/>
          <w:sz w:val="22"/>
          <w:szCs w:val="22"/>
          <w:lang w:val="en-US"/>
        </w:rPr>
        <w:drawing>
          <wp:inline distT="0" distB="0" distL="0" distR="0" wp14:anchorId="58080202" wp14:editId="4641DB78">
            <wp:extent cx="6139757" cy="6466043"/>
            <wp:effectExtent l="0" t="0" r="0" b="0"/>
            <wp:docPr id="22" name="Picture 2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Diagram&#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44769" cy="6471322"/>
                    </a:xfrm>
                    <a:prstGeom prst="rect">
                      <a:avLst/>
                    </a:prstGeom>
                    <a:noFill/>
                  </pic:spPr>
                </pic:pic>
              </a:graphicData>
            </a:graphic>
          </wp:inline>
        </w:drawing>
      </w:r>
    </w:p>
    <w:p w14:paraId="732D6F5F" w14:textId="77777777" w:rsidR="002A2BAA" w:rsidRDefault="002A2BAA" w:rsidP="002A2BAA">
      <w:pPr>
        <w:widowControl w:val="0"/>
        <w:spacing w:line="360" w:lineRule="auto"/>
        <w:jc w:val="both"/>
        <w:rPr>
          <w:rFonts w:ascii="Arial" w:eastAsia="Arial" w:hAnsi="Arial" w:cs="Arial"/>
          <w:sz w:val="22"/>
          <w:szCs w:val="22"/>
        </w:rPr>
      </w:pPr>
      <w:bookmarkStart w:id="1" w:name="_4f1mdlm"/>
      <w:bookmarkEnd w:id="1"/>
      <w:r>
        <w:rPr>
          <w:rFonts w:ascii="Arial" w:eastAsia="Arial" w:hAnsi="Arial" w:cs="Arial"/>
          <w:b/>
          <w:bCs/>
          <w:sz w:val="22"/>
          <w:szCs w:val="22"/>
          <w:lang w:val="en-US"/>
        </w:rPr>
        <w:t>Fig. S4. Therapeutically phenocopying of on/fast-off type I IFN kinetics with poly(I:C) and anti-IFNAR improves response.</w:t>
      </w:r>
      <w:r>
        <w:rPr>
          <w:rFonts w:ascii="Arial" w:eastAsia="Arial" w:hAnsi="Arial" w:cs="Arial"/>
          <w:sz w:val="22"/>
          <w:szCs w:val="22"/>
          <w:lang w:val="en-US"/>
        </w:rPr>
        <w:t xml:space="preserve"> (</w:t>
      </w:r>
      <w:r w:rsidRPr="00F425D7">
        <w:rPr>
          <w:rFonts w:ascii="Arial" w:eastAsia="Arial" w:hAnsi="Arial" w:cs="Arial"/>
          <w:b/>
          <w:bCs/>
          <w:sz w:val="22"/>
          <w:szCs w:val="22"/>
          <w:lang w:val="en-US"/>
        </w:rPr>
        <w:t>A</w:t>
      </w:r>
      <w:r>
        <w:rPr>
          <w:rFonts w:ascii="Arial" w:eastAsia="Arial" w:hAnsi="Arial" w:cs="Arial"/>
          <w:sz w:val="22"/>
          <w:szCs w:val="22"/>
          <w:lang w:val="en-US"/>
        </w:rPr>
        <w:t xml:space="preserve"> and </w:t>
      </w:r>
      <w:r w:rsidRPr="00F425D7">
        <w:rPr>
          <w:rFonts w:ascii="Arial" w:eastAsia="Arial" w:hAnsi="Arial" w:cs="Arial"/>
          <w:b/>
          <w:bCs/>
          <w:sz w:val="22"/>
          <w:szCs w:val="22"/>
          <w:lang w:val="en-US"/>
        </w:rPr>
        <w:t>B</w:t>
      </w:r>
      <w:r>
        <w:rPr>
          <w:rFonts w:ascii="Arial" w:eastAsia="Arial" w:hAnsi="Arial" w:cs="Arial"/>
          <w:sz w:val="22"/>
          <w:szCs w:val="22"/>
          <w:lang w:val="en-US"/>
        </w:rPr>
        <w:t>) Poly(I:C) induces IFNβ production in Ly6C</w:t>
      </w:r>
      <w:r>
        <w:rPr>
          <w:rFonts w:ascii="Arial" w:eastAsia="Arial" w:hAnsi="Arial" w:cs="Arial"/>
          <w:sz w:val="22"/>
          <w:szCs w:val="22"/>
          <w:vertAlign w:val="superscript"/>
          <w:lang w:val="en-US"/>
        </w:rPr>
        <w:t>+</w:t>
      </w:r>
      <w:r>
        <w:rPr>
          <w:rFonts w:ascii="Arial" w:eastAsia="Arial" w:hAnsi="Arial" w:cs="Arial"/>
          <w:sz w:val="22"/>
          <w:szCs w:val="22"/>
          <w:lang w:val="en-US"/>
        </w:rPr>
        <w:t xml:space="preserve"> monocytes in AB1 tumors. Tumors from AB1 bearing mice were treated with intra-tumoral </w:t>
      </w:r>
      <w:r>
        <w:rPr>
          <w:rFonts w:ascii="Arial" w:eastAsia="Arial" w:hAnsi="Arial" w:cs="Arial"/>
          <w:sz w:val="22"/>
          <w:szCs w:val="22"/>
          <w:lang w:val="en-US"/>
        </w:rPr>
        <w:lastRenderedPageBreak/>
        <w:t>poly(I:C), harvested, cell sorted, RNA extracted and analyzed for IFNβ expression by RT-PCR. (</w:t>
      </w:r>
      <w:r w:rsidRPr="00F425D7">
        <w:rPr>
          <w:rFonts w:ascii="Arial" w:eastAsia="Arial" w:hAnsi="Arial" w:cs="Arial"/>
          <w:b/>
          <w:bCs/>
          <w:sz w:val="22"/>
          <w:szCs w:val="22"/>
          <w:lang w:val="en-US"/>
        </w:rPr>
        <w:t>A</w:t>
      </w:r>
      <w:r>
        <w:rPr>
          <w:rFonts w:ascii="Arial" w:eastAsia="Arial" w:hAnsi="Arial" w:cs="Arial"/>
          <w:sz w:val="22"/>
          <w:szCs w:val="22"/>
          <w:lang w:val="en-US"/>
        </w:rPr>
        <w:t>) Relative IFNβ RNA expression in untreated compared to poly(I:C) treated tumors. (</w:t>
      </w:r>
      <w:r w:rsidRPr="00F425D7">
        <w:rPr>
          <w:rFonts w:ascii="Arial" w:eastAsia="Arial" w:hAnsi="Arial" w:cs="Arial"/>
          <w:b/>
          <w:bCs/>
          <w:sz w:val="22"/>
          <w:szCs w:val="22"/>
          <w:lang w:val="en-US"/>
        </w:rPr>
        <w:t>B</w:t>
      </w:r>
      <w:r>
        <w:rPr>
          <w:rFonts w:ascii="Arial" w:eastAsia="Arial" w:hAnsi="Arial" w:cs="Arial"/>
          <w:sz w:val="22"/>
          <w:szCs w:val="22"/>
          <w:lang w:val="en-US"/>
        </w:rPr>
        <w:t>) Relative IFNβ RNA expression within the sorted CD11b</w:t>
      </w:r>
      <w:r>
        <w:rPr>
          <w:rFonts w:ascii="Arial" w:eastAsia="Arial" w:hAnsi="Arial" w:cs="Arial"/>
          <w:sz w:val="22"/>
          <w:szCs w:val="22"/>
          <w:vertAlign w:val="superscript"/>
          <w:lang w:val="en-US"/>
        </w:rPr>
        <w:t>+</w:t>
      </w:r>
      <w:r>
        <w:rPr>
          <w:rFonts w:ascii="Arial" w:eastAsia="Arial" w:hAnsi="Arial" w:cs="Arial"/>
          <w:sz w:val="22"/>
          <w:szCs w:val="22"/>
          <w:lang w:val="en-US"/>
        </w:rPr>
        <w:t xml:space="preserve"> Ly6C</w:t>
      </w:r>
      <w:r>
        <w:rPr>
          <w:rFonts w:ascii="Arial" w:eastAsia="Arial" w:hAnsi="Arial" w:cs="Arial"/>
          <w:sz w:val="22"/>
          <w:szCs w:val="22"/>
          <w:vertAlign w:val="superscript"/>
          <w:lang w:val="en-US"/>
        </w:rPr>
        <w:t>+</w:t>
      </w:r>
      <w:r>
        <w:rPr>
          <w:rFonts w:ascii="Arial" w:eastAsia="Arial" w:hAnsi="Arial" w:cs="Arial"/>
          <w:sz w:val="22"/>
          <w:szCs w:val="22"/>
          <w:lang w:val="en-US"/>
        </w:rPr>
        <w:t xml:space="preserve"> monocyte population in untreated compared to poly(I:C) treated tumors. (</w:t>
      </w:r>
      <w:r w:rsidRPr="00F425D7">
        <w:rPr>
          <w:rFonts w:ascii="Arial" w:eastAsia="Arial" w:hAnsi="Arial" w:cs="Arial"/>
          <w:b/>
          <w:bCs/>
          <w:sz w:val="22"/>
          <w:szCs w:val="22"/>
          <w:lang w:val="en-US"/>
        </w:rPr>
        <w:t>C</w:t>
      </w:r>
      <w:r>
        <w:rPr>
          <w:rFonts w:ascii="Arial" w:eastAsia="Arial" w:hAnsi="Arial" w:cs="Arial"/>
          <w:sz w:val="22"/>
          <w:szCs w:val="22"/>
          <w:lang w:val="en-US"/>
        </w:rPr>
        <w:t>) Mice bearing AB1 tumors were treated with poly(I:C) (day 12, 13, 14), followed by ICB (day 17), followed by an antibody against IFNAR1, IFNγ, or both (day 20, 23, 26). Pre-treatment with poly(I:C) increases the number of responders, but does not significantly increase survival (blue line, p= 0.09). Addition of anti-IFNAR significantly improves survival over ICB control (green line, p = &lt;0.001). (</w:t>
      </w:r>
      <w:r w:rsidRPr="00F425D7">
        <w:rPr>
          <w:rFonts w:ascii="Arial" w:eastAsia="Arial" w:hAnsi="Arial" w:cs="Arial"/>
          <w:b/>
          <w:bCs/>
          <w:sz w:val="22"/>
          <w:szCs w:val="22"/>
          <w:lang w:val="en-US"/>
        </w:rPr>
        <w:t>D</w:t>
      </w:r>
      <w:r>
        <w:rPr>
          <w:rFonts w:ascii="Arial" w:eastAsia="Arial" w:hAnsi="Arial" w:cs="Arial"/>
          <w:sz w:val="22"/>
          <w:szCs w:val="22"/>
          <w:lang w:val="en-US"/>
        </w:rPr>
        <w:t>) Schedule of pre-treatment anti-IFNAR followed by ICB. (</w:t>
      </w:r>
      <w:r w:rsidRPr="00F425D7">
        <w:rPr>
          <w:rFonts w:ascii="Arial" w:eastAsia="Arial" w:hAnsi="Arial" w:cs="Arial"/>
          <w:b/>
          <w:bCs/>
          <w:sz w:val="22"/>
          <w:szCs w:val="22"/>
          <w:lang w:val="en-US"/>
        </w:rPr>
        <w:t>E</w:t>
      </w:r>
      <w:r>
        <w:rPr>
          <w:rFonts w:ascii="Arial" w:eastAsia="Arial" w:hAnsi="Arial" w:cs="Arial"/>
          <w:sz w:val="22"/>
          <w:szCs w:val="22"/>
          <w:lang w:val="en-US"/>
        </w:rPr>
        <w:t>) Dosing anti-IFNAR or anti-IFN</w:t>
      </w:r>
      <w:r>
        <w:rPr>
          <w:rFonts w:ascii="Symbol" w:eastAsia="Arial" w:hAnsi="Symbol" w:cs="Arial"/>
          <w:color w:val="000000"/>
          <w:sz w:val="22"/>
          <w:szCs w:val="22"/>
          <w:lang w:val="en-US"/>
        </w:rPr>
        <w:t>b</w:t>
      </w:r>
      <w:r>
        <w:rPr>
          <w:rFonts w:ascii="Arial" w:eastAsia="Arial" w:hAnsi="Arial" w:cs="Arial"/>
          <w:sz w:val="22"/>
          <w:szCs w:val="22"/>
          <w:lang w:val="en-US"/>
        </w:rPr>
        <w:t xml:space="preserve"> alone is not significant compared to PBS controls. Dosing anti-IFNAR (but not anti-IFN</w:t>
      </w:r>
      <w:r>
        <w:rPr>
          <w:rFonts w:ascii="Symbol" w:eastAsia="Arial" w:hAnsi="Symbol" w:cs="Arial"/>
          <w:color w:val="000000"/>
          <w:sz w:val="22"/>
          <w:szCs w:val="22"/>
          <w:lang w:val="en-US"/>
        </w:rPr>
        <w:t>b</w:t>
      </w:r>
      <w:r>
        <w:rPr>
          <w:rFonts w:ascii="Arial" w:eastAsia="Arial" w:hAnsi="Arial" w:cs="Arial"/>
          <w:sz w:val="22"/>
          <w:szCs w:val="22"/>
          <w:lang w:val="en-US"/>
        </w:rPr>
        <w:t>) before ICB, rather than after, negates the effect of ICB on AE17 tumors (red line, p = 0.002). (</w:t>
      </w:r>
      <w:r w:rsidRPr="00F425D7">
        <w:rPr>
          <w:rFonts w:ascii="Arial" w:eastAsia="Arial" w:hAnsi="Arial" w:cs="Arial"/>
          <w:b/>
          <w:bCs/>
          <w:sz w:val="22"/>
          <w:szCs w:val="22"/>
          <w:lang w:val="en-US"/>
        </w:rPr>
        <w:t>F</w:t>
      </w:r>
      <w:r>
        <w:rPr>
          <w:rFonts w:ascii="Arial" w:eastAsia="Arial" w:hAnsi="Arial" w:cs="Arial"/>
          <w:sz w:val="22"/>
          <w:szCs w:val="22"/>
          <w:lang w:val="en-US"/>
        </w:rPr>
        <w:t>) Dosing anti-IFNAR concurrently with poly(I:C) (orange line) negates the priming effect of poly(I:C) (p = 0.004). (</w:t>
      </w:r>
      <w:r>
        <w:rPr>
          <w:rFonts w:ascii="Arial" w:eastAsia="Arial" w:hAnsi="Arial" w:cs="Arial"/>
          <w:b/>
          <w:bCs/>
          <w:sz w:val="22"/>
          <w:szCs w:val="22"/>
          <w:lang w:val="en-US"/>
        </w:rPr>
        <w:t>G</w:t>
      </w:r>
      <w:r>
        <w:rPr>
          <w:rFonts w:ascii="Arial" w:eastAsia="Arial" w:hAnsi="Arial" w:cs="Arial"/>
          <w:sz w:val="22"/>
          <w:szCs w:val="22"/>
          <w:lang w:val="en-US"/>
        </w:rPr>
        <w:t xml:space="preserve">) Blocking IFNAR after IFN stimulation with poly(I:C) does not affect response, even when ICB is not involved. </w:t>
      </w:r>
    </w:p>
    <w:p w14:paraId="31168EF7" w14:textId="77777777" w:rsidR="002A2BAA" w:rsidRDefault="002A2BAA" w:rsidP="002A2BAA">
      <w:pPr>
        <w:widowControl w:val="0"/>
        <w:spacing w:line="360" w:lineRule="auto"/>
        <w:jc w:val="both"/>
        <w:rPr>
          <w:rFonts w:ascii="Arial" w:eastAsia="Arial" w:hAnsi="Arial" w:cs="Arial"/>
          <w:sz w:val="22"/>
          <w:szCs w:val="22"/>
          <w:lang w:val="en-US"/>
        </w:rPr>
      </w:pPr>
    </w:p>
    <w:p w14:paraId="49777285" w14:textId="77777777" w:rsidR="002A2BAA" w:rsidRDefault="002A2BAA" w:rsidP="002A2BAA">
      <w:pPr>
        <w:widowControl w:val="0"/>
        <w:spacing w:line="360" w:lineRule="auto"/>
        <w:jc w:val="both"/>
        <w:rPr>
          <w:rFonts w:ascii="Arial" w:eastAsia="Arial" w:hAnsi="Arial" w:cs="Arial"/>
          <w:b/>
          <w:sz w:val="22"/>
          <w:szCs w:val="22"/>
          <w:lang w:val="en-US"/>
        </w:rPr>
      </w:pPr>
      <w:r>
        <w:br w:type="page"/>
      </w:r>
    </w:p>
    <w:p w14:paraId="06713B86" w14:textId="77777777" w:rsidR="002A2BAA" w:rsidRDefault="002A2BAA" w:rsidP="002A2BAA">
      <w:pPr>
        <w:spacing w:line="360" w:lineRule="auto"/>
        <w:rPr>
          <w:rFonts w:ascii="Arial" w:eastAsia="Arial" w:hAnsi="Arial" w:cs="Arial"/>
          <w:sz w:val="22"/>
          <w:szCs w:val="22"/>
          <w:lang w:val="en-US"/>
        </w:rPr>
      </w:pPr>
      <w:r>
        <w:rPr>
          <w:rFonts w:ascii="Arial" w:eastAsia="Arial" w:hAnsi="Arial" w:cs="Arial"/>
          <w:noProof/>
          <w:sz w:val="22"/>
          <w:szCs w:val="22"/>
          <w:lang w:val="en-US"/>
        </w:rPr>
        <w:lastRenderedPageBreak/>
        <w:drawing>
          <wp:inline distT="0" distB="0" distL="0" distR="0" wp14:anchorId="678D7524" wp14:editId="38D3CB28">
            <wp:extent cx="5853752" cy="5804614"/>
            <wp:effectExtent l="0" t="0" r="0" b="0"/>
            <wp:docPr id="23" name="Picture 23"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Graphical user interface&#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858980" cy="5809798"/>
                    </a:xfrm>
                    <a:prstGeom prst="rect">
                      <a:avLst/>
                    </a:prstGeom>
                    <a:noFill/>
                  </pic:spPr>
                </pic:pic>
              </a:graphicData>
            </a:graphic>
          </wp:inline>
        </w:drawing>
      </w:r>
    </w:p>
    <w:p w14:paraId="41054A0A" w14:textId="77777777" w:rsidR="002A2BAA" w:rsidRDefault="002A2BAA" w:rsidP="002A2BAA">
      <w:pPr>
        <w:spacing w:line="360" w:lineRule="auto"/>
        <w:jc w:val="both"/>
        <w:rPr>
          <w:rFonts w:ascii="Arial" w:eastAsia="Arial" w:hAnsi="Arial" w:cs="Arial"/>
          <w:sz w:val="22"/>
          <w:szCs w:val="22"/>
          <w:lang w:val="en-US"/>
        </w:rPr>
      </w:pPr>
      <w:r>
        <w:rPr>
          <w:rFonts w:ascii="Arial" w:eastAsia="Arial" w:hAnsi="Arial" w:cs="Arial"/>
          <w:b/>
          <w:bCs/>
          <w:sz w:val="22"/>
          <w:szCs w:val="22"/>
          <w:lang w:val="en-US"/>
        </w:rPr>
        <w:t xml:space="preserve">Fig. S5. Mimicking IFN kinetics by blocking IFNβ after ICB improves responses. </w:t>
      </w:r>
    </w:p>
    <w:p w14:paraId="02F62A9E" w14:textId="77777777" w:rsidR="002A2BAA" w:rsidRDefault="002A2BAA" w:rsidP="002A2BAA">
      <w:pPr>
        <w:spacing w:line="360" w:lineRule="auto"/>
        <w:jc w:val="both"/>
        <w:rPr>
          <w:rFonts w:ascii="Arial" w:eastAsia="Arial" w:hAnsi="Arial" w:cs="Arial"/>
          <w:sz w:val="22"/>
          <w:szCs w:val="22"/>
          <w:lang w:val="en-US"/>
        </w:rPr>
      </w:pPr>
      <w:r w:rsidRPr="00F425D7">
        <w:rPr>
          <w:rFonts w:ascii="Arial" w:eastAsia="Arial" w:hAnsi="Arial" w:cs="Arial"/>
          <w:sz w:val="22"/>
          <w:szCs w:val="22"/>
          <w:lang w:val="en-US"/>
        </w:rPr>
        <w:t>(</w:t>
      </w:r>
      <w:r>
        <w:rPr>
          <w:rFonts w:ascii="Arial" w:eastAsia="Arial" w:hAnsi="Arial" w:cs="Arial"/>
          <w:b/>
          <w:bCs/>
          <w:sz w:val="22"/>
          <w:szCs w:val="22"/>
          <w:lang w:val="en-US"/>
        </w:rPr>
        <w:t xml:space="preserve">A </w:t>
      </w:r>
      <w:r w:rsidRPr="00F425D7">
        <w:rPr>
          <w:rFonts w:ascii="Arial" w:eastAsia="Arial" w:hAnsi="Arial" w:cs="Arial"/>
          <w:sz w:val="22"/>
          <w:szCs w:val="22"/>
          <w:lang w:val="en-US"/>
        </w:rPr>
        <w:t>and</w:t>
      </w:r>
      <w:r>
        <w:rPr>
          <w:rFonts w:ascii="Arial" w:eastAsia="Arial" w:hAnsi="Arial" w:cs="Arial"/>
          <w:b/>
          <w:bCs/>
          <w:sz w:val="22"/>
          <w:szCs w:val="22"/>
          <w:lang w:val="en-US"/>
        </w:rPr>
        <w:t xml:space="preserve"> B</w:t>
      </w:r>
      <w:r w:rsidRPr="00F425D7">
        <w:rPr>
          <w:rFonts w:ascii="Arial" w:eastAsia="Arial" w:hAnsi="Arial" w:cs="Arial"/>
          <w:sz w:val="22"/>
          <w:szCs w:val="22"/>
          <w:lang w:val="en-US"/>
        </w:rPr>
        <w:t>)</w:t>
      </w:r>
      <w:r>
        <w:rPr>
          <w:rFonts w:ascii="Arial" w:eastAsia="Arial" w:hAnsi="Arial" w:cs="Arial"/>
          <w:b/>
          <w:bCs/>
          <w:sz w:val="22"/>
          <w:szCs w:val="22"/>
          <w:lang w:val="en-US"/>
        </w:rPr>
        <w:t xml:space="preserve"> </w:t>
      </w:r>
      <w:r>
        <w:rPr>
          <w:rFonts w:ascii="Arial" w:eastAsia="Arial" w:hAnsi="Arial" w:cs="Arial"/>
          <w:sz w:val="22"/>
          <w:szCs w:val="22"/>
          <w:lang w:val="en-US"/>
        </w:rPr>
        <w:t>An IFNβ induced gene signature follows the on/off kinetics in AB1 and Renca tumors</w:t>
      </w:r>
      <w:r>
        <w:rPr>
          <w:rFonts w:ascii="Arial" w:eastAsia="Arial" w:hAnsi="Arial" w:cs="Arial"/>
          <w:b/>
          <w:bCs/>
          <w:sz w:val="22"/>
          <w:szCs w:val="22"/>
          <w:lang w:val="en-US"/>
        </w:rPr>
        <w:t xml:space="preserve">. </w:t>
      </w:r>
      <w:r>
        <w:rPr>
          <w:rFonts w:ascii="Arial" w:eastAsia="Arial" w:hAnsi="Arial" w:cs="Arial"/>
          <w:sz w:val="22"/>
          <w:szCs w:val="22"/>
          <w:lang w:val="en-US"/>
        </w:rPr>
        <w:t>Using a stimulated T cell gene expression signature from a recently published singe cell RNAseq dataset, which was obtained by treating human CD4</w:t>
      </w:r>
      <w:r>
        <w:rPr>
          <w:rFonts w:ascii="Arial" w:eastAsia="Arial" w:hAnsi="Arial" w:cs="Arial"/>
          <w:sz w:val="22"/>
          <w:szCs w:val="22"/>
          <w:vertAlign w:val="superscript"/>
          <w:lang w:val="en-US"/>
        </w:rPr>
        <w:t>+</w:t>
      </w:r>
      <w:r>
        <w:rPr>
          <w:rFonts w:ascii="Arial" w:eastAsia="Arial" w:hAnsi="Arial" w:cs="Arial"/>
          <w:sz w:val="22"/>
          <w:szCs w:val="22"/>
          <w:lang w:val="en-US"/>
        </w:rPr>
        <w:t xml:space="preserve"> T cells with chemokines including IFNβ </w:t>
      </w:r>
      <w:r>
        <w:rPr>
          <w:rFonts w:ascii="Arial" w:eastAsia="Arial" w:hAnsi="Arial" w:cs="Arial"/>
          <w:i/>
          <w:iCs/>
          <w:sz w:val="22"/>
          <w:szCs w:val="22"/>
          <w:lang w:val="en-US"/>
        </w:rPr>
        <w:t xml:space="preserve">in vitro </w:t>
      </w:r>
      <w:r w:rsidRPr="00202389">
        <w:rPr>
          <w:rFonts w:ascii="Arial" w:hAnsi="Arial" w:cs="Arial"/>
          <w:sz w:val="22"/>
          <w:vertAlign w:val="superscript"/>
          <w:lang w:val="en-GB"/>
        </w:rPr>
        <w:t>30</w:t>
      </w:r>
      <w:r>
        <w:rPr>
          <w:rFonts w:ascii="Arial" w:eastAsia="Arial" w:hAnsi="Arial" w:cs="Arial"/>
          <w:sz w:val="22"/>
          <w:szCs w:val="22"/>
          <w:lang w:val="en-US"/>
        </w:rPr>
        <w:t>, we constructed a reference matrix using CIBERSORT. Using this matrix, we used CIBERSORT to deconvolute these populations in our bulk RNAseq data for AB1 (</w:t>
      </w:r>
      <w:r>
        <w:rPr>
          <w:rFonts w:ascii="Arial" w:eastAsia="Arial" w:hAnsi="Arial" w:cs="Arial"/>
          <w:b/>
          <w:bCs/>
          <w:sz w:val="22"/>
          <w:szCs w:val="22"/>
          <w:lang w:val="en-US"/>
        </w:rPr>
        <w:t>A</w:t>
      </w:r>
      <w:r>
        <w:rPr>
          <w:rFonts w:ascii="Arial" w:eastAsia="Arial" w:hAnsi="Arial" w:cs="Arial"/>
          <w:sz w:val="22"/>
          <w:szCs w:val="22"/>
          <w:lang w:val="en-US"/>
        </w:rPr>
        <w:t>) and Renca (</w:t>
      </w:r>
      <w:r>
        <w:rPr>
          <w:rFonts w:ascii="Arial" w:eastAsia="Arial" w:hAnsi="Arial" w:cs="Arial"/>
          <w:b/>
          <w:bCs/>
          <w:sz w:val="22"/>
          <w:szCs w:val="22"/>
          <w:lang w:val="en-US"/>
        </w:rPr>
        <w:t>B</w:t>
      </w:r>
      <w:r>
        <w:rPr>
          <w:rFonts w:ascii="Arial" w:eastAsia="Arial" w:hAnsi="Arial" w:cs="Arial"/>
          <w:sz w:val="22"/>
          <w:szCs w:val="22"/>
          <w:lang w:val="en-US"/>
        </w:rPr>
        <w:t xml:space="preserve">). The signature from the IFNβ T cells, but not other stimulated T cells, followed the rapid on/off kinetics in responders, but the increase is delayed in non-responders. </w:t>
      </w:r>
      <w:r w:rsidRPr="00F425D7">
        <w:rPr>
          <w:rFonts w:ascii="Arial" w:eastAsia="Arial" w:hAnsi="Arial" w:cs="Arial"/>
          <w:sz w:val="22"/>
          <w:szCs w:val="22"/>
          <w:lang w:val="en-US"/>
        </w:rPr>
        <w:t>(</w:t>
      </w:r>
      <w:r>
        <w:rPr>
          <w:rFonts w:ascii="Arial" w:eastAsia="Arial" w:hAnsi="Arial" w:cs="Arial"/>
          <w:b/>
          <w:bCs/>
          <w:sz w:val="22"/>
          <w:szCs w:val="22"/>
          <w:lang w:val="en-US"/>
        </w:rPr>
        <w:t>C-E</w:t>
      </w:r>
      <w:r w:rsidRPr="00F425D7">
        <w:rPr>
          <w:rFonts w:ascii="Arial" w:eastAsia="Arial" w:hAnsi="Arial" w:cs="Arial"/>
          <w:sz w:val="22"/>
          <w:szCs w:val="22"/>
          <w:lang w:val="en-US"/>
        </w:rPr>
        <w:t>)</w:t>
      </w:r>
      <w:r>
        <w:rPr>
          <w:rFonts w:ascii="Arial" w:eastAsia="Arial" w:hAnsi="Arial" w:cs="Arial"/>
          <w:b/>
          <w:bCs/>
          <w:sz w:val="22"/>
          <w:szCs w:val="22"/>
          <w:lang w:val="en-US"/>
        </w:rPr>
        <w:t xml:space="preserve"> </w:t>
      </w:r>
      <w:r>
        <w:rPr>
          <w:rFonts w:ascii="Arial" w:eastAsia="Arial" w:hAnsi="Arial" w:cs="Arial"/>
          <w:sz w:val="22"/>
          <w:szCs w:val="22"/>
          <w:lang w:val="en-US"/>
        </w:rPr>
        <w:t>To more closely recapitulate a clinical scenario, pre-treatment with poly(I:C) was omitted from the schedule. (</w:t>
      </w:r>
      <w:r>
        <w:rPr>
          <w:rFonts w:ascii="Arial" w:eastAsia="Arial" w:hAnsi="Arial" w:cs="Arial"/>
          <w:b/>
          <w:bCs/>
          <w:sz w:val="22"/>
          <w:szCs w:val="22"/>
          <w:lang w:val="en-US"/>
        </w:rPr>
        <w:t>C</w:t>
      </w:r>
      <w:r>
        <w:rPr>
          <w:rFonts w:ascii="Arial" w:eastAsia="Arial" w:hAnsi="Arial" w:cs="Arial"/>
          <w:sz w:val="22"/>
          <w:szCs w:val="22"/>
          <w:lang w:val="en-US"/>
        </w:rPr>
        <w:t xml:space="preserve">) AB1 tumors treated with ICB followed by anti-IFNAR or anti-IFNβ showed a decrease in tumor </w:t>
      </w:r>
      <w:r>
        <w:rPr>
          <w:rFonts w:ascii="Arial" w:eastAsia="Arial" w:hAnsi="Arial" w:cs="Arial"/>
          <w:sz w:val="22"/>
          <w:szCs w:val="22"/>
          <w:lang w:val="en-US"/>
        </w:rPr>
        <w:lastRenderedPageBreak/>
        <w:t xml:space="preserve">size and delay in growth when complete response was not achieved. Growth curves were analyzed longitudinally using type II ANOVA and pairwise comparisons across groups with Bonferroni correction for multiple comparisons (lower table </w:t>
      </w:r>
      <w:r w:rsidRPr="00202389">
        <w:rPr>
          <w:rFonts w:ascii="Arial" w:hAnsi="Arial" w:cs="Arial"/>
          <w:sz w:val="22"/>
          <w:vertAlign w:val="superscript"/>
          <w:lang w:val="en-GB"/>
        </w:rPr>
        <w:t>85</w:t>
      </w:r>
      <w:r>
        <w:rPr>
          <w:rFonts w:ascii="Arial" w:eastAsia="Arial" w:hAnsi="Arial" w:cs="Arial"/>
          <w:sz w:val="22"/>
          <w:szCs w:val="22"/>
          <w:lang w:val="en-US"/>
        </w:rPr>
        <w:t>). (</w:t>
      </w:r>
      <w:r>
        <w:rPr>
          <w:rFonts w:ascii="Arial" w:eastAsia="Arial" w:hAnsi="Arial" w:cs="Arial"/>
          <w:b/>
          <w:bCs/>
          <w:sz w:val="22"/>
          <w:szCs w:val="22"/>
          <w:lang w:val="en-US"/>
        </w:rPr>
        <w:t>D</w:t>
      </w:r>
      <w:r>
        <w:rPr>
          <w:rFonts w:ascii="Arial" w:eastAsia="Arial" w:hAnsi="Arial" w:cs="Arial"/>
          <w:sz w:val="22"/>
          <w:szCs w:val="22"/>
          <w:lang w:val="en-US"/>
        </w:rPr>
        <w:t>) Blocking IFN</w:t>
      </w:r>
      <w:r>
        <w:rPr>
          <w:rFonts w:ascii="Symbol" w:eastAsia="Arial" w:hAnsi="Symbol" w:cs="Arial"/>
          <w:sz w:val="22"/>
          <w:szCs w:val="22"/>
          <w:lang w:val="en-US"/>
        </w:rPr>
        <w:t>b</w:t>
      </w:r>
      <w:r>
        <w:rPr>
          <w:rFonts w:ascii="Arial" w:eastAsia="Arial" w:hAnsi="Arial" w:cs="Arial"/>
          <w:sz w:val="22"/>
          <w:szCs w:val="22"/>
          <w:lang w:val="en-US"/>
        </w:rPr>
        <w:t>,, but not IFN</w:t>
      </w:r>
      <w:r>
        <w:rPr>
          <w:rFonts w:ascii="Symbol" w:eastAsia="Arial" w:hAnsi="Symbol" w:cs="Arial"/>
          <w:sz w:val="22"/>
          <w:szCs w:val="22"/>
          <w:lang w:val="en-US"/>
        </w:rPr>
        <w:t>a</w:t>
      </w:r>
      <w:r>
        <w:rPr>
          <w:rFonts w:ascii="Arial" w:eastAsia="Arial" w:hAnsi="Arial" w:cs="Arial"/>
          <w:sz w:val="22"/>
          <w:szCs w:val="22"/>
          <w:lang w:val="en-US"/>
        </w:rPr>
        <w:t xml:space="preserve"> or IFNγ after ICB significantly improved response in the AE17 tumor model. (</w:t>
      </w:r>
      <w:r>
        <w:rPr>
          <w:rFonts w:ascii="Arial" w:eastAsia="Arial" w:hAnsi="Arial" w:cs="Arial"/>
          <w:b/>
          <w:bCs/>
          <w:sz w:val="22"/>
          <w:szCs w:val="22"/>
          <w:lang w:val="en-US"/>
        </w:rPr>
        <w:t>E</w:t>
      </w:r>
      <w:r>
        <w:rPr>
          <w:rFonts w:ascii="Arial" w:eastAsia="Arial" w:hAnsi="Arial" w:cs="Arial"/>
          <w:sz w:val="22"/>
          <w:szCs w:val="22"/>
          <w:lang w:val="en-US"/>
        </w:rPr>
        <w:t>) Blocking IFNβ, but not IFNα, after ICB significantly improved response in the Renca tumor model. P-values are compared to ICB control, using Logrank testing.</w:t>
      </w:r>
    </w:p>
    <w:p w14:paraId="38CD9FBA" w14:textId="77777777" w:rsidR="002A2BAA" w:rsidRDefault="002A2BAA" w:rsidP="002A2BAA">
      <w:pPr>
        <w:suppressAutoHyphens/>
        <w:rPr>
          <w:rFonts w:ascii="Arial" w:eastAsia="Arial" w:hAnsi="Arial" w:cs="Arial"/>
          <w:sz w:val="22"/>
          <w:szCs w:val="22"/>
          <w:lang w:val="en-US"/>
        </w:rPr>
      </w:pPr>
      <w:r>
        <w:br w:type="page"/>
      </w:r>
    </w:p>
    <w:p w14:paraId="4375827B" w14:textId="77777777" w:rsidR="002A2BAA" w:rsidRDefault="002A2BAA" w:rsidP="002A2BAA">
      <w:pPr>
        <w:spacing w:line="360" w:lineRule="auto"/>
        <w:jc w:val="both"/>
        <w:rPr>
          <w:rFonts w:ascii="Arial" w:eastAsia="Arial" w:hAnsi="Arial" w:cs="Arial"/>
          <w:sz w:val="22"/>
          <w:szCs w:val="22"/>
          <w:lang w:val="en-US"/>
        </w:rPr>
      </w:pPr>
      <w:r>
        <w:rPr>
          <w:noProof/>
        </w:rPr>
        <w:lastRenderedPageBreak/>
        <w:drawing>
          <wp:inline distT="0" distB="635" distL="0" distR="0" wp14:anchorId="302598A5" wp14:editId="2D5DC6FD">
            <wp:extent cx="6271260" cy="7029450"/>
            <wp:effectExtent l="0" t="0" r="0" b="0"/>
            <wp:docPr id="11" name="Picture 38"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38" descr="Graphical user interface&#10;&#10;Description automatically generated with medium confidence"/>
                    <pic:cNvPicPr>
                      <a:picLocks noChangeAspect="1" noChangeArrowheads="1"/>
                    </pic:cNvPicPr>
                  </pic:nvPicPr>
                  <pic:blipFill>
                    <a:blip r:embed="rId9"/>
                    <a:stretch>
                      <a:fillRect/>
                    </a:stretch>
                  </pic:blipFill>
                  <pic:spPr bwMode="auto">
                    <a:xfrm>
                      <a:off x="0" y="0"/>
                      <a:ext cx="6271260" cy="7029450"/>
                    </a:xfrm>
                    <a:prstGeom prst="rect">
                      <a:avLst/>
                    </a:prstGeom>
                  </pic:spPr>
                </pic:pic>
              </a:graphicData>
            </a:graphic>
          </wp:inline>
        </w:drawing>
      </w:r>
    </w:p>
    <w:p w14:paraId="0E1B8659" w14:textId="77777777" w:rsidR="002A2BAA" w:rsidRDefault="002A2BAA" w:rsidP="002A2BAA">
      <w:pPr>
        <w:spacing w:line="360" w:lineRule="auto"/>
        <w:jc w:val="both"/>
        <w:rPr>
          <w:rFonts w:ascii="Arial" w:eastAsia="Arial" w:hAnsi="Arial" w:cs="Arial"/>
          <w:sz w:val="22"/>
          <w:szCs w:val="22"/>
          <w:lang w:val="en-US"/>
        </w:rPr>
      </w:pPr>
      <w:bookmarkStart w:id="2" w:name="_3fwokq0"/>
      <w:bookmarkEnd w:id="2"/>
      <w:r>
        <w:rPr>
          <w:rFonts w:ascii="Arial" w:eastAsia="Arial" w:hAnsi="Arial" w:cs="Arial"/>
          <w:b/>
          <w:sz w:val="22"/>
          <w:szCs w:val="22"/>
          <w:lang w:val="en-US"/>
        </w:rPr>
        <w:t xml:space="preserve">Fig. S6. Increased IFN-related activity in AB1 cluster 1 monocytes in responders, with Renca monocytes existing in an earlier transcriptional state. </w:t>
      </w:r>
      <w:r>
        <w:rPr>
          <w:rFonts w:ascii="Arial" w:eastAsia="Arial" w:hAnsi="Arial" w:cs="Arial"/>
          <w:sz w:val="22"/>
          <w:szCs w:val="22"/>
          <w:lang w:val="en-US"/>
        </w:rPr>
        <w:t>(</w:t>
      </w:r>
      <w:r w:rsidRPr="00F425D7">
        <w:rPr>
          <w:rFonts w:ascii="Arial" w:eastAsia="Arial" w:hAnsi="Arial" w:cs="Arial"/>
          <w:b/>
          <w:bCs/>
          <w:sz w:val="22"/>
          <w:szCs w:val="22"/>
          <w:lang w:val="en-US"/>
        </w:rPr>
        <w:t>A</w:t>
      </w:r>
      <w:r>
        <w:rPr>
          <w:rFonts w:ascii="Arial" w:eastAsia="Arial" w:hAnsi="Arial" w:cs="Arial"/>
          <w:sz w:val="22"/>
          <w:szCs w:val="22"/>
          <w:lang w:val="en-US"/>
        </w:rPr>
        <w:t xml:space="preserve">) SCENIC network analysis on single cell AB1 data showed differential transcription factor activation across the 3 monocyte populations. IFN-related TFs were found in all three regions of differential activation and were </w:t>
      </w:r>
      <w:r>
        <w:rPr>
          <w:rFonts w:ascii="Arial" w:eastAsia="Arial" w:hAnsi="Arial" w:cs="Arial"/>
          <w:sz w:val="22"/>
          <w:szCs w:val="22"/>
          <w:lang w:val="en-US"/>
        </w:rPr>
        <w:lastRenderedPageBreak/>
        <w:t>increased, especially in cluster 1 monocytes. (</w:t>
      </w:r>
      <w:r w:rsidRPr="00F425D7">
        <w:rPr>
          <w:rFonts w:ascii="Arial" w:eastAsia="Arial" w:hAnsi="Arial" w:cs="Arial"/>
          <w:b/>
          <w:sz w:val="22"/>
          <w:szCs w:val="22"/>
          <w:lang w:val="en-US"/>
        </w:rPr>
        <w:t>B</w:t>
      </w:r>
      <w:r>
        <w:rPr>
          <w:rFonts w:ascii="Arial" w:eastAsia="Arial" w:hAnsi="Arial" w:cs="Arial"/>
          <w:sz w:val="22"/>
          <w:szCs w:val="22"/>
          <w:lang w:val="en-US"/>
        </w:rPr>
        <w:t>)</w:t>
      </w:r>
      <w:r>
        <w:rPr>
          <w:rFonts w:ascii="Arial" w:eastAsia="Arial" w:hAnsi="Arial" w:cs="Arial"/>
          <w:b/>
          <w:sz w:val="22"/>
          <w:szCs w:val="22"/>
          <w:lang w:val="en-US"/>
        </w:rPr>
        <w:t xml:space="preserve"> </w:t>
      </w:r>
      <w:r>
        <w:rPr>
          <w:rFonts w:ascii="Arial" w:eastAsia="Arial" w:hAnsi="Arial" w:cs="Arial"/>
          <w:sz w:val="22"/>
          <w:szCs w:val="22"/>
          <w:lang w:val="en-US"/>
        </w:rPr>
        <w:t>Heatmap of IFN-related gene transcriptional rates (abs(U_measured – U_predicted after gamma fit) for cluster 1 monocytes in responders (red) compared to non-responders (blue). (</w:t>
      </w:r>
      <w:r w:rsidRPr="00F425D7">
        <w:rPr>
          <w:rFonts w:ascii="Arial" w:eastAsia="Arial" w:hAnsi="Arial" w:cs="Arial"/>
          <w:b/>
          <w:sz w:val="22"/>
          <w:szCs w:val="22"/>
          <w:lang w:val="en-US"/>
        </w:rPr>
        <w:t>C</w:t>
      </w:r>
      <w:r>
        <w:rPr>
          <w:rFonts w:ascii="Arial" w:eastAsia="Arial" w:hAnsi="Arial" w:cs="Arial"/>
          <w:sz w:val="22"/>
          <w:szCs w:val="22"/>
          <w:lang w:val="en-US"/>
        </w:rPr>
        <w:t>) Irf1 transcription in single cells in AB1 tumors shows strong negative regulation in monocytes, and this is also more pronounced in responders than non-responders. (</w:t>
      </w:r>
      <w:r w:rsidRPr="00F425D7">
        <w:rPr>
          <w:rFonts w:ascii="Arial" w:eastAsia="Arial" w:hAnsi="Arial" w:cs="Arial"/>
          <w:b/>
          <w:bCs/>
          <w:sz w:val="22"/>
          <w:szCs w:val="22"/>
          <w:lang w:val="en-US"/>
        </w:rPr>
        <w:t>D-F</w:t>
      </w:r>
      <w:r>
        <w:rPr>
          <w:rFonts w:ascii="Arial" w:eastAsia="Arial" w:hAnsi="Arial" w:cs="Arial"/>
          <w:sz w:val="22"/>
          <w:szCs w:val="22"/>
          <w:lang w:val="en-US"/>
        </w:rPr>
        <w:t xml:space="preserve">) </w:t>
      </w:r>
      <w:r w:rsidRPr="00854FC1">
        <w:rPr>
          <w:rFonts w:ascii="Arial" w:eastAsia="Arial" w:hAnsi="Arial" w:cs="Arial"/>
          <w:bCs/>
          <w:sz w:val="22"/>
          <w:szCs w:val="22"/>
          <w:lang w:val="en-US"/>
        </w:rPr>
        <w:t xml:space="preserve">Since </w:t>
      </w:r>
      <w:r w:rsidRPr="003776A0">
        <w:rPr>
          <w:rFonts w:ascii="Arial" w:eastAsia="Arial" w:hAnsi="Arial" w:cs="Arial"/>
          <w:bCs/>
          <w:sz w:val="22"/>
          <w:szCs w:val="22"/>
          <w:lang w:val="en-US"/>
        </w:rPr>
        <w:t xml:space="preserve">the bulk RNAseq data </w:t>
      </w:r>
      <w:r>
        <w:rPr>
          <w:rFonts w:ascii="Arial" w:eastAsia="Arial" w:hAnsi="Arial" w:cs="Arial"/>
          <w:bCs/>
          <w:sz w:val="22"/>
          <w:szCs w:val="22"/>
          <w:lang w:val="en-US"/>
        </w:rPr>
        <w:t xml:space="preserve">indicated </w:t>
      </w:r>
      <w:r w:rsidRPr="003776A0">
        <w:rPr>
          <w:rFonts w:ascii="Arial" w:eastAsia="Arial" w:hAnsi="Arial" w:cs="Arial"/>
          <w:bCs/>
          <w:sz w:val="22"/>
          <w:szCs w:val="22"/>
          <w:lang w:val="en-US"/>
        </w:rPr>
        <w:t>that the Renca responder samples had a delayed on/fast-off dynamic compared to AB1</w:t>
      </w:r>
      <w:r>
        <w:rPr>
          <w:rFonts w:ascii="Arial" w:eastAsia="Arial" w:hAnsi="Arial" w:cs="Arial"/>
          <w:bCs/>
          <w:sz w:val="22"/>
          <w:szCs w:val="22"/>
          <w:lang w:val="en-US"/>
        </w:rPr>
        <w:t xml:space="preserve">, we queried whether </w:t>
      </w:r>
      <w:r w:rsidRPr="003776A0">
        <w:rPr>
          <w:rFonts w:ascii="Arial" w:eastAsia="Arial" w:hAnsi="Arial" w:cs="Arial"/>
          <w:bCs/>
          <w:sz w:val="22"/>
          <w:szCs w:val="22"/>
          <w:lang w:val="en-US"/>
        </w:rPr>
        <w:t>this delayed dynamic in bulk RNAseq signal in Renca was due to an earlier state of the tumor microenvironment</w:t>
      </w:r>
      <w:r>
        <w:rPr>
          <w:rFonts w:ascii="Arial" w:eastAsia="Arial" w:hAnsi="Arial" w:cs="Arial"/>
          <w:bCs/>
          <w:sz w:val="22"/>
          <w:szCs w:val="22"/>
          <w:lang w:val="en-US"/>
        </w:rPr>
        <w:t>. To investigate this, we examined transcriptional activity of monocytes in AB1 and compared their activity to the same monocyte population in Renca.</w:t>
      </w:r>
      <w:r w:rsidRPr="003776A0">
        <w:rPr>
          <w:rFonts w:ascii="Arial" w:eastAsia="Arial" w:hAnsi="Arial" w:cs="Arial"/>
          <w:b/>
          <w:sz w:val="22"/>
          <w:szCs w:val="22"/>
          <w:lang w:val="en-US"/>
        </w:rPr>
        <w:t xml:space="preserve"> </w:t>
      </w:r>
      <w:r>
        <w:rPr>
          <w:rFonts w:ascii="Arial" w:eastAsia="Arial" w:hAnsi="Arial" w:cs="Arial"/>
          <w:sz w:val="22"/>
          <w:szCs w:val="22"/>
          <w:lang w:val="en-US"/>
        </w:rPr>
        <w:t>(</w:t>
      </w:r>
      <w:r w:rsidRPr="00F425D7">
        <w:rPr>
          <w:rFonts w:ascii="Arial" w:eastAsia="Arial" w:hAnsi="Arial" w:cs="Arial"/>
          <w:b/>
          <w:sz w:val="22"/>
          <w:szCs w:val="22"/>
          <w:lang w:val="en-US"/>
        </w:rPr>
        <w:t>D</w:t>
      </w:r>
      <w:r>
        <w:rPr>
          <w:rFonts w:ascii="Arial" w:eastAsia="Arial" w:hAnsi="Arial" w:cs="Arial"/>
          <w:sz w:val="22"/>
          <w:szCs w:val="22"/>
          <w:lang w:val="en-US"/>
        </w:rPr>
        <w:t>) Combined UMAP of AB1 and Renca samples with cluster 1 monocytes located in the region highlighted by the red box. In this region, Renca responder monocytes have reduced transcriptional momentum compared to AB1 monocytes (</w:t>
      </w:r>
      <w:r w:rsidRPr="00F425D7">
        <w:rPr>
          <w:rFonts w:ascii="Arial" w:eastAsia="Arial" w:hAnsi="Arial" w:cs="Arial"/>
          <w:b/>
          <w:bCs/>
          <w:sz w:val="22"/>
          <w:szCs w:val="22"/>
          <w:lang w:val="en-US"/>
        </w:rPr>
        <w:t>E</w:t>
      </w:r>
      <w:r>
        <w:rPr>
          <w:rFonts w:ascii="Arial" w:eastAsia="Arial" w:hAnsi="Arial" w:cs="Arial"/>
          <w:sz w:val="22"/>
          <w:szCs w:val="22"/>
          <w:lang w:val="en-US"/>
        </w:rPr>
        <w:t>). (</w:t>
      </w:r>
      <w:r w:rsidRPr="00F425D7">
        <w:rPr>
          <w:rFonts w:ascii="Arial" w:eastAsia="Arial" w:hAnsi="Arial" w:cs="Arial"/>
          <w:b/>
          <w:bCs/>
          <w:sz w:val="22"/>
          <w:szCs w:val="22"/>
          <w:lang w:val="en-US"/>
        </w:rPr>
        <w:t>F</w:t>
      </w:r>
      <w:r>
        <w:rPr>
          <w:rFonts w:ascii="Arial" w:eastAsia="Arial" w:hAnsi="Arial" w:cs="Arial"/>
          <w:sz w:val="22"/>
          <w:szCs w:val="22"/>
          <w:lang w:val="en-US"/>
        </w:rPr>
        <w:t>)</w:t>
      </w:r>
      <w:r>
        <w:rPr>
          <w:rFonts w:ascii="Arial" w:eastAsia="Arial" w:hAnsi="Arial" w:cs="Arial"/>
          <w:b/>
          <w:sz w:val="22"/>
          <w:szCs w:val="22"/>
          <w:lang w:val="en-US"/>
        </w:rPr>
        <w:t xml:space="preserve"> </w:t>
      </w:r>
      <w:r>
        <w:rPr>
          <w:rFonts w:ascii="Arial" w:eastAsia="Arial" w:hAnsi="Arial" w:cs="Arial"/>
          <w:sz w:val="22"/>
          <w:szCs w:val="22"/>
          <w:lang w:val="en-US"/>
        </w:rPr>
        <w:t xml:space="preserve">Both responder and non-responder Renca monocytes have similar transcriptional momentum (right), unlike AB1 (left). Taken together, these data indicate that cluster 1 monocytes diverge over time along two transcriptional trajectories based on ICB response. These separate trajectories are characterised by differences in interferon gene expression, with Renca monocytes at an earlier transcriptional timepoint than AB1. </w:t>
      </w:r>
    </w:p>
    <w:p w14:paraId="50FDB9C1" w14:textId="77777777" w:rsidR="002A2BAA" w:rsidRDefault="002A2BAA" w:rsidP="002A2BAA">
      <w:pPr>
        <w:spacing w:line="360" w:lineRule="auto"/>
        <w:jc w:val="both"/>
        <w:rPr>
          <w:rFonts w:ascii="Arial" w:eastAsia="Arial" w:hAnsi="Arial" w:cs="Arial"/>
          <w:b/>
          <w:bCs/>
          <w:color w:val="000000"/>
          <w:sz w:val="22"/>
          <w:szCs w:val="22"/>
          <w:lang w:val="en-US"/>
        </w:rPr>
      </w:pPr>
    </w:p>
    <w:p w14:paraId="30CC0E83" w14:textId="77777777" w:rsidR="002A2BAA" w:rsidRDefault="002A2BAA" w:rsidP="002A2BAA">
      <w:pPr>
        <w:spacing w:line="360" w:lineRule="auto"/>
        <w:jc w:val="both"/>
        <w:rPr>
          <w:rFonts w:ascii="Arial" w:eastAsia="Arial" w:hAnsi="Arial" w:cs="Arial"/>
          <w:sz w:val="22"/>
          <w:szCs w:val="22"/>
          <w:lang w:val="en-US"/>
        </w:rPr>
      </w:pPr>
    </w:p>
    <w:p w14:paraId="1F557290" w14:textId="77777777" w:rsidR="002A2BAA" w:rsidRDefault="002A2BAA" w:rsidP="002A2BAA">
      <w:pPr>
        <w:spacing w:line="360" w:lineRule="auto"/>
        <w:jc w:val="both"/>
        <w:rPr>
          <w:rFonts w:ascii="Arial" w:eastAsia="Arial" w:hAnsi="Arial" w:cs="Arial"/>
          <w:sz w:val="22"/>
          <w:szCs w:val="22"/>
          <w:lang w:val="en-US"/>
        </w:rPr>
      </w:pPr>
      <w:bookmarkStart w:id="3" w:name="_1v1yuxt"/>
      <w:bookmarkEnd w:id="3"/>
      <w:r>
        <w:rPr>
          <w:rFonts w:ascii="Arial" w:eastAsia="Arial" w:hAnsi="Arial" w:cs="Arial"/>
          <w:b/>
          <w:bCs/>
          <w:noProof/>
          <w:color w:val="000000"/>
          <w:sz w:val="22"/>
          <w:szCs w:val="22"/>
          <w:lang w:val="en-US"/>
        </w:rPr>
        <w:lastRenderedPageBreak/>
        <w:drawing>
          <wp:inline distT="0" distB="0" distL="0" distR="0" wp14:anchorId="01A7919C" wp14:editId="1489BBE8">
            <wp:extent cx="5912227" cy="6443932"/>
            <wp:effectExtent l="0" t="0" r="0" b="0"/>
            <wp:docPr id="24" name="Picture 24" descr="Graphical user interface,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Graphical user interface, diagram&#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25807" cy="6458733"/>
                    </a:xfrm>
                    <a:prstGeom prst="rect">
                      <a:avLst/>
                    </a:prstGeom>
                    <a:noFill/>
                  </pic:spPr>
                </pic:pic>
              </a:graphicData>
            </a:graphic>
          </wp:inline>
        </w:drawing>
      </w:r>
      <w:r>
        <w:rPr>
          <w:rFonts w:ascii="Arial" w:eastAsia="Arial" w:hAnsi="Arial" w:cs="Arial"/>
          <w:b/>
          <w:bCs/>
          <w:color w:val="000000"/>
          <w:sz w:val="22"/>
          <w:szCs w:val="22"/>
          <w:lang w:val="en-US"/>
        </w:rPr>
        <w:t>Fig. S7. On/off kinetics of Ly6c and CCR2 gene expression in responders over the course of ICB in bulk RNAseq data are compatible with Ly6c gene expression in responder AB1 monocytes along pseudo time axis</w:t>
      </w:r>
      <w:r>
        <w:rPr>
          <w:rFonts w:ascii="Arial" w:eastAsia="Arial" w:hAnsi="Arial" w:cs="Arial"/>
          <w:color w:val="000000"/>
          <w:sz w:val="22"/>
          <w:szCs w:val="22"/>
          <w:lang w:val="en-US"/>
        </w:rPr>
        <w:t xml:space="preserve">. </w:t>
      </w:r>
    </w:p>
    <w:p w14:paraId="2C18AFEB" w14:textId="77777777" w:rsidR="002A2BAA" w:rsidRDefault="002A2BAA" w:rsidP="002A2BAA">
      <w:pPr>
        <w:spacing w:line="360" w:lineRule="auto"/>
        <w:jc w:val="both"/>
        <w:rPr>
          <w:rFonts w:ascii="Arial" w:eastAsia="Arial" w:hAnsi="Arial" w:cs="Arial"/>
          <w:sz w:val="22"/>
          <w:szCs w:val="22"/>
          <w:lang w:val="en-US"/>
        </w:rPr>
      </w:pPr>
      <w:r>
        <w:rPr>
          <w:rFonts w:ascii="Arial" w:eastAsia="Arial" w:hAnsi="Arial" w:cs="Arial"/>
          <w:sz w:val="22"/>
          <w:szCs w:val="22"/>
          <w:lang w:val="en-US"/>
        </w:rPr>
        <w:t>(</w:t>
      </w:r>
      <w:r w:rsidRPr="00F425D7">
        <w:rPr>
          <w:rFonts w:ascii="Arial" w:eastAsia="Arial" w:hAnsi="Arial" w:cs="Arial"/>
          <w:b/>
          <w:bCs/>
          <w:sz w:val="22"/>
          <w:szCs w:val="22"/>
          <w:lang w:val="en-US"/>
        </w:rPr>
        <w:t>A</w:t>
      </w:r>
      <w:r>
        <w:rPr>
          <w:rFonts w:ascii="Arial" w:eastAsia="Arial" w:hAnsi="Arial" w:cs="Arial"/>
          <w:sz w:val="22"/>
          <w:szCs w:val="22"/>
          <w:lang w:val="en-US"/>
        </w:rPr>
        <w:t xml:space="preserve"> and </w:t>
      </w:r>
      <w:r w:rsidRPr="00F425D7">
        <w:rPr>
          <w:rFonts w:ascii="Arial" w:eastAsia="Arial" w:hAnsi="Arial" w:cs="Arial"/>
          <w:b/>
          <w:bCs/>
          <w:sz w:val="22"/>
          <w:szCs w:val="22"/>
          <w:lang w:val="en-US"/>
        </w:rPr>
        <w:t>B</w:t>
      </w:r>
      <w:r>
        <w:rPr>
          <w:rFonts w:ascii="Arial" w:eastAsia="Arial" w:hAnsi="Arial" w:cs="Arial"/>
          <w:sz w:val="22"/>
          <w:szCs w:val="22"/>
          <w:lang w:val="en-US"/>
        </w:rPr>
        <w:t xml:space="preserve">) The kinetics of expression in </w:t>
      </w:r>
      <w:r w:rsidRPr="001C083D">
        <w:rPr>
          <w:rFonts w:ascii="Arial" w:eastAsia="Arial" w:hAnsi="Arial" w:cs="Arial"/>
          <w:i/>
          <w:iCs/>
          <w:sz w:val="22"/>
          <w:szCs w:val="22"/>
          <w:lang w:val="en-US"/>
        </w:rPr>
        <w:t xml:space="preserve">Ly6c1 </w:t>
      </w:r>
      <w:r>
        <w:rPr>
          <w:rFonts w:ascii="Arial" w:eastAsia="Arial" w:hAnsi="Arial" w:cs="Arial"/>
          <w:sz w:val="22"/>
          <w:szCs w:val="22"/>
          <w:lang w:val="en-US"/>
        </w:rPr>
        <w:t>(</w:t>
      </w:r>
      <w:r w:rsidRPr="00F425D7">
        <w:rPr>
          <w:rFonts w:ascii="Arial" w:eastAsia="Arial" w:hAnsi="Arial" w:cs="Arial"/>
          <w:b/>
          <w:bCs/>
          <w:sz w:val="22"/>
          <w:szCs w:val="22"/>
          <w:lang w:val="en-US"/>
        </w:rPr>
        <w:t>A</w:t>
      </w:r>
      <w:r>
        <w:rPr>
          <w:rFonts w:ascii="Arial" w:eastAsia="Arial" w:hAnsi="Arial" w:cs="Arial"/>
          <w:sz w:val="22"/>
          <w:szCs w:val="22"/>
          <w:lang w:val="en-US"/>
        </w:rPr>
        <w:t xml:space="preserve">) and </w:t>
      </w:r>
      <w:r w:rsidRPr="001C083D">
        <w:rPr>
          <w:rFonts w:ascii="Arial" w:eastAsia="Arial" w:hAnsi="Arial" w:cs="Arial"/>
          <w:i/>
          <w:iCs/>
          <w:sz w:val="22"/>
          <w:szCs w:val="22"/>
          <w:lang w:val="en-US"/>
        </w:rPr>
        <w:t>Ly6c2</w:t>
      </w:r>
      <w:r>
        <w:rPr>
          <w:rFonts w:ascii="Arial" w:eastAsia="Arial" w:hAnsi="Arial" w:cs="Arial"/>
          <w:sz w:val="22"/>
          <w:szCs w:val="22"/>
          <w:lang w:val="en-US"/>
        </w:rPr>
        <w:t xml:space="preserve"> (</w:t>
      </w:r>
      <w:r w:rsidRPr="00F425D7">
        <w:rPr>
          <w:rFonts w:ascii="Arial" w:eastAsia="Arial" w:hAnsi="Arial" w:cs="Arial"/>
          <w:b/>
          <w:bCs/>
          <w:sz w:val="22"/>
          <w:szCs w:val="22"/>
          <w:lang w:val="en-US"/>
        </w:rPr>
        <w:t>B</w:t>
      </w:r>
      <w:r>
        <w:rPr>
          <w:rFonts w:ascii="Arial" w:eastAsia="Arial" w:hAnsi="Arial" w:cs="Arial"/>
          <w:sz w:val="22"/>
          <w:szCs w:val="22"/>
          <w:lang w:val="en-US"/>
        </w:rPr>
        <w:t>) in AB1 monocyte clusters across the pseudo time axis (blue arrow, see also Figure 3H). (</w:t>
      </w:r>
      <w:r w:rsidRPr="00F425D7">
        <w:rPr>
          <w:rFonts w:ascii="Arial" w:eastAsia="Arial" w:hAnsi="Arial" w:cs="Arial"/>
          <w:b/>
          <w:bCs/>
          <w:sz w:val="22"/>
          <w:szCs w:val="22"/>
          <w:lang w:val="en-US"/>
        </w:rPr>
        <w:t>D</w:t>
      </w:r>
      <w:r>
        <w:rPr>
          <w:rFonts w:ascii="Arial" w:eastAsia="Arial" w:hAnsi="Arial" w:cs="Arial"/>
          <w:sz w:val="22"/>
          <w:szCs w:val="22"/>
          <w:lang w:val="en-US"/>
        </w:rPr>
        <w:t xml:space="preserve"> and </w:t>
      </w:r>
      <w:r w:rsidRPr="00F425D7">
        <w:rPr>
          <w:rFonts w:ascii="Arial" w:eastAsia="Arial" w:hAnsi="Arial" w:cs="Arial"/>
          <w:b/>
          <w:bCs/>
          <w:sz w:val="22"/>
          <w:szCs w:val="22"/>
          <w:lang w:val="en-US"/>
        </w:rPr>
        <w:t>E</w:t>
      </w:r>
      <w:r>
        <w:rPr>
          <w:rFonts w:ascii="Arial" w:eastAsia="Arial" w:hAnsi="Arial" w:cs="Arial"/>
          <w:sz w:val="22"/>
          <w:szCs w:val="22"/>
          <w:lang w:val="en-US"/>
        </w:rPr>
        <w:t xml:space="preserve">) Box plot of the normalized expression of the genes </w:t>
      </w:r>
      <w:r w:rsidRPr="001C083D">
        <w:rPr>
          <w:rFonts w:ascii="Arial" w:eastAsia="Arial" w:hAnsi="Arial" w:cs="Arial"/>
          <w:i/>
          <w:iCs/>
          <w:sz w:val="22"/>
          <w:szCs w:val="22"/>
          <w:lang w:val="en-US"/>
        </w:rPr>
        <w:t xml:space="preserve">Ly6c1 </w:t>
      </w:r>
      <w:r>
        <w:rPr>
          <w:rFonts w:ascii="Arial" w:eastAsia="Arial" w:hAnsi="Arial" w:cs="Arial"/>
          <w:sz w:val="22"/>
          <w:szCs w:val="22"/>
          <w:lang w:val="en-US"/>
        </w:rPr>
        <w:t xml:space="preserve">and </w:t>
      </w:r>
      <w:r w:rsidRPr="001C083D">
        <w:rPr>
          <w:rFonts w:ascii="Arial" w:eastAsia="Arial" w:hAnsi="Arial" w:cs="Arial"/>
          <w:i/>
          <w:iCs/>
          <w:sz w:val="22"/>
          <w:szCs w:val="22"/>
          <w:lang w:val="en-US"/>
        </w:rPr>
        <w:t>Ly6c2</w:t>
      </w:r>
      <w:r>
        <w:rPr>
          <w:rFonts w:ascii="Arial" w:eastAsia="Arial" w:hAnsi="Arial" w:cs="Arial"/>
          <w:sz w:val="22"/>
          <w:szCs w:val="22"/>
          <w:lang w:val="en-US"/>
        </w:rPr>
        <w:t xml:space="preserve"> in AB1 (</w:t>
      </w:r>
      <w:r w:rsidRPr="00F425D7">
        <w:rPr>
          <w:rFonts w:ascii="Arial" w:eastAsia="Arial" w:hAnsi="Arial" w:cs="Arial"/>
          <w:b/>
          <w:bCs/>
          <w:sz w:val="22"/>
          <w:szCs w:val="22"/>
          <w:lang w:val="en-US"/>
        </w:rPr>
        <w:t>D</w:t>
      </w:r>
      <w:r>
        <w:rPr>
          <w:rFonts w:ascii="Arial" w:eastAsia="Arial" w:hAnsi="Arial" w:cs="Arial"/>
          <w:sz w:val="22"/>
          <w:szCs w:val="22"/>
          <w:lang w:val="en-US"/>
        </w:rPr>
        <w:t>) and Renca (</w:t>
      </w:r>
      <w:r w:rsidRPr="00F425D7">
        <w:rPr>
          <w:rFonts w:ascii="Arial" w:eastAsia="Arial" w:hAnsi="Arial" w:cs="Arial"/>
          <w:b/>
          <w:bCs/>
          <w:sz w:val="22"/>
          <w:szCs w:val="22"/>
          <w:lang w:val="en-US"/>
        </w:rPr>
        <w:t>E</w:t>
      </w:r>
      <w:r>
        <w:rPr>
          <w:rFonts w:ascii="Arial" w:eastAsia="Arial" w:hAnsi="Arial" w:cs="Arial"/>
          <w:sz w:val="22"/>
          <w:szCs w:val="22"/>
          <w:lang w:val="en-US"/>
        </w:rPr>
        <w:t>) bulk RNAseq data. Expression is plotted over time (left to right) in responders (red) and non-responders (blue). (</w:t>
      </w:r>
      <w:r w:rsidRPr="00F425D7">
        <w:rPr>
          <w:rFonts w:ascii="Arial" w:eastAsia="Arial" w:hAnsi="Arial" w:cs="Arial"/>
          <w:b/>
          <w:bCs/>
          <w:sz w:val="22"/>
          <w:szCs w:val="22"/>
          <w:lang w:val="en-US"/>
        </w:rPr>
        <w:t>F</w:t>
      </w:r>
      <w:r>
        <w:rPr>
          <w:rFonts w:ascii="Arial" w:eastAsia="Arial" w:hAnsi="Arial" w:cs="Arial"/>
          <w:sz w:val="22"/>
          <w:szCs w:val="22"/>
          <w:lang w:val="en-US"/>
        </w:rPr>
        <w:t xml:space="preserve"> </w:t>
      </w:r>
      <w:r>
        <w:rPr>
          <w:rFonts w:ascii="Arial" w:eastAsia="Arial" w:hAnsi="Arial" w:cs="Arial"/>
          <w:sz w:val="22"/>
          <w:szCs w:val="22"/>
          <w:lang w:val="en-US"/>
        </w:rPr>
        <w:lastRenderedPageBreak/>
        <w:t xml:space="preserve">and </w:t>
      </w:r>
      <w:r w:rsidRPr="00F425D7">
        <w:rPr>
          <w:rFonts w:ascii="Arial" w:eastAsia="Arial" w:hAnsi="Arial" w:cs="Arial"/>
          <w:b/>
          <w:bCs/>
          <w:sz w:val="22"/>
          <w:szCs w:val="22"/>
          <w:lang w:val="en-US"/>
        </w:rPr>
        <w:t>G</w:t>
      </w:r>
      <w:r>
        <w:rPr>
          <w:rFonts w:ascii="Arial" w:eastAsia="Arial" w:hAnsi="Arial" w:cs="Arial"/>
          <w:sz w:val="22"/>
          <w:szCs w:val="22"/>
          <w:lang w:val="en-US"/>
        </w:rPr>
        <w:t xml:space="preserve">) Box plot of the normalized expression of </w:t>
      </w:r>
      <w:r w:rsidRPr="001C083D">
        <w:rPr>
          <w:rFonts w:ascii="Arial" w:eastAsia="Arial" w:hAnsi="Arial" w:cs="Arial"/>
          <w:i/>
          <w:iCs/>
          <w:sz w:val="22"/>
          <w:szCs w:val="22"/>
          <w:lang w:val="en-US"/>
        </w:rPr>
        <w:t>Ccr2</w:t>
      </w:r>
      <w:r>
        <w:rPr>
          <w:rFonts w:ascii="Arial" w:eastAsia="Arial" w:hAnsi="Arial" w:cs="Arial"/>
          <w:sz w:val="22"/>
          <w:szCs w:val="22"/>
          <w:lang w:val="en-US"/>
        </w:rPr>
        <w:t xml:space="preserve"> in AB1 (</w:t>
      </w:r>
      <w:r w:rsidRPr="00F425D7">
        <w:rPr>
          <w:rFonts w:ascii="Arial" w:eastAsia="Arial" w:hAnsi="Arial" w:cs="Arial"/>
          <w:b/>
          <w:bCs/>
          <w:sz w:val="22"/>
          <w:szCs w:val="22"/>
          <w:lang w:val="en-US"/>
        </w:rPr>
        <w:t>F</w:t>
      </w:r>
      <w:r>
        <w:rPr>
          <w:rFonts w:ascii="Arial" w:eastAsia="Arial" w:hAnsi="Arial" w:cs="Arial"/>
          <w:sz w:val="22"/>
          <w:szCs w:val="22"/>
          <w:lang w:val="en-US"/>
        </w:rPr>
        <w:t>) and Renca (</w:t>
      </w:r>
      <w:r w:rsidRPr="00F425D7">
        <w:rPr>
          <w:rFonts w:ascii="Arial" w:eastAsia="Arial" w:hAnsi="Arial" w:cs="Arial"/>
          <w:b/>
          <w:bCs/>
          <w:sz w:val="22"/>
          <w:szCs w:val="22"/>
          <w:lang w:val="en-US"/>
        </w:rPr>
        <w:t>G</w:t>
      </w:r>
      <w:r>
        <w:rPr>
          <w:rFonts w:ascii="Arial" w:eastAsia="Arial" w:hAnsi="Arial" w:cs="Arial"/>
          <w:sz w:val="22"/>
          <w:szCs w:val="22"/>
          <w:lang w:val="en-US"/>
        </w:rPr>
        <w:t>) over time. Comparisons are between day 0 and day 2 within the same group.</w:t>
      </w:r>
    </w:p>
    <w:p w14:paraId="4A21874A" w14:textId="77777777" w:rsidR="002A2BAA" w:rsidRDefault="002A2BAA" w:rsidP="002A2BAA">
      <w:pPr>
        <w:spacing w:line="360" w:lineRule="auto"/>
        <w:rPr>
          <w:rFonts w:ascii="Arial" w:eastAsia="Arial" w:hAnsi="Arial" w:cs="Arial"/>
          <w:sz w:val="22"/>
          <w:szCs w:val="22"/>
          <w:lang w:val="en-US"/>
        </w:rPr>
      </w:pPr>
      <w:r>
        <w:rPr>
          <w:rFonts w:ascii="Arial" w:eastAsia="Arial" w:hAnsi="Arial" w:cs="Arial"/>
          <w:noProof/>
          <w:sz w:val="22"/>
          <w:szCs w:val="22"/>
          <w:lang w:val="en-US"/>
        </w:rPr>
        <w:drawing>
          <wp:inline distT="0" distB="0" distL="0" distR="0" wp14:anchorId="02FA6989" wp14:editId="5BAF58DD">
            <wp:extent cx="5909207" cy="3493698"/>
            <wp:effectExtent l="0" t="0" r="0" b="0"/>
            <wp:docPr id="26" name="Picture 26" descr="A picture containing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timeline&#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16713" cy="3498136"/>
                    </a:xfrm>
                    <a:prstGeom prst="rect">
                      <a:avLst/>
                    </a:prstGeom>
                    <a:noFill/>
                  </pic:spPr>
                </pic:pic>
              </a:graphicData>
            </a:graphic>
          </wp:inline>
        </w:drawing>
      </w:r>
    </w:p>
    <w:p w14:paraId="034FEF36" w14:textId="77777777" w:rsidR="002A2BAA" w:rsidRDefault="002A2BAA" w:rsidP="002A2BAA">
      <w:pPr>
        <w:spacing w:line="360" w:lineRule="auto"/>
        <w:rPr>
          <w:rFonts w:ascii="Arial" w:eastAsia="Arial" w:hAnsi="Arial" w:cs="Arial"/>
          <w:sz w:val="22"/>
          <w:szCs w:val="22"/>
          <w:lang w:val="en-US"/>
        </w:rPr>
      </w:pPr>
    </w:p>
    <w:p w14:paraId="2C98AF7A" w14:textId="77777777" w:rsidR="002A2BAA" w:rsidRDefault="002A2BAA" w:rsidP="002A2BAA">
      <w:pPr>
        <w:widowControl w:val="0"/>
        <w:spacing w:line="360" w:lineRule="auto"/>
        <w:jc w:val="both"/>
        <w:rPr>
          <w:rFonts w:ascii="Arial" w:eastAsia="Arial" w:hAnsi="Arial" w:cs="Arial"/>
          <w:b/>
          <w:bCs/>
          <w:sz w:val="22"/>
          <w:szCs w:val="22"/>
        </w:rPr>
      </w:pPr>
      <w:r>
        <w:rPr>
          <w:rFonts w:ascii="Arial" w:eastAsia="Arial" w:hAnsi="Arial" w:cs="Arial"/>
          <w:b/>
          <w:bCs/>
          <w:sz w:val="22"/>
          <w:szCs w:val="22"/>
          <w:lang w:val="en-US"/>
        </w:rPr>
        <w:t xml:space="preserve">Figure S8. Patients treated with ICB display early enrichment of the on/fast-off IFN signature. </w:t>
      </w:r>
    </w:p>
    <w:p w14:paraId="7890B263" w14:textId="77777777" w:rsidR="002A2BAA" w:rsidRDefault="002A2BAA" w:rsidP="002A2BAA">
      <w:pPr>
        <w:widowControl w:val="0"/>
        <w:spacing w:line="360" w:lineRule="auto"/>
        <w:jc w:val="both"/>
        <w:rPr>
          <w:rFonts w:ascii="Arial" w:eastAsia="Arial" w:hAnsi="Arial" w:cs="Arial"/>
          <w:sz w:val="22"/>
          <w:szCs w:val="22"/>
        </w:rPr>
      </w:pPr>
      <w:r>
        <w:rPr>
          <w:rFonts w:ascii="Arial" w:eastAsia="Arial" w:hAnsi="Arial" w:cs="Arial"/>
          <w:sz w:val="22"/>
          <w:szCs w:val="22"/>
          <w:lang w:val="en-US"/>
        </w:rPr>
        <w:t>(</w:t>
      </w:r>
      <w:r>
        <w:rPr>
          <w:rFonts w:ascii="Arial" w:eastAsia="Arial" w:hAnsi="Arial" w:cs="Arial"/>
          <w:b/>
          <w:bCs/>
          <w:sz w:val="22"/>
          <w:szCs w:val="22"/>
          <w:lang w:val="en-US"/>
        </w:rPr>
        <w:t>A</w:t>
      </w:r>
      <w:r>
        <w:rPr>
          <w:rFonts w:ascii="Arial" w:eastAsia="Arial" w:hAnsi="Arial" w:cs="Arial"/>
          <w:sz w:val="22"/>
          <w:szCs w:val="22"/>
          <w:lang w:val="en-US"/>
        </w:rPr>
        <w:t xml:space="preserve">) UMAP of single cells from breast cancer patient biopsies taken prior to treatment with anti-PD1. Cluster labels have been provided from the original published analysis </w:t>
      </w:r>
      <w:r w:rsidRPr="00202389">
        <w:rPr>
          <w:rFonts w:ascii="Arial" w:hAnsi="Arial" w:cs="Arial"/>
          <w:sz w:val="22"/>
          <w:vertAlign w:val="superscript"/>
          <w:lang w:val="en-GB"/>
        </w:rPr>
        <w:t>45</w:t>
      </w:r>
      <w:r>
        <w:rPr>
          <w:rFonts w:ascii="Arial" w:eastAsia="Arial" w:hAnsi="Arial" w:cs="Arial"/>
          <w:sz w:val="22"/>
          <w:szCs w:val="22"/>
          <w:lang w:val="en-US"/>
        </w:rPr>
        <w:t xml:space="preserve">. (B) </w:t>
      </w:r>
      <w:r>
        <w:rPr>
          <w:rFonts w:ascii="Arial" w:eastAsia="Arial" w:hAnsi="Arial" w:cs="Arial"/>
          <w:color w:val="000000"/>
          <w:sz w:val="22"/>
          <w:szCs w:val="22"/>
          <w:lang w:val="en-US"/>
        </w:rPr>
        <w:t xml:space="preserve">UMAP showing a highest enrichment of the on/fast-off IFN signature within the myeloid cluster. (C) UMAP of the myeloid cell subset from (A), with cell labels </w:t>
      </w:r>
      <w:r>
        <w:rPr>
          <w:rFonts w:ascii="Arial" w:eastAsia="Arial" w:hAnsi="Arial" w:cs="Arial"/>
          <w:sz w:val="22"/>
          <w:szCs w:val="22"/>
          <w:lang w:val="en-US"/>
        </w:rPr>
        <w:t xml:space="preserve">provided from the original published analysis. (D) UMAP of myeloid cells in expander and non-expanders, </w:t>
      </w:r>
      <w:r>
        <w:rPr>
          <w:rFonts w:ascii="Arial" w:eastAsia="Arial" w:hAnsi="Arial" w:cs="Arial"/>
          <w:color w:val="000000"/>
          <w:sz w:val="22"/>
          <w:szCs w:val="22"/>
          <w:lang w:val="en-US"/>
        </w:rPr>
        <w:t xml:space="preserve">showing highest enrichment in the CCR2 population. </w:t>
      </w:r>
    </w:p>
    <w:p w14:paraId="6218735A" w14:textId="77777777" w:rsidR="002A2BAA" w:rsidRDefault="002A2BAA" w:rsidP="002A2BAA">
      <w:pPr>
        <w:widowControl w:val="0"/>
        <w:spacing w:line="360" w:lineRule="auto"/>
        <w:jc w:val="both"/>
        <w:rPr>
          <w:rFonts w:ascii="Arial" w:eastAsia="Arial" w:hAnsi="Arial" w:cs="Arial"/>
          <w:b/>
          <w:bCs/>
          <w:sz w:val="22"/>
          <w:szCs w:val="22"/>
          <w:lang w:val="en-US"/>
        </w:rPr>
      </w:pPr>
    </w:p>
    <w:p w14:paraId="5F0E3968" w14:textId="77777777" w:rsidR="002A2BAA" w:rsidRDefault="002A2BAA" w:rsidP="002A2BAA">
      <w:pPr>
        <w:widowControl w:val="0"/>
        <w:spacing w:line="360" w:lineRule="auto"/>
        <w:jc w:val="both"/>
        <w:rPr>
          <w:rFonts w:ascii="Arial" w:eastAsia="Arial" w:hAnsi="Arial" w:cs="Arial"/>
          <w:sz w:val="22"/>
          <w:szCs w:val="22"/>
          <w:lang w:val="en-US"/>
        </w:rPr>
      </w:pPr>
    </w:p>
    <w:p w14:paraId="3FBD3255" w14:textId="77777777" w:rsidR="002A2BAA" w:rsidRDefault="002A2BAA" w:rsidP="002A2BAA">
      <w:pPr>
        <w:widowControl w:val="0"/>
        <w:spacing w:line="360" w:lineRule="auto"/>
        <w:jc w:val="both"/>
        <w:rPr>
          <w:rFonts w:ascii="Arial" w:eastAsia="Arial" w:hAnsi="Arial" w:cs="Arial"/>
          <w:sz w:val="22"/>
          <w:szCs w:val="22"/>
          <w:lang w:val="en-US"/>
        </w:rPr>
      </w:pPr>
      <w:bookmarkStart w:id="4" w:name="_19c6y18"/>
      <w:bookmarkStart w:id="5" w:name="_nmf14n"/>
      <w:bookmarkStart w:id="6" w:name="_28h4qwu"/>
      <w:bookmarkStart w:id="7" w:name="_2u6wntf"/>
      <w:bookmarkStart w:id="8" w:name="_3tbugp1"/>
      <w:bookmarkEnd w:id="4"/>
      <w:bookmarkEnd w:id="5"/>
      <w:bookmarkEnd w:id="6"/>
      <w:bookmarkEnd w:id="7"/>
      <w:bookmarkEnd w:id="8"/>
    </w:p>
    <w:p w14:paraId="5840C1C4" w14:textId="77777777" w:rsidR="002A2BAA" w:rsidRDefault="002A2BAA" w:rsidP="002A2BAA">
      <w:pPr>
        <w:suppressAutoHyphens/>
        <w:rPr>
          <w:rFonts w:ascii="Arial" w:eastAsia="Arial" w:hAnsi="Arial" w:cs="Arial"/>
          <w:b/>
          <w:sz w:val="22"/>
          <w:szCs w:val="22"/>
          <w:lang w:val="en-US"/>
        </w:rPr>
      </w:pPr>
      <w:r>
        <w:br w:type="page"/>
      </w:r>
    </w:p>
    <w:p w14:paraId="475662B4" w14:textId="77777777" w:rsidR="002A2BAA" w:rsidRDefault="002A2BAA" w:rsidP="002A2BAA">
      <w:pPr>
        <w:spacing w:line="360" w:lineRule="auto"/>
        <w:jc w:val="both"/>
        <w:rPr>
          <w:rFonts w:ascii="Arial" w:eastAsia="Arial" w:hAnsi="Arial" w:cs="Arial"/>
          <w:b/>
          <w:caps/>
          <w:sz w:val="22"/>
          <w:szCs w:val="22"/>
          <w:lang w:val="en-US"/>
        </w:rPr>
      </w:pPr>
      <w:r>
        <w:rPr>
          <w:rFonts w:ascii="Arial" w:eastAsia="Arial" w:hAnsi="Arial" w:cs="Arial"/>
          <w:b/>
          <w:caps/>
          <w:sz w:val="22"/>
          <w:szCs w:val="22"/>
          <w:lang w:val="en-US"/>
        </w:rPr>
        <w:lastRenderedPageBreak/>
        <w:t>Supplementary Methods</w:t>
      </w:r>
    </w:p>
    <w:p w14:paraId="58157FD0" w14:textId="77777777" w:rsidR="002A2BAA" w:rsidRDefault="002A2BAA" w:rsidP="002A2BAA">
      <w:pPr>
        <w:spacing w:line="360" w:lineRule="auto"/>
        <w:jc w:val="both"/>
        <w:rPr>
          <w:rFonts w:ascii="Arial" w:eastAsia="Arial" w:hAnsi="Arial" w:cs="Arial"/>
          <w:sz w:val="22"/>
          <w:szCs w:val="22"/>
          <w:lang w:val="en-US"/>
        </w:rPr>
      </w:pPr>
      <w:r>
        <w:rPr>
          <w:noProof/>
        </w:rPr>
        <w:drawing>
          <wp:inline distT="0" distB="0" distL="0" distR="0" wp14:anchorId="70F0FF4C" wp14:editId="687EFA12">
            <wp:extent cx="4932045" cy="5201920"/>
            <wp:effectExtent l="0" t="0" r="0" b="0"/>
            <wp:docPr id="14" name="image18.png"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8.png" descr="A screenshot of a cell phone&#10;&#10;Description automatically generated"/>
                    <pic:cNvPicPr>
                      <a:picLocks noChangeAspect="1" noChangeArrowheads="1"/>
                    </pic:cNvPicPr>
                  </pic:nvPicPr>
                  <pic:blipFill>
                    <a:blip r:embed="rId12"/>
                    <a:stretch>
                      <a:fillRect/>
                    </a:stretch>
                  </pic:blipFill>
                  <pic:spPr bwMode="auto">
                    <a:xfrm>
                      <a:off x="0" y="0"/>
                      <a:ext cx="4932045" cy="5201920"/>
                    </a:xfrm>
                    <a:prstGeom prst="rect">
                      <a:avLst/>
                    </a:prstGeom>
                  </pic:spPr>
                </pic:pic>
              </a:graphicData>
            </a:graphic>
          </wp:inline>
        </w:drawing>
      </w:r>
    </w:p>
    <w:p w14:paraId="4BD52208" w14:textId="77777777" w:rsidR="002A2BAA" w:rsidRDefault="002A2BAA" w:rsidP="002A2BAA">
      <w:pPr>
        <w:keepNext/>
        <w:spacing w:before="240" w:after="60" w:line="360" w:lineRule="auto"/>
        <w:jc w:val="both"/>
        <w:rPr>
          <w:rFonts w:ascii="Arial" w:eastAsia="Arial" w:hAnsi="Arial" w:cs="Arial"/>
          <w:b/>
          <w:sz w:val="22"/>
          <w:szCs w:val="22"/>
          <w:lang w:val="en-US"/>
        </w:rPr>
      </w:pPr>
      <w:bookmarkStart w:id="9" w:name="_37m2jsg"/>
      <w:bookmarkEnd w:id="9"/>
      <w:r>
        <w:rPr>
          <w:rFonts w:ascii="Arial" w:eastAsia="Arial" w:hAnsi="Arial" w:cs="Arial"/>
          <w:b/>
          <w:sz w:val="22"/>
          <w:szCs w:val="22"/>
          <w:lang w:val="en-US"/>
        </w:rPr>
        <w:t>Flow cytometry gating strategy of Irf1</w:t>
      </w:r>
      <w:r>
        <w:rPr>
          <w:rFonts w:ascii="Arial" w:eastAsia="Arial" w:hAnsi="Arial" w:cs="Arial"/>
          <w:b/>
          <w:sz w:val="22"/>
          <w:szCs w:val="22"/>
          <w:vertAlign w:val="superscript"/>
          <w:lang w:val="en-US"/>
        </w:rPr>
        <w:t>+</w:t>
      </w:r>
      <w:r>
        <w:rPr>
          <w:rFonts w:ascii="Arial" w:eastAsia="Arial" w:hAnsi="Arial" w:cs="Arial"/>
          <w:b/>
          <w:sz w:val="22"/>
          <w:szCs w:val="22"/>
          <w:lang w:val="en-US"/>
        </w:rPr>
        <w:t xml:space="preserve"> cell markers. </w:t>
      </w:r>
    </w:p>
    <w:p w14:paraId="4A877415" w14:textId="77777777" w:rsidR="002A2BAA" w:rsidRDefault="002A2BAA" w:rsidP="002A2BAA">
      <w:pPr>
        <w:spacing w:line="360" w:lineRule="auto"/>
        <w:jc w:val="both"/>
        <w:rPr>
          <w:sz w:val="22"/>
          <w:szCs w:val="22"/>
          <w:lang w:val="en-US"/>
        </w:rPr>
      </w:pPr>
      <w:r>
        <w:rPr>
          <w:rFonts w:ascii="Arial" w:eastAsia="Arial" w:hAnsi="Arial" w:cs="Arial"/>
          <w:sz w:val="22"/>
          <w:szCs w:val="22"/>
          <w:lang w:val="en-US"/>
        </w:rPr>
        <w:t>Cells were stained using RNA target probes for Irf1 RNA. Irf1</w:t>
      </w:r>
      <w:r>
        <w:rPr>
          <w:rFonts w:ascii="Arial" w:eastAsia="Arial" w:hAnsi="Arial" w:cs="Arial"/>
          <w:sz w:val="22"/>
          <w:szCs w:val="22"/>
          <w:vertAlign w:val="superscript"/>
          <w:lang w:val="en-US"/>
        </w:rPr>
        <w:t>+</w:t>
      </w:r>
      <w:r>
        <w:rPr>
          <w:rFonts w:ascii="Arial" w:eastAsia="Arial" w:hAnsi="Arial" w:cs="Arial"/>
          <w:sz w:val="22"/>
          <w:szCs w:val="22"/>
          <w:lang w:val="en-US"/>
        </w:rPr>
        <w:t xml:space="preserve"> cells were then gated to determine the phenotype of the cells. CD45 expression was used to distinguish immune cells: CD45</w:t>
      </w:r>
      <w:r>
        <w:rPr>
          <w:rFonts w:ascii="Arial" w:eastAsia="Arial" w:hAnsi="Arial" w:cs="Arial"/>
          <w:sz w:val="22"/>
          <w:szCs w:val="22"/>
          <w:vertAlign w:val="superscript"/>
          <w:lang w:val="en-US"/>
        </w:rPr>
        <w:t>-</w:t>
      </w:r>
      <w:r>
        <w:rPr>
          <w:rFonts w:ascii="Arial" w:eastAsia="Arial" w:hAnsi="Arial" w:cs="Arial"/>
          <w:sz w:val="22"/>
          <w:szCs w:val="22"/>
          <w:lang w:val="en-US"/>
        </w:rPr>
        <w:t xml:space="preserve"> non-immune cells (e.g. tumor cells) and CD45</w:t>
      </w:r>
      <w:r>
        <w:rPr>
          <w:rFonts w:ascii="Arial" w:eastAsia="Arial" w:hAnsi="Arial" w:cs="Arial"/>
          <w:sz w:val="22"/>
          <w:szCs w:val="22"/>
          <w:vertAlign w:val="superscript"/>
          <w:lang w:val="en-US"/>
        </w:rPr>
        <w:t>+</w:t>
      </w:r>
      <w:r>
        <w:rPr>
          <w:rFonts w:ascii="Arial" w:eastAsia="Arial" w:hAnsi="Arial" w:cs="Arial"/>
          <w:sz w:val="22"/>
          <w:szCs w:val="22"/>
          <w:lang w:val="en-US"/>
        </w:rPr>
        <w:t xml:space="preserve"> immune cell populations. Immune cells were analyzed by their expression of CD11b and Ly6C. Ly6C</w:t>
      </w:r>
      <w:r>
        <w:rPr>
          <w:rFonts w:ascii="Arial" w:eastAsia="Arial" w:hAnsi="Arial" w:cs="Arial"/>
          <w:sz w:val="22"/>
          <w:szCs w:val="22"/>
          <w:vertAlign w:val="superscript"/>
          <w:lang w:val="en-US"/>
        </w:rPr>
        <w:t>+</w:t>
      </w:r>
      <w:r>
        <w:rPr>
          <w:rFonts w:ascii="Arial" w:eastAsia="Arial" w:hAnsi="Arial" w:cs="Arial"/>
          <w:sz w:val="22"/>
          <w:szCs w:val="22"/>
          <w:lang w:val="en-US"/>
        </w:rPr>
        <w:t xml:space="preserve"> CD11b</w:t>
      </w:r>
      <w:r>
        <w:rPr>
          <w:rFonts w:ascii="Arial" w:eastAsia="Arial" w:hAnsi="Arial" w:cs="Arial"/>
          <w:sz w:val="22"/>
          <w:szCs w:val="22"/>
          <w:vertAlign w:val="superscript"/>
          <w:lang w:val="en-US"/>
        </w:rPr>
        <w:t>+</w:t>
      </w:r>
      <w:r>
        <w:rPr>
          <w:rFonts w:ascii="Arial" w:eastAsia="Arial" w:hAnsi="Arial" w:cs="Arial"/>
          <w:sz w:val="22"/>
          <w:szCs w:val="22"/>
          <w:lang w:val="en-US"/>
        </w:rPr>
        <w:t xml:space="preserve"> immune cells were F4/80</w:t>
      </w:r>
      <w:r>
        <w:rPr>
          <w:rFonts w:ascii="Arial" w:eastAsia="Arial" w:hAnsi="Arial" w:cs="Arial"/>
          <w:sz w:val="22"/>
          <w:szCs w:val="22"/>
          <w:vertAlign w:val="superscript"/>
          <w:lang w:val="en-US"/>
        </w:rPr>
        <w:t>-</w:t>
      </w:r>
      <w:r>
        <w:rPr>
          <w:rFonts w:ascii="Arial" w:eastAsia="Arial" w:hAnsi="Arial" w:cs="Arial"/>
          <w:sz w:val="22"/>
          <w:szCs w:val="22"/>
          <w:lang w:val="en-US"/>
        </w:rPr>
        <w:t>, CD3</w:t>
      </w:r>
      <w:r>
        <w:rPr>
          <w:rFonts w:ascii="Arial" w:eastAsia="Arial" w:hAnsi="Arial" w:cs="Arial"/>
          <w:sz w:val="22"/>
          <w:szCs w:val="22"/>
          <w:vertAlign w:val="superscript"/>
          <w:lang w:val="en-US"/>
        </w:rPr>
        <w:t>-</w:t>
      </w:r>
      <w:r>
        <w:rPr>
          <w:rFonts w:ascii="Arial" w:eastAsia="Arial" w:hAnsi="Arial" w:cs="Arial"/>
          <w:sz w:val="22"/>
          <w:szCs w:val="22"/>
          <w:lang w:val="en-US"/>
        </w:rPr>
        <w:t xml:space="preserve"> and CD335</w:t>
      </w:r>
      <w:r>
        <w:rPr>
          <w:rFonts w:ascii="Arial" w:eastAsia="Arial" w:hAnsi="Arial" w:cs="Arial"/>
          <w:sz w:val="22"/>
          <w:szCs w:val="22"/>
          <w:vertAlign w:val="superscript"/>
          <w:lang w:val="en-US"/>
        </w:rPr>
        <w:t>-</w:t>
      </w:r>
      <w:r>
        <w:rPr>
          <w:rFonts w:ascii="Arial" w:eastAsia="Arial" w:hAnsi="Arial" w:cs="Arial"/>
          <w:sz w:val="22"/>
          <w:szCs w:val="22"/>
          <w:lang w:val="en-US"/>
        </w:rPr>
        <w:t>.</w:t>
      </w:r>
    </w:p>
    <w:p w14:paraId="497D280A" w14:textId="77777777" w:rsidR="002A2BAA" w:rsidRDefault="002A2BAA" w:rsidP="002A2BAA">
      <w:pPr>
        <w:spacing w:line="360" w:lineRule="auto"/>
        <w:rPr>
          <w:rFonts w:ascii="Arial" w:eastAsia="Arial" w:hAnsi="Arial" w:cs="Arial"/>
          <w:b/>
          <w:sz w:val="22"/>
          <w:szCs w:val="22"/>
          <w:lang w:val="en-US"/>
        </w:rPr>
      </w:pPr>
    </w:p>
    <w:p w14:paraId="6175DC60" w14:textId="77777777" w:rsidR="002A2BAA" w:rsidRDefault="002A2BAA" w:rsidP="002A2BAA">
      <w:pPr>
        <w:keepNext/>
        <w:spacing w:before="240" w:after="60" w:line="360" w:lineRule="auto"/>
        <w:rPr>
          <w:rFonts w:ascii="Arial" w:eastAsia="Arial" w:hAnsi="Arial" w:cs="Arial"/>
          <w:b/>
          <w:sz w:val="22"/>
          <w:szCs w:val="22"/>
        </w:rPr>
      </w:pPr>
      <w:r>
        <w:rPr>
          <w:noProof/>
        </w:rPr>
        <w:lastRenderedPageBreak/>
        <w:drawing>
          <wp:inline distT="0" distB="0" distL="0" distR="0" wp14:anchorId="6A4C814B" wp14:editId="140904A6">
            <wp:extent cx="6233160" cy="3952875"/>
            <wp:effectExtent l="0" t="0" r="0" b="0"/>
            <wp:docPr id="15" name="Picture 17"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7" descr="Diagram, engineering drawing&#10;&#10;Description automatically generated"/>
                    <pic:cNvPicPr>
                      <a:picLocks noChangeAspect="1" noChangeArrowheads="1"/>
                    </pic:cNvPicPr>
                  </pic:nvPicPr>
                  <pic:blipFill>
                    <a:blip r:embed="rId13"/>
                    <a:stretch>
                      <a:fillRect/>
                    </a:stretch>
                  </pic:blipFill>
                  <pic:spPr bwMode="auto">
                    <a:xfrm>
                      <a:off x="0" y="0"/>
                      <a:ext cx="6233160" cy="3952875"/>
                    </a:xfrm>
                    <a:prstGeom prst="rect">
                      <a:avLst/>
                    </a:prstGeom>
                  </pic:spPr>
                </pic:pic>
              </a:graphicData>
            </a:graphic>
          </wp:inline>
        </w:drawing>
      </w:r>
    </w:p>
    <w:p w14:paraId="0194396D" w14:textId="77777777" w:rsidR="002A2BAA" w:rsidRDefault="002A2BAA" w:rsidP="002A2BAA">
      <w:pPr>
        <w:keepNext/>
        <w:spacing w:before="240" w:after="60" w:line="360" w:lineRule="auto"/>
        <w:jc w:val="both"/>
        <w:rPr>
          <w:rFonts w:ascii="Arial" w:eastAsia="Arial" w:hAnsi="Arial" w:cs="Arial"/>
          <w:b/>
          <w:sz w:val="22"/>
          <w:szCs w:val="22"/>
        </w:rPr>
      </w:pPr>
      <w:r>
        <w:rPr>
          <w:rFonts w:ascii="Arial" w:eastAsia="Arial" w:hAnsi="Arial" w:cs="Arial"/>
          <w:b/>
          <w:sz w:val="22"/>
          <w:szCs w:val="22"/>
        </w:rPr>
        <w:t>Flow cytometry gating strategy of YFP</w:t>
      </w:r>
      <w:r>
        <w:rPr>
          <w:rFonts w:ascii="Arial" w:eastAsia="Arial" w:hAnsi="Arial" w:cs="Arial"/>
          <w:b/>
          <w:sz w:val="22"/>
          <w:szCs w:val="22"/>
          <w:vertAlign w:val="superscript"/>
        </w:rPr>
        <w:t>+</w:t>
      </w:r>
      <w:r>
        <w:rPr>
          <w:rFonts w:ascii="Arial" w:eastAsia="Arial" w:hAnsi="Arial" w:cs="Arial"/>
          <w:b/>
          <w:sz w:val="22"/>
          <w:szCs w:val="22"/>
        </w:rPr>
        <w:t xml:space="preserve"> cell markers. </w:t>
      </w:r>
    </w:p>
    <w:p w14:paraId="2E6BC950" w14:textId="77777777" w:rsidR="002A2BAA" w:rsidRDefault="002A2BAA" w:rsidP="002A2BAA">
      <w:pPr>
        <w:spacing w:line="360" w:lineRule="auto"/>
        <w:jc w:val="both"/>
        <w:rPr>
          <w:rFonts w:ascii="Arial" w:eastAsia="Arial" w:hAnsi="Arial" w:cs="Arial"/>
          <w:sz w:val="22"/>
          <w:szCs w:val="22"/>
        </w:rPr>
      </w:pPr>
      <w:r>
        <w:rPr>
          <w:rFonts w:ascii="Arial" w:eastAsia="Arial" w:hAnsi="Arial" w:cs="Arial"/>
          <w:sz w:val="22"/>
          <w:szCs w:val="22"/>
        </w:rPr>
        <w:t>(A) Cells were stained using an anti-GFP antibody to detect YFP+ cells. AE17 tumours from C57BL/6 wildtype mice were used as a negative control. (B) Single cells that were negative for our dead cell marker were gated. YFP</w:t>
      </w:r>
      <w:r>
        <w:rPr>
          <w:rFonts w:ascii="Arial" w:eastAsia="Arial" w:hAnsi="Arial" w:cs="Arial"/>
          <w:sz w:val="22"/>
          <w:szCs w:val="22"/>
          <w:vertAlign w:val="superscript"/>
        </w:rPr>
        <w:t>+</w:t>
      </w:r>
      <w:r>
        <w:rPr>
          <w:rFonts w:ascii="Arial" w:eastAsia="Arial" w:hAnsi="Arial" w:cs="Arial"/>
          <w:sz w:val="22"/>
          <w:szCs w:val="22"/>
        </w:rPr>
        <w:t xml:space="preserve"> cells were exclusively CD45+ (immune cells) and then were gated to determine the phenotype of the cells. YFP+ immune cells were CD11b</w:t>
      </w:r>
      <w:r>
        <w:rPr>
          <w:rFonts w:ascii="Arial" w:eastAsia="Arial" w:hAnsi="Arial" w:cs="Arial"/>
          <w:sz w:val="22"/>
          <w:szCs w:val="22"/>
          <w:vertAlign w:val="superscript"/>
        </w:rPr>
        <w:t>+</w:t>
      </w:r>
      <w:r>
        <w:rPr>
          <w:rFonts w:ascii="Arial" w:eastAsia="Arial" w:hAnsi="Arial" w:cs="Arial"/>
          <w:sz w:val="22"/>
          <w:szCs w:val="22"/>
        </w:rPr>
        <w:t>, Ly6C+/-, MHC-II</w:t>
      </w:r>
      <w:r>
        <w:rPr>
          <w:rFonts w:ascii="Arial" w:eastAsia="Arial" w:hAnsi="Arial" w:cs="Arial"/>
          <w:sz w:val="22"/>
          <w:szCs w:val="22"/>
          <w:vertAlign w:val="superscript"/>
        </w:rPr>
        <w:t>-</w:t>
      </w:r>
      <w:r>
        <w:rPr>
          <w:rFonts w:ascii="Arial" w:eastAsia="Arial" w:hAnsi="Arial" w:cs="Arial"/>
          <w:sz w:val="22"/>
          <w:szCs w:val="22"/>
        </w:rPr>
        <w:t>, CD11c</w:t>
      </w:r>
      <w:r>
        <w:rPr>
          <w:rFonts w:ascii="Arial" w:eastAsia="Arial" w:hAnsi="Arial" w:cs="Arial"/>
          <w:sz w:val="22"/>
          <w:szCs w:val="22"/>
          <w:vertAlign w:val="superscript"/>
        </w:rPr>
        <w:t>-</w:t>
      </w:r>
      <w:r>
        <w:rPr>
          <w:rFonts w:ascii="Arial" w:eastAsia="Arial" w:hAnsi="Arial" w:cs="Arial"/>
          <w:sz w:val="22"/>
          <w:szCs w:val="22"/>
        </w:rPr>
        <w:t>, Ly6G</w:t>
      </w:r>
      <w:r>
        <w:rPr>
          <w:rFonts w:ascii="Arial" w:eastAsia="Arial" w:hAnsi="Arial" w:cs="Arial"/>
          <w:sz w:val="22"/>
          <w:szCs w:val="22"/>
          <w:vertAlign w:val="superscript"/>
        </w:rPr>
        <w:t>-</w:t>
      </w:r>
      <w:r>
        <w:rPr>
          <w:rFonts w:ascii="Arial" w:eastAsia="Arial" w:hAnsi="Arial" w:cs="Arial"/>
          <w:sz w:val="22"/>
          <w:szCs w:val="22"/>
        </w:rPr>
        <w:t>, CD19</w:t>
      </w:r>
      <w:r>
        <w:rPr>
          <w:rFonts w:ascii="Arial" w:eastAsia="Arial" w:hAnsi="Arial" w:cs="Arial"/>
          <w:sz w:val="22"/>
          <w:szCs w:val="22"/>
          <w:vertAlign w:val="superscript"/>
        </w:rPr>
        <w:t>-</w:t>
      </w:r>
      <w:r>
        <w:rPr>
          <w:rFonts w:ascii="Arial" w:eastAsia="Arial" w:hAnsi="Arial" w:cs="Arial"/>
          <w:sz w:val="22"/>
          <w:szCs w:val="22"/>
        </w:rPr>
        <w:t>, CD3</w:t>
      </w:r>
      <w:r>
        <w:rPr>
          <w:rFonts w:ascii="Arial" w:eastAsia="Arial" w:hAnsi="Arial" w:cs="Arial"/>
          <w:sz w:val="22"/>
          <w:szCs w:val="22"/>
          <w:vertAlign w:val="superscript"/>
        </w:rPr>
        <w:t>-</w:t>
      </w:r>
      <w:r>
        <w:rPr>
          <w:rFonts w:ascii="Arial" w:eastAsia="Arial" w:hAnsi="Arial" w:cs="Arial"/>
          <w:sz w:val="22"/>
          <w:szCs w:val="22"/>
        </w:rPr>
        <w:t xml:space="preserve"> and F4/80</w:t>
      </w:r>
      <w:r>
        <w:rPr>
          <w:rFonts w:ascii="Arial" w:eastAsia="Arial" w:hAnsi="Arial" w:cs="Arial"/>
          <w:sz w:val="22"/>
          <w:szCs w:val="22"/>
          <w:vertAlign w:val="superscript"/>
        </w:rPr>
        <w:t>-</w:t>
      </w:r>
    </w:p>
    <w:p w14:paraId="7816DD2C" w14:textId="77777777" w:rsidR="002A2BAA" w:rsidRDefault="002A2BAA" w:rsidP="002A2BAA">
      <w:pPr>
        <w:spacing w:line="360" w:lineRule="auto"/>
        <w:rPr>
          <w:rFonts w:ascii="Arial" w:eastAsia="Arial" w:hAnsi="Arial" w:cs="Arial"/>
          <w:sz w:val="22"/>
          <w:szCs w:val="22"/>
          <w:lang w:val="en-US"/>
        </w:rPr>
      </w:pPr>
      <w:r>
        <w:br w:type="page"/>
      </w:r>
    </w:p>
    <w:p w14:paraId="4B75B6D7" w14:textId="77777777" w:rsidR="00386883" w:rsidRDefault="002A2BAA"/>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BAA"/>
    <w:rsid w:val="002A2BAA"/>
    <w:rsid w:val="003107CE"/>
    <w:rsid w:val="00316534"/>
    <w:rsid w:val="00373D83"/>
    <w:rsid w:val="00622525"/>
    <w:rsid w:val="006B2C4D"/>
    <w:rsid w:val="007A60A6"/>
    <w:rsid w:val="00A0389B"/>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9C0F5"/>
  <w15:chartTrackingRefBased/>
  <w15:docId w15:val="{461B20A3-3DEE-4246-8FDE-51BD588F4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2BAA"/>
    <w:pPr>
      <w:spacing w:after="0" w:line="240" w:lineRule="auto"/>
    </w:pPr>
    <w:rPr>
      <w:rFonts w:ascii="Times New Roman" w:eastAsia="Times New Roman" w:hAnsi="Times New Roman" w:cs="Times New Roman"/>
      <w:sz w:val="24"/>
      <w:szCs w:val="24"/>
      <w:lang w:val="en-AU"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1392</Words>
  <Characters>7940</Characters>
  <Application>Microsoft Office Word</Application>
  <DocSecurity>0</DocSecurity>
  <Lines>66</Lines>
  <Paragraphs>18</Paragraphs>
  <ScaleCrop>false</ScaleCrop>
  <Company/>
  <LinksUpToDate>false</LinksUpToDate>
  <CharactersWithSpaces>9314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2021-09-24T17:22:00Z</dcterms:created>
  <dcterms:modified xsi:type="dcterms:W3CDTF">2021-09-24T17:22:00Z</dcterms:modified>
</cp:coreProperties>
</file>