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</w:rPr>
        <w:t>Supplementary File 1. Appendix</w:t>
      </w:r>
    </w:p>
    <w:p w14:paraId="00000002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Study Measure Adaptations </w:t>
      </w:r>
    </w:p>
    <w:p w14:paraId="00000003" w14:textId="77777777" w:rsidR="00CA5BEA" w:rsidRDefault="00CA5BE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4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u w:val="single"/>
        </w:rPr>
        <w:t>Self-Report Altruism Scale </w:t>
      </w:r>
    </w:p>
    <w:p w14:paraId="00000005" w14:textId="77777777" w:rsidR="00CA5BEA" w:rsidRDefault="000000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The truncated Self Report Altruism Scale in this study reflects the efficacy of a simplified 9-item scale developed using confirmatory factor analysis. The 9-SRA is adapted from the 20-item scale developed by Rushton et al., and it was shown that the reliability of the 9-SRA (0.77) is very similar to the simulated reliability of the original scale [28], assuming it is reduced to nine items, which is 0.78. This evidence for the reliability of the 9-SRA as a reliable substitute for the original scale while being more appropriate for the context of our questionnaire’s administration was used in the decision to adapt the 9-SRA. In the same study assessing the 9-SRA, factor load was measured with pre and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post test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analyses, and from this the eight items with the highest predictive load were used in our psychosocial battery [29].</w:t>
      </w:r>
    </w:p>
    <w:p w14:paraId="00000006" w14:textId="77777777" w:rsidR="00CA5BEA" w:rsidRDefault="00CA5BEA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</w:p>
    <w:p w14:paraId="00000007" w14:textId="77777777" w:rsidR="00CA5BEA" w:rsidRDefault="000000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  <w:u w:val="single"/>
        </w:rPr>
        <w:t>Mental Health-Continuum Short Form (MHC-SF)</w:t>
      </w:r>
    </w:p>
    <w:p w14:paraId="00000008" w14:textId="77777777" w:rsidR="00CA5BEA" w:rsidRDefault="000000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Truncation of the MHC-SF reflects a major validation study which laid out factor loading for each of the 14 items and split up correlations by emotional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well being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psychological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well being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and social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well being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, as well as a combined general strength [50]. This combined </w:t>
      </w:r>
      <w:r>
        <w:rPr>
          <w:rFonts w:ascii="Arial" w:eastAsia="Arial" w:hAnsi="Arial" w:cs="Arial"/>
          <w:sz w:val="21"/>
          <w:szCs w:val="21"/>
        </w:rPr>
        <w:t xml:space="preserve">general </w:t>
      </w:r>
      <w:r>
        <w:rPr>
          <w:rFonts w:ascii="Arial" w:eastAsia="Arial" w:hAnsi="Arial" w:cs="Arial"/>
          <w:color w:val="000000"/>
          <w:sz w:val="21"/>
          <w:szCs w:val="21"/>
        </w:rPr>
        <w:t>metric was ultimately used to select for the nine highest strength items, with items excluded all accounting for less than 50% of variance in score.</w:t>
      </w:r>
    </w:p>
    <w:p w14:paraId="00000009" w14:textId="77777777" w:rsidR="00CA5BEA" w:rsidRDefault="00CA5BEA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</w:p>
    <w:p w14:paraId="0000000A" w14:textId="77777777" w:rsidR="00CA5BEA" w:rsidRDefault="000000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  <w:u w:val="single"/>
        </w:rPr>
        <w:t>Brief Resilience Coping</w:t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</w:p>
    <w:p w14:paraId="0000000B" w14:textId="77777777" w:rsidR="00CA5BEA" w:rsidRDefault="00000000">
      <w:pPr>
        <w:spacing w:after="0" w:line="48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Factor 4 of the BRCS is the least predictive based on a multi analysis study [41] and this remains consistent against most demographic sets that were examined as well as the general population. This item was thereby excluded from our battery for brevity. </w:t>
      </w:r>
    </w:p>
    <w:p w14:paraId="0000000C" w14:textId="77777777" w:rsidR="00CA5BEA" w:rsidRDefault="00CA5BEA">
      <w:pPr>
        <w:spacing w:after="0" w:line="480" w:lineRule="auto"/>
        <w:rPr>
          <w:rFonts w:ascii="Arial" w:eastAsia="Arial" w:hAnsi="Arial" w:cs="Arial"/>
          <w:sz w:val="21"/>
          <w:szCs w:val="21"/>
        </w:rPr>
      </w:pPr>
    </w:p>
    <w:p w14:paraId="0000000D" w14:textId="77777777" w:rsidR="00CA5BEA" w:rsidRDefault="00CA5BE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E" w14:textId="77777777" w:rsidR="00CA5BEA" w:rsidRDefault="0000000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  <w:u w:val="single"/>
        </w:rPr>
        <w:lastRenderedPageBreak/>
        <w:t>New General Self-Efficacy</w:t>
      </w:r>
    </w:p>
    <w:p w14:paraId="0000000F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The 3-item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self efficacy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scale used in our psychosocial battery reflects a factor analysis done with over 11,000 participants, with the top items measured using factor loading, correlation coefficient, and CITC. After factor analysis, a 4-item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Mokken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model was shown to have a cumulative variance contribution was 78.68%, lower than the limited value of 80%, while the cumulative variance contribution of the three-item scale with items 2, 5, and 6 was 81.57%, higher than the four-item scale and higher than the limited value of 80% [37]. After integration of the CTT and the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Mokken’s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test results, this study suggested the short version of the New General Self Efficacy Scale to include these three items, which were then incorporated into our psychosocial battery.</w:t>
      </w:r>
    </w:p>
    <w:p w14:paraId="00000010" w14:textId="77777777" w:rsidR="00CA5BEA" w:rsidRDefault="00CA5BE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1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  <w:u w:val="single"/>
        </w:rPr>
        <w:t>Health-Related Quality of Life and Brief Trauma Questionnaire</w:t>
      </w:r>
    </w:p>
    <w:p w14:paraId="00000012" w14:textId="77777777" w:rsidR="00CA5BEA" w:rsidRDefault="00000000">
      <w:pPr>
        <w:spacing w:after="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These measures were each minorly altered for brevity by combining questions with related content and/or omitting items without relevance to our study. </w:t>
      </w:r>
    </w:p>
    <w:p w14:paraId="00000013" w14:textId="77777777" w:rsidR="00CA5BEA" w:rsidRDefault="00CA5BEA">
      <w:pPr>
        <w:spacing w:after="240" w:line="240" w:lineRule="auto"/>
        <w:rPr>
          <w:rFonts w:ascii="Times New Roman" w:eastAsia="Times New Roman" w:hAnsi="Times New Roman" w:cs="Times New Roman"/>
        </w:rPr>
      </w:pPr>
    </w:p>
    <w:p w14:paraId="00000014" w14:textId="77777777" w:rsidR="00CA5BEA" w:rsidRDefault="00CA5BE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5" w14:textId="77777777" w:rsidR="00CA5BEA" w:rsidRDefault="00CA5BEA"/>
    <w:sectPr w:rsidR="00CA5BE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EAC4050-F1BA-5C40-830A-21F7A7FA0EC0}"/>
    <w:embedItalic r:id="rId2" w:fontKey="{0528EFC0-67BA-F24C-8BC4-F588B33ECFF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0A09E6E5-0C41-CB46-A12F-94CE9F97EE6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329E4F-65C1-E64F-BF2A-FCB741B1AB54}"/>
    <w:embedBold r:id="rId5" w:fontKey="{85442E68-4C68-1B40-BBF9-3E36A3ECA8FA}"/>
    <w:embedItalic r:id="rId6" w:fontKey="{87BC7F69-36E8-1543-A102-99BAA9ED7C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6966B71-421B-704C-A863-6DD65FA129C3}"/>
    <w:embedBold r:id="rId8" w:fontKey="{CE09B0EA-8DD4-EA45-ACC8-733232211B9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BEA"/>
    <w:rsid w:val="006D6D2B"/>
    <w:rsid w:val="00812A5E"/>
    <w:rsid w:val="00CA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28CD814-79B6-AB42-B52A-3E589792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2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2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2C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2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2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2C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2C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C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C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32C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32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2C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2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2C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2C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C3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32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2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2C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2C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2C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2C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2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2C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2C3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C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Sdadt9X4b2EH665jT88CegqSwQ==">CgMxLjA4AHIhMS01azNIbUxiVFZZeUkzcjdXdURlLWlpWVE4VUhMWVha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2266</Characters>
  <Application>Microsoft Office Word</Application>
  <DocSecurity>0</DocSecurity>
  <Lines>42</Lines>
  <Paragraphs>14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Klapow, Max</dc:creator>
  <cp:lastModifiedBy>Maxwell Klapow</cp:lastModifiedBy>
  <cp:revision>2</cp:revision>
  <dcterms:created xsi:type="dcterms:W3CDTF">2026-02-16T16:52:00Z</dcterms:created>
  <dcterms:modified xsi:type="dcterms:W3CDTF">2026-02-16T16:52:00Z</dcterms:modified>
</cp:coreProperties>
</file>