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46B9E" w14:textId="297C59C9" w:rsidR="00EB0AEE" w:rsidRPr="002E496B" w:rsidRDefault="007E483E" w:rsidP="0041637F">
      <w:pPr>
        <w:pStyle w:val="1"/>
        <w:spacing w:line="480" w:lineRule="auto"/>
        <w:jc w:val="center"/>
        <w:rPr>
          <w:rFonts w:ascii="Times New Roman" w:hAnsi="Times New Roman" w:cs="Times New Roman"/>
          <w:b/>
          <w:bCs/>
          <w:sz w:val="22"/>
          <w:szCs w:val="22"/>
        </w:rPr>
      </w:pPr>
      <w:r w:rsidRPr="002E496B">
        <w:rPr>
          <w:rFonts w:ascii="Times New Roman" w:hAnsi="Times New Roman" w:cs="Times New Roman"/>
          <w:b/>
          <w:bCs/>
          <w:sz w:val="22"/>
          <w:szCs w:val="22"/>
        </w:rPr>
        <w:t>Supplementa</w:t>
      </w:r>
      <w:r w:rsidR="00CC2186" w:rsidRPr="002E496B">
        <w:rPr>
          <w:rFonts w:ascii="Times New Roman" w:hAnsi="Times New Roman" w:cs="Times New Roman"/>
          <w:b/>
          <w:bCs/>
          <w:sz w:val="22"/>
          <w:szCs w:val="22"/>
        </w:rPr>
        <w:t>ry I</w:t>
      </w:r>
      <w:r w:rsidRPr="002E496B">
        <w:rPr>
          <w:rFonts w:ascii="Times New Roman" w:hAnsi="Times New Roman" w:cs="Times New Roman"/>
          <w:b/>
          <w:bCs/>
          <w:sz w:val="22"/>
          <w:szCs w:val="22"/>
        </w:rPr>
        <w:t>nformation</w:t>
      </w:r>
    </w:p>
    <w:p w14:paraId="0FB2F50D" w14:textId="68F55A83" w:rsidR="00344F4A" w:rsidRPr="002E496B" w:rsidRDefault="007E483E" w:rsidP="002626C1">
      <w:pPr>
        <w:spacing w:line="480" w:lineRule="auto"/>
        <w:jc w:val="left"/>
        <w:rPr>
          <w:rFonts w:cs="Times New Roman"/>
          <w:b/>
          <w:bCs/>
          <w:spacing w:val="2"/>
          <w:sz w:val="22"/>
          <w:szCs w:val="22"/>
        </w:rPr>
      </w:pPr>
      <w:r w:rsidRPr="002E496B">
        <w:rPr>
          <w:rFonts w:cs="Times New Roman"/>
          <w:b/>
          <w:bCs/>
          <w:spacing w:val="2"/>
          <w:sz w:val="22"/>
          <w:szCs w:val="22"/>
        </w:rPr>
        <w:t>Informative alignment patterns between chemical structure and clinical signals support context-aware toxicity assessment</w:t>
      </w:r>
    </w:p>
    <w:p w14:paraId="2AD5969C" w14:textId="47E11F6F" w:rsidR="003A7C46" w:rsidRPr="002E496B" w:rsidRDefault="007E483E" w:rsidP="002626C1">
      <w:pPr>
        <w:spacing w:line="480" w:lineRule="auto"/>
        <w:jc w:val="left"/>
        <w:rPr>
          <w:rFonts w:eastAsiaTheme="minorHAnsi" w:cs="Times New Roman"/>
          <w:sz w:val="22"/>
          <w:szCs w:val="22"/>
        </w:rPr>
      </w:pPr>
      <w:r w:rsidRPr="002E496B">
        <w:rPr>
          <w:rFonts w:eastAsiaTheme="minorHAnsi" w:cs="Times New Roman"/>
          <w:sz w:val="22"/>
          <w:szCs w:val="22"/>
        </w:rPr>
        <w:t>Hiroto Asano</w:t>
      </w:r>
      <w:r w:rsidRPr="002E496B">
        <w:rPr>
          <w:rFonts w:eastAsiaTheme="minorHAnsi" w:cs="Times New Roman"/>
          <w:sz w:val="22"/>
          <w:szCs w:val="22"/>
          <w:vertAlign w:val="superscript"/>
        </w:rPr>
        <w:t>1</w:t>
      </w:r>
      <w:r w:rsidRPr="002E496B">
        <w:rPr>
          <w:rFonts w:eastAsiaTheme="minorHAnsi" w:cs="Times New Roman"/>
          <w:sz w:val="22"/>
          <w:szCs w:val="22"/>
        </w:rPr>
        <w:t xml:space="preserve">, Yu-Shi Tian </w:t>
      </w:r>
      <w:r w:rsidRPr="002E496B">
        <w:rPr>
          <w:rFonts w:eastAsiaTheme="minorHAnsi" w:cs="Times New Roman"/>
          <w:sz w:val="22"/>
          <w:szCs w:val="22"/>
          <w:vertAlign w:val="superscript"/>
        </w:rPr>
        <w:t>1, *</w:t>
      </w:r>
      <w:r w:rsidR="00A25AF6" w:rsidRPr="002E496B">
        <w:rPr>
          <w:rFonts w:cs="Times New Roman"/>
          <w:color w:val="000000"/>
          <w:sz w:val="22"/>
          <w:szCs w:val="22"/>
        </w:rPr>
        <w:t>, Asuka Hatabu</w:t>
      </w:r>
      <w:r w:rsidR="00A25AF6" w:rsidRPr="002E496B">
        <w:rPr>
          <w:rFonts w:cs="Times New Roman"/>
          <w:color w:val="000000"/>
          <w:sz w:val="22"/>
          <w:szCs w:val="22"/>
          <w:vertAlign w:val="superscript"/>
        </w:rPr>
        <w:t xml:space="preserve"> 1</w:t>
      </w:r>
      <w:r w:rsidR="00A25AF6" w:rsidRPr="002E496B">
        <w:rPr>
          <w:rFonts w:cs="Times New Roman"/>
          <w:color w:val="000000"/>
          <w:sz w:val="22"/>
          <w:szCs w:val="22"/>
        </w:rPr>
        <w:t xml:space="preserve">, </w:t>
      </w:r>
      <w:r w:rsidR="00A25AF6" w:rsidRPr="002E496B">
        <w:rPr>
          <w:rFonts w:eastAsia="ヒラギノ角ゴ Pro W3" w:cs="Times New Roman"/>
          <w:color w:val="000000" w:themeColor="text1"/>
          <w:sz w:val="22"/>
          <w:szCs w:val="22"/>
        </w:rPr>
        <w:t>Kaori Fukuzawa</w:t>
      </w:r>
      <w:r w:rsidR="00A25AF6" w:rsidRPr="002E496B">
        <w:rPr>
          <w:rFonts w:eastAsia="ヒラギノ角ゴ Pro W3" w:cs="Times New Roman"/>
          <w:color w:val="000000" w:themeColor="text1"/>
          <w:sz w:val="22"/>
          <w:szCs w:val="22"/>
          <w:vertAlign w:val="superscript"/>
        </w:rPr>
        <w:t xml:space="preserve"> 1</w:t>
      </w:r>
      <w:r w:rsidR="00A25AF6" w:rsidRPr="002E496B">
        <w:rPr>
          <w:rFonts w:cs="Times New Roman"/>
          <w:color w:val="000000"/>
          <w:sz w:val="22"/>
          <w:szCs w:val="22"/>
        </w:rPr>
        <w:t>, Daisuke Takaya</w:t>
      </w:r>
      <w:r w:rsidR="00A25AF6" w:rsidRPr="002E496B">
        <w:rPr>
          <w:rFonts w:cs="Times New Roman"/>
          <w:color w:val="000000"/>
          <w:sz w:val="22"/>
          <w:szCs w:val="22"/>
          <w:vertAlign w:val="superscript"/>
        </w:rPr>
        <w:t>1</w:t>
      </w:r>
      <w:r w:rsidR="00A25AF6" w:rsidRPr="002E496B">
        <w:rPr>
          <w:rFonts w:cs="Times New Roman"/>
          <w:color w:val="000000"/>
          <w:sz w:val="22"/>
          <w:szCs w:val="22"/>
        </w:rPr>
        <w:t>, Kenji Ikeda</w:t>
      </w:r>
      <w:r w:rsidR="00A25AF6" w:rsidRPr="002E496B">
        <w:rPr>
          <w:rFonts w:cs="Times New Roman"/>
          <w:color w:val="000000"/>
          <w:sz w:val="22"/>
          <w:szCs w:val="22"/>
          <w:vertAlign w:val="superscript"/>
        </w:rPr>
        <w:t xml:space="preserve"> 1</w:t>
      </w:r>
    </w:p>
    <w:p w14:paraId="5EFF9F42" w14:textId="77777777" w:rsidR="003A7C46" w:rsidRPr="002E496B" w:rsidRDefault="007E483E" w:rsidP="002626C1">
      <w:pPr>
        <w:spacing w:line="480" w:lineRule="auto"/>
        <w:jc w:val="left"/>
        <w:rPr>
          <w:rFonts w:eastAsiaTheme="minorHAnsi" w:cs="Times New Roman"/>
          <w:sz w:val="22"/>
          <w:szCs w:val="22"/>
        </w:rPr>
      </w:pPr>
      <w:r w:rsidRPr="002E496B">
        <w:rPr>
          <w:rFonts w:eastAsiaTheme="minorHAnsi" w:cs="Times New Roman"/>
          <w:sz w:val="22"/>
          <w:szCs w:val="22"/>
          <w:vertAlign w:val="superscript"/>
        </w:rPr>
        <w:t>1</w:t>
      </w:r>
      <w:r w:rsidRPr="002E496B">
        <w:rPr>
          <w:rFonts w:eastAsiaTheme="minorHAnsi" w:cs="Times New Roman"/>
          <w:sz w:val="22"/>
          <w:szCs w:val="22"/>
        </w:rPr>
        <w:t>Graduate School of Pharmaceutical Sciences, The University of Osaka, 1-6 Yamadaoka, Suita, Osaka 565-0871, Japan</w:t>
      </w:r>
    </w:p>
    <w:p w14:paraId="1435D088" w14:textId="77777777" w:rsidR="006A4A01" w:rsidRPr="002E496B" w:rsidRDefault="006A4A01" w:rsidP="002626C1">
      <w:pPr>
        <w:spacing w:line="480" w:lineRule="auto"/>
        <w:jc w:val="left"/>
        <w:rPr>
          <w:rFonts w:eastAsiaTheme="minorHAnsi" w:cs="Times New Roman"/>
          <w:sz w:val="22"/>
          <w:szCs w:val="22"/>
        </w:rPr>
      </w:pPr>
    </w:p>
    <w:p w14:paraId="0F8D96D9" w14:textId="0A590587" w:rsidR="003A7C46" w:rsidRPr="002E496B" w:rsidRDefault="007E483E" w:rsidP="002626C1">
      <w:pPr>
        <w:spacing w:line="480" w:lineRule="auto"/>
        <w:jc w:val="left"/>
        <w:rPr>
          <w:rFonts w:eastAsiaTheme="minorHAnsi" w:cs="Times New Roman"/>
          <w:sz w:val="22"/>
          <w:szCs w:val="22"/>
        </w:rPr>
      </w:pPr>
      <w:r w:rsidRPr="002E496B">
        <w:rPr>
          <w:rFonts w:eastAsiaTheme="minorHAnsi" w:cs="Times New Roman"/>
          <w:sz w:val="22"/>
          <w:szCs w:val="22"/>
        </w:rPr>
        <w:t>ORCIDs:</w:t>
      </w:r>
    </w:p>
    <w:p w14:paraId="59D599D3" w14:textId="0EDF6633" w:rsidR="003A7C46" w:rsidRPr="002E496B" w:rsidRDefault="007E483E" w:rsidP="002626C1">
      <w:pPr>
        <w:spacing w:line="480" w:lineRule="auto"/>
        <w:jc w:val="left"/>
        <w:rPr>
          <w:rFonts w:eastAsiaTheme="minorHAnsi" w:cs="Times New Roman"/>
          <w:sz w:val="22"/>
          <w:szCs w:val="22"/>
        </w:rPr>
      </w:pPr>
      <w:r w:rsidRPr="002E496B">
        <w:rPr>
          <w:rFonts w:eastAsiaTheme="minorHAnsi" w:cs="Times New Roman"/>
          <w:sz w:val="22"/>
          <w:szCs w:val="22"/>
        </w:rPr>
        <w:t>Hiroto Asano: 0000-0002-0973-6773</w:t>
      </w:r>
      <w:r w:rsidR="006A4A01" w:rsidRPr="002E496B">
        <w:rPr>
          <w:rFonts w:eastAsiaTheme="minorHAnsi" w:cs="Times New Roman"/>
          <w:sz w:val="22"/>
          <w:szCs w:val="22"/>
        </w:rPr>
        <w:t xml:space="preserve">; </w:t>
      </w:r>
      <w:r w:rsidRPr="002E496B">
        <w:rPr>
          <w:rFonts w:eastAsiaTheme="minorHAnsi" w:cs="Times New Roman"/>
          <w:sz w:val="22"/>
          <w:szCs w:val="22"/>
        </w:rPr>
        <w:t>Yu-Shi Tian: 0000-0002-8988-9453</w:t>
      </w:r>
    </w:p>
    <w:p w14:paraId="70E87294" w14:textId="4B2C967D" w:rsidR="00B820C5" w:rsidRPr="002E496B" w:rsidRDefault="007E483E" w:rsidP="002626C1">
      <w:pPr>
        <w:spacing w:line="480" w:lineRule="auto"/>
        <w:jc w:val="left"/>
        <w:rPr>
          <w:rFonts w:eastAsia="ヒラギノ角ゴ Pro W3" w:cs="Times New Roman"/>
          <w:color w:val="000000" w:themeColor="text1"/>
          <w:sz w:val="22"/>
          <w:szCs w:val="22"/>
        </w:rPr>
      </w:pPr>
      <w:r w:rsidRPr="002E496B">
        <w:rPr>
          <w:rFonts w:eastAsiaTheme="minorHAnsi" w:cs="Times New Roman"/>
          <w:sz w:val="22"/>
          <w:szCs w:val="22"/>
        </w:rPr>
        <w:t>Asuka Hatabu: 0000-0001-9886-1447</w:t>
      </w:r>
      <w:r w:rsidR="006A4A01" w:rsidRPr="002E496B">
        <w:rPr>
          <w:rFonts w:eastAsiaTheme="minorHAnsi" w:cs="Times New Roman"/>
          <w:sz w:val="22"/>
          <w:szCs w:val="22"/>
        </w:rPr>
        <w:t xml:space="preserve">; </w:t>
      </w:r>
      <w:r w:rsidRPr="002E496B">
        <w:rPr>
          <w:rFonts w:eastAsia="ヒラギノ角ゴ Pro W3" w:cs="Times New Roman"/>
          <w:color w:val="000000" w:themeColor="text1"/>
          <w:sz w:val="22"/>
          <w:szCs w:val="22"/>
        </w:rPr>
        <w:t>Kaori Fukuzawa: 0000-0001-5357-8250</w:t>
      </w:r>
    </w:p>
    <w:p w14:paraId="7274890F" w14:textId="7B293F01" w:rsidR="003A7C46" w:rsidRPr="002E496B" w:rsidRDefault="007E483E" w:rsidP="002626C1">
      <w:pPr>
        <w:spacing w:line="480" w:lineRule="auto"/>
        <w:jc w:val="left"/>
        <w:rPr>
          <w:rFonts w:eastAsiaTheme="minorHAnsi" w:cs="Times New Roman"/>
          <w:sz w:val="22"/>
          <w:szCs w:val="22"/>
        </w:rPr>
      </w:pPr>
      <w:r w:rsidRPr="002E496B">
        <w:rPr>
          <w:rFonts w:eastAsiaTheme="minorHAnsi" w:cs="Times New Roman"/>
          <w:sz w:val="22"/>
          <w:szCs w:val="22"/>
        </w:rPr>
        <w:t>Daisuke Takaya: 0000-0001-6020-8151</w:t>
      </w:r>
      <w:r w:rsidR="006A4A01" w:rsidRPr="002E496B">
        <w:rPr>
          <w:rFonts w:eastAsiaTheme="minorHAnsi" w:cs="Times New Roman"/>
          <w:sz w:val="22"/>
          <w:szCs w:val="22"/>
        </w:rPr>
        <w:t xml:space="preserve">; </w:t>
      </w:r>
      <w:r w:rsidRPr="002E496B">
        <w:rPr>
          <w:rFonts w:eastAsiaTheme="minorHAnsi" w:cs="Times New Roman"/>
          <w:sz w:val="22"/>
          <w:szCs w:val="22"/>
        </w:rPr>
        <w:t>Kenji Ikeda: 0000-0001-8299-4464</w:t>
      </w:r>
    </w:p>
    <w:p w14:paraId="702808FA" w14:textId="77777777" w:rsidR="006A4A01" w:rsidRPr="002E496B" w:rsidRDefault="006A4A01" w:rsidP="002626C1">
      <w:pPr>
        <w:spacing w:line="480" w:lineRule="auto"/>
        <w:jc w:val="left"/>
        <w:rPr>
          <w:rFonts w:eastAsiaTheme="minorHAnsi" w:cs="Times New Roman"/>
          <w:sz w:val="22"/>
          <w:szCs w:val="22"/>
        </w:rPr>
      </w:pPr>
    </w:p>
    <w:p w14:paraId="33B350ED" w14:textId="02777356" w:rsidR="00EB0AEE" w:rsidRPr="002E496B" w:rsidRDefault="007E483E" w:rsidP="002626C1">
      <w:pPr>
        <w:spacing w:line="480" w:lineRule="auto"/>
        <w:jc w:val="left"/>
        <w:rPr>
          <w:rFonts w:eastAsiaTheme="minorHAnsi" w:cs="Times New Roman"/>
          <w:sz w:val="22"/>
          <w:szCs w:val="22"/>
        </w:rPr>
      </w:pPr>
      <w:r w:rsidRPr="002E496B">
        <w:rPr>
          <w:rFonts w:eastAsiaTheme="minorHAnsi" w:cs="Times New Roman"/>
          <w:b/>
          <w:bCs/>
          <w:sz w:val="22"/>
          <w:szCs w:val="22"/>
        </w:rPr>
        <w:t>*Corresponding author:</w:t>
      </w:r>
      <w:r w:rsidR="006A4A01" w:rsidRPr="002E496B">
        <w:rPr>
          <w:rFonts w:eastAsiaTheme="minorHAnsi" w:cs="Times New Roman"/>
          <w:b/>
          <w:bCs/>
          <w:sz w:val="22"/>
          <w:szCs w:val="22"/>
        </w:rPr>
        <w:t xml:space="preserve"> </w:t>
      </w:r>
      <w:r w:rsidRPr="002E496B">
        <w:rPr>
          <w:rFonts w:eastAsiaTheme="minorHAnsi" w:cs="Times New Roman"/>
          <w:sz w:val="22"/>
          <w:szCs w:val="22"/>
        </w:rPr>
        <w:t>Yu-Shi Tian</w:t>
      </w:r>
      <w:r w:rsidR="006A4A01" w:rsidRPr="002E496B">
        <w:rPr>
          <w:rFonts w:eastAsiaTheme="minorHAnsi" w:cs="Times New Roman"/>
          <w:sz w:val="22"/>
          <w:szCs w:val="22"/>
        </w:rPr>
        <w:t xml:space="preserve">, </w:t>
      </w:r>
      <w:r w:rsidRPr="002E496B">
        <w:rPr>
          <w:rFonts w:eastAsiaTheme="minorHAnsi" w:cs="Times New Roman"/>
          <w:sz w:val="22"/>
          <w:szCs w:val="22"/>
        </w:rPr>
        <w:t>Graduate School of Pharmaceutical Sciences, The University of Osaka</w:t>
      </w:r>
      <w:r w:rsidR="006A4A01" w:rsidRPr="002E496B">
        <w:rPr>
          <w:rFonts w:eastAsiaTheme="minorHAnsi" w:cs="Times New Roman"/>
          <w:sz w:val="22"/>
          <w:szCs w:val="22"/>
        </w:rPr>
        <w:t xml:space="preserve">, </w:t>
      </w:r>
      <w:r w:rsidRPr="002E496B">
        <w:rPr>
          <w:rFonts w:eastAsiaTheme="minorHAnsi" w:cs="Times New Roman"/>
          <w:sz w:val="22"/>
          <w:szCs w:val="22"/>
        </w:rPr>
        <w:t>1-6 Yamadaoka, Suita City, Osaka 565-0871, Japan</w:t>
      </w:r>
      <w:r w:rsidR="006A4A01" w:rsidRPr="002E496B">
        <w:rPr>
          <w:rFonts w:eastAsiaTheme="minorHAnsi" w:cs="Times New Roman"/>
          <w:sz w:val="22"/>
          <w:szCs w:val="22"/>
        </w:rPr>
        <w:t xml:space="preserve">; </w:t>
      </w:r>
      <w:r w:rsidRPr="002E496B">
        <w:rPr>
          <w:rFonts w:eastAsiaTheme="minorHAnsi" w:cs="Times New Roman"/>
          <w:sz w:val="22"/>
          <w:szCs w:val="22"/>
        </w:rPr>
        <w:t>Phone: +81-6-6879-8242</w:t>
      </w:r>
      <w:r w:rsidR="006A4A01" w:rsidRPr="002E496B">
        <w:rPr>
          <w:rFonts w:eastAsiaTheme="minorHAnsi" w:cs="Times New Roman"/>
          <w:sz w:val="22"/>
          <w:szCs w:val="22"/>
        </w:rPr>
        <w:t xml:space="preserve">; </w:t>
      </w:r>
      <w:r w:rsidRPr="002E496B">
        <w:rPr>
          <w:rFonts w:eastAsiaTheme="minorHAnsi" w:cs="Times New Roman"/>
          <w:sz w:val="22"/>
          <w:szCs w:val="22"/>
        </w:rPr>
        <w:t>Fax</w:t>
      </w:r>
      <w:r w:rsidR="006A4A01" w:rsidRPr="002E496B">
        <w:rPr>
          <w:rFonts w:eastAsiaTheme="minorHAnsi" w:cs="Times New Roman"/>
          <w:sz w:val="22"/>
          <w:szCs w:val="22"/>
        </w:rPr>
        <w:t>.</w:t>
      </w:r>
      <w:r w:rsidRPr="002E496B">
        <w:rPr>
          <w:rFonts w:eastAsiaTheme="minorHAnsi" w:cs="Times New Roman"/>
          <w:sz w:val="22"/>
          <w:szCs w:val="22"/>
        </w:rPr>
        <w:t>: +81-6-6879-8242</w:t>
      </w:r>
      <w:r w:rsidR="006A4A01" w:rsidRPr="002E496B">
        <w:rPr>
          <w:rFonts w:eastAsiaTheme="minorHAnsi" w:cs="Times New Roman"/>
          <w:sz w:val="22"/>
          <w:szCs w:val="22"/>
        </w:rPr>
        <w:t xml:space="preserve">; </w:t>
      </w:r>
      <w:r w:rsidRPr="002E496B">
        <w:rPr>
          <w:rFonts w:eastAsiaTheme="minorHAnsi" w:cs="Times New Roman"/>
          <w:sz w:val="22"/>
          <w:szCs w:val="22"/>
        </w:rPr>
        <w:t xml:space="preserve">Email: </w:t>
      </w:r>
      <w:hyperlink r:id="rId8" w:history="1">
        <w:r w:rsidR="006A4A01" w:rsidRPr="002E496B">
          <w:rPr>
            <w:rStyle w:val="aa"/>
            <w:rFonts w:eastAsiaTheme="minorHAnsi" w:cs="Times New Roman"/>
            <w:sz w:val="22"/>
            <w:szCs w:val="22"/>
          </w:rPr>
          <w:t>yushi-tian@phs.osaka-u.ac.jp</w:t>
        </w:r>
      </w:hyperlink>
    </w:p>
    <w:p w14:paraId="4D1338D4" w14:textId="4F893B74" w:rsidR="009C66A4" w:rsidRPr="002E496B" w:rsidRDefault="007E483E" w:rsidP="002626C1">
      <w:pPr>
        <w:widowControl/>
        <w:spacing w:line="480" w:lineRule="auto"/>
        <w:jc w:val="left"/>
        <w:rPr>
          <w:rFonts w:eastAsiaTheme="minorHAnsi" w:cs="Times New Roman"/>
          <w:sz w:val="22"/>
          <w:szCs w:val="22"/>
        </w:rPr>
      </w:pPr>
      <w:r w:rsidRPr="002E496B">
        <w:rPr>
          <w:rFonts w:eastAsiaTheme="minorHAnsi" w:cs="Times New Roman"/>
          <w:sz w:val="22"/>
          <w:szCs w:val="22"/>
        </w:rPr>
        <w:br w:type="page"/>
      </w:r>
      <w:bookmarkStart w:id="0" w:name="_Toc217717350"/>
    </w:p>
    <w:p w14:paraId="6EDF163B" w14:textId="53F743F7" w:rsidR="00F4432E" w:rsidRPr="002E496B" w:rsidRDefault="007E483E" w:rsidP="002626C1">
      <w:pPr>
        <w:pStyle w:val="1"/>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lastRenderedPageBreak/>
        <w:t xml:space="preserve">Supplementary </w:t>
      </w:r>
      <w:r w:rsidR="00B13A43" w:rsidRPr="002E496B">
        <w:rPr>
          <w:rFonts w:ascii="Times New Roman" w:eastAsiaTheme="minorHAnsi" w:hAnsi="Times New Roman" w:cs="Times New Roman"/>
          <w:b/>
          <w:bCs/>
          <w:sz w:val="22"/>
          <w:szCs w:val="22"/>
        </w:rPr>
        <w:t>Note</w:t>
      </w:r>
      <w:r w:rsidRPr="002E496B">
        <w:rPr>
          <w:rFonts w:ascii="Times New Roman" w:eastAsiaTheme="minorHAnsi" w:hAnsi="Times New Roman" w:cs="Times New Roman"/>
          <w:b/>
          <w:bCs/>
          <w:sz w:val="22"/>
          <w:szCs w:val="22"/>
        </w:rPr>
        <w:t xml:space="preserve"> 1.</w:t>
      </w:r>
      <w:r w:rsidRPr="002E496B">
        <w:rPr>
          <w:rFonts w:ascii="Times New Roman" w:eastAsiaTheme="minorHAnsi" w:hAnsi="Times New Roman" w:cs="Times New Roman"/>
          <w:sz w:val="22"/>
          <w:szCs w:val="22"/>
        </w:rPr>
        <w:t xml:space="preserve"> </w:t>
      </w:r>
      <w:r w:rsidRPr="002E496B">
        <w:rPr>
          <w:rFonts w:ascii="Times New Roman" w:eastAsiaTheme="minorHAnsi" w:hAnsi="Times New Roman" w:cs="Times New Roman"/>
          <w:b/>
          <w:bCs/>
          <w:sz w:val="22"/>
          <w:szCs w:val="22"/>
        </w:rPr>
        <w:t>Details of AEST, a web-based signal detection platform</w:t>
      </w:r>
    </w:p>
    <w:p w14:paraId="7F64B5B7" w14:textId="45924266"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We developed the Adverse Events Signal-detection Tool (AEST), a web application that performs</w:t>
      </w:r>
      <w:r w:rsidR="00012EEB" w:rsidRPr="002E496B">
        <w:rPr>
          <w:rFonts w:eastAsiaTheme="minorHAnsi" w:cs="Times New Roman"/>
          <w:color w:val="000000" w:themeColor="text1"/>
          <w:sz w:val="22"/>
          <w:szCs w:val="22"/>
        </w:rPr>
        <w:t xml:space="preserve"> drug safety</w:t>
      </w:r>
      <w:r w:rsidRPr="002E496B">
        <w:rPr>
          <w:rFonts w:eastAsiaTheme="minorHAnsi" w:cs="Times New Roman"/>
          <w:color w:val="000000" w:themeColor="text1"/>
          <w:sz w:val="22"/>
          <w:szCs w:val="22"/>
        </w:rPr>
        <w:t xml:space="preserve"> signal detection using </w:t>
      </w:r>
      <w:r w:rsidRPr="002E496B">
        <w:rPr>
          <w:rFonts w:eastAsia="游明朝" w:cs="Times New Roman"/>
          <w:color w:val="000000"/>
          <w:sz w:val="22"/>
          <w:szCs w:val="22"/>
        </w:rPr>
        <w:t>FAERS data</w:t>
      </w:r>
      <w:r w:rsidR="000B207B" w:rsidRPr="002E496B">
        <w:rPr>
          <w:rFonts w:eastAsiaTheme="minorHAnsi" w:cs="Times New Roman"/>
          <w:color w:val="000000" w:themeColor="text1"/>
          <w:sz w:val="22"/>
          <w:szCs w:val="22"/>
        </w:rPr>
        <w:fldChar w:fldCharType="begin"/>
      </w:r>
      <w:r w:rsidR="00E621BF" w:rsidRPr="002E496B">
        <w:rPr>
          <w:rFonts w:eastAsiaTheme="minorHAnsi" w:cs="Times New Roman"/>
          <w:color w:val="000000" w:themeColor="text1"/>
          <w:sz w:val="22"/>
          <w:szCs w:val="22"/>
        </w:rPr>
        <w:instrText xml:space="preserve"> ADDIN ZOTERO_ITEM CSL_CITATION {"citationID":"5efC6Qit","properties":{"formattedCitation":"\\super 1\\nosupersub{}","plainCitation":"1","noteIndex":0},"citationItems":[{"id":1227,"uris":["http://zotero.org/users/local/yGG8xmNw/items/JZ457TDF"],"itemData":{"id":1227,"type":"webpage","abstract":"FDA Adverse Event Reporting System (FAERS) - Quarterly Data Extract (QDE): The Quarterly Data Extract files, contain raw data extracted from the FAERS database for the indicated time ranges (not cumulative), in ASCII or SGML formats.","container-title":"FDA","language":"en","note":"publisher: FDA","title":"FDA Adverse Event Reporting System (FAERS): Latest Quarterly Data Files","title-short":"FDA Adverse Event Reporting System (FAERS)","URL":"https://www.fda.gov/drugs/fdas-adverse-event-reporting-system-faers/fda-adverse-event-reporting-system-faers-latest-quarterly-data-files","accessed":{"date-parts":[["2025",12,17]]},"issued":{"date-parts":[["2019",4,26]]}}}],"schema":"https://github.com/citation-style-language/schema/raw/master/csl-citation.json"} </w:instrText>
      </w:r>
      <w:r w:rsidR="000B207B"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1</w:t>
      </w:r>
      <w:r w:rsidR="000B207B"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directly through a browser. AEST is based on the FAERS resource covering 2004</w:t>
      </w:r>
      <w:r w:rsidR="00012EEB" w:rsidRPr="002E496B">
        <w:rPr>
          <w:rFonts w:eastAsiaTheme="minorHAnsi" w:cs="Times New Roman"/>
          <w:color w:val="000000" w:themeColor="text1"/>
          <w:sz w:val="22"/>
          <w:szCs w:val="22"/>
        </w:rPr>
        <w:t xml:space="preserve"> Q1</w:t>
      </w:r>
      <w:r w:rsidRPr="002E496B">
        <w:rPr>
          <w:rFonts w:eastAsiaTheme="minorHAnsi" w:cs="Times New Roman"/>
          <w:color w:val="000000" w:themeColor="text1"/>
          <w:sz w:val="22"/>
          <w:szCs w:val="22"/>
        </w:rPr>
        <w:t xml:space="preserve"> t</w:t>
      </w:r>
      <w:r w:rsidR="00012EEB" w:rsidRPr="002E496B">
        <w:rPr>
          <w:rFonts w:eastAsiaTheme="minorHAnsi" w:cs="Times New Roman"/>
          <w:color w:val="000000" w:themeColor="text1"/>
          <w:sz w:val="22"/>
          <w:szCs w:val="22"/>
        </w:rPr>
        <w:t xml:space="preserve">o </w:t>
      </w:r>
      <w:r w:rsidRPr="002E496B">
        <w:rPr>
          <w:rFonts w:eastAsiaTheme="minorHAnsi" w:cs="Times New Roman"/>
          <w:color w:val="000000" w:themeColor="text1"/>
          <w:sz w:val="22"/>
          <w:szCs w:val="22"/>
        </w:rPr>
        <w:t>2025</w:t>
      </w:r>
      <w:r w:rsidR="00012EEB" w:rsidRPr="002E496B">
        <w:rPr>
          <w:rFonts w:eastAsiaTheme="minorHAnsi" w:cs="Times New Roman"/>
          <w:color w:val="000000" w:themeColor="text1"/>
          <w:sz w:val="22"/>
          <w:szCs w:val="22"/>
        </w:rPr>
        <w:t xml:space="preserve"> Q2</w:t>
      </w:r>
      <w:r w:rsidRPr="002E496B">
        <w:rPr>
          <w:rFonts w:eastAsiaTheme="minorHAnsi" w:cs="Times New Roman"/>
          <w:color w:val="000000" w:themeColor="text1"/>
          <w:sz w:val="22"/>
          <w:szCs w:val="22"/>
        </w:rPr>
        <w:t xml:space="preserve"> and conducts signal detection for drug–Preferred Term</w:t>
      </w:r>
      <w:r w:rsidR="009F0996"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t>PT) combinations while visualizing relevant background information.</w:t>
      </w:r>
    </w:p>
    <w:p w14:paraId="602D4B60" w14:textId="40111338"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AEST serves as the analytical infrastructure for this study and is publicly available to facilitate </w:t>
      </w:r>
      <w:r w:rsidRPr="002E496B">
        <w:rPr>
          <w:rFonts w:eastAsia="游明朝" w:cs="Times New Roman"/>
          <w:color w:val="000000"/>
          <w:sz w:val="22"/>
          <w:szCs w:val="22"/>
        </w:rPr>
        <w:t xml:space="preserve">its reuse in safety research. </w:t>
      </w:r>
      <w:r w:rsidR="009F0996" w:rsidRPr="002E496B">
        <w:rPr>
          <w:rFonts w:eastAsiaTheme="minorHAnsi" w:cs="Times New Roman"/>
          <w:color w:val="000000" w:themeColor="text1"/>
          <w:sz w:val="22"/>
          <w:szCs w:val="22"/>
        </w:rPr>
        <w:t>Because</w:t>
      </w:r>
      <w:r w:rsidRPr="002E496B">
        <w:rPr>
          <w:rFonts w:eastAsiaTheme="minorHAnsi" w:cs="Times New Roman"/>
          <w:color w:val="000000" w:themeColor="text1"/>
          <w:sz w:val="22"/>
          <w:szCs w:val="22"/>
        </w:rPr>
        <w:t xml:space="preserve"> FAERS is updated quarterly, the analysis period covered by AEST is continuously updated to maintain </w:t>
      </w:r>
      <w:r w:rsidRPr="002E496B">
        <w:rPr>
          <w:rFonts w:eastAsia="游明朝" w:cs="Times New Roman"/>
          <w:color w:val="000000"/>
          <w:sz w:val="22"/>
          <w:szCs w:val="22"/>
        </w:rPr>
        <w:t>its utility for research purposes. This section describes the data used in the AEST, system architecture, drug name search functionality, user interface, distributed processing, and performance evaluation.</w:t>
      </w:r>
    </w:p>
    <w:p w14:paraId="44B1932B"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02254257" w14:textId="3493CD84"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t>Overview of AEST data</w:t>
      </w:r>
    </w:p>
    <w:p w14:paraId="072329F2" w14:textId="68AD9AF2" w:rsidR="002C037A"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游明朝" w:cs="Times New Roman"/>
          <w:color w:val="000000"/>
          <w:sz w:val="22"/>
          <w:szCs w:val="22"/>
        </w:rPr>
        <w:t xml:space="preserve">The </w:t>
      </w:r>
      <w:r w:rsidRPr="002E496B">
        <w:rPr>
          <w:rFonts w:eastAsiaTheme="minorHAnsi" w:cs="Times New Roman"/>
          <w:color w:val="000000" w:themeColor="text1"/>
          <w:sz w:val="22"/>
          <w:szCs w:val="22"/>
        </w:rPr>
        <w:t>AEST dataset comprises drug name</w:t>
      </w:r>
      <w:r w:rsidRPr="002E496B">
        <w:rPr>
          <w:rFonts w:eastAsia="游明朝" w:cs="Times New Roman"/>
          <w:color w:val="000000"/>
          <w:sz w:val="22"/>
          <w:szCs w:val="22"/>
        </w:rPr>
        <w:t>s and PT combinations derived from FAERS,</w:t>
      </w:r>
      <w:r w:rsidR="00AC5974" w:rsidRPr="002E496B">
        <w:rPr>
          <w:rFonts w:eastAsia="游明朝" w:cs="Times New Roman"/>
          <w:color w:val="000000"/>
          <w:sz w:val="22"/>
          <w:szCs w:val="22"/>
        </w:rPr>
        <w:t xml:space="preserve"> and </w:t>
      </w:r>
      <w:r w:rsidRPr="002E496B">
        <w:rPr>
          <w:rFonts w:eastAsia="游明朝" w:cs="Times New Roman"/>
          <w:color w:val="000000"/>
          <w:sz w:val="22"/>
          <w:szCs w:val="22"/>
        </w:rPr>
        <w:t>contain</w:t>
      </w:r>
      <w:r w:rsidR="00AC5974" w:rsidRPr="002E496B">
        <w:rPr>
          <w:rFonts w:eastAsia="游明朝" w:cs="Times New Roman"/>
          <w:color w:val="000000"/>
          <w:sz w:val="22"/>
          <w:szCs w:val="22"/>
        </w:rPr>
        <w:t xml:space="preserve">s </w:t>
      </w:r>
      <w:r w:rsidRPr="002E496B">
        <w:rPr>
          <w:rFonts w:eastAsiaTheme="minorHAnsi" w:cs="Times New Roman"/>
          <w:color w:val="000000" w:themeColor="text1"/>
          <w:sz w:val="22"/>
          <w:szCs w:val="22"/>
        </w:rPr>
        <w:t>a total of 575,452,020 records. The mean number of records per quarter was 6,691,302 with a standard deviation of 6,094,644</w:t>
      </w:r>
      <w:r w:rsidR="00766B01" w:rsidRPr="002E496B">
        <w:rPr>
          <w:rFonts w:eastAsiaTheme="minorHAnsi" w:cs="Times New Roman"/>
          <w:color w:val="000000" w:themeColor="text1"/>
          <w:sz w:val="22"/>
          <w:szCs w:val="22"/>
        </w:rPr>
        <w:t xml:space="preserve"> records</w:t>
      </w:r>
      <w:r w:rsidRPr="002E496B">
        <w:rPr>
          <w:rFonts w:eastAsiaTheme="minorHAnsi" w:cs="Times New Roman"/>
          <w:color w:val="000000" w:themeColor="text1"/>
          <w:sz w:val="22"/>
          <w:szCs w:val="22"/>
        </w:rPr>
        <w:t>, showing an increasing trend over time (</w:t>
      </w:r>
      <w:r w:rsidR="00DE40E6" w:rsidRPr="002E496B">
        <w:rPr>
          <w:rFonts w:eastAsia="游明朝" w:cs="Times New Roman"/>
          <w:color w:val="000000" w:themeColor="text1"/>
          <w:sz w:val="22"/>
          <w:szCs w:val="22"/>
        </w:rPr>
        <w:t xml:space="preserve">Supplementary </w:t>
      </w:r>
      <w:r w:rsidRPr="002E496B">
        <w:rPr>
          <w:rFonts w:eastAsiaTheme="minorHAnsi" w:cs="Times New Roman"/>
          <w:color w:val="000000" w:themeColor="text1"/>
          <w:sz w:val="22"/>
          <w:szCs w:val="22"/>
        </w:rPr>
        <w:t xml:space="preserve">Table </w:t>
      </w:r>
      <w:r w:rsidR="00B9084F" w:rsidRPr="002E496B">
        <w:rPr>
          <w:rFonts w:eastAsiaTheme="minorHAnsi" w:cs="Times New Roman" w:hint="eastAsia"/>
          <w:color w:val="000000" w:themeColor="text1"/>
          <w:sz w:val="22"/>
          <w:szCs w:val="22"/>
        </w:rPr>
        <w:t>5</w:t>
      </w:r>
      <w:r w:rsidRPr="002E496B">
        <w:rPr>
          <w:rFonts w:eastAsiaTheme="minorHAnsi" w:cs="Times New Roman"/>
          <w:color w:val="000000" w:themeColor="text1"/>
          <w:sz w:val="22"/>
          <w:szCs w:val="22"/>
        </w:rPr>
        <w:t xml:space="preserve">, </w:t>
      </w:r>
      <w:r w:rsidR="00385453" w:rsidRPr="002E496B">
        <w:rPr>
          <w:rFonts w:eastAsiaTheme="minorHAnsi" w:cs="Times New Roman"/>
          <w:color w:val="000000" w:themeColor="text1"/>
          <w:sz w:val="22"/>
          <w:szCs w:val="22"/>
        </w:rPr>
        <w:t>Supplementary Fig</w:t>
      </w:r>
      <w:r w:rsidR="00C63E6D" w:rsidRPr="002E496B">
        <w:rPr>
          <w:rFonts w:eastAsiaTheme="minorHAnsi" w:cs="Times New Roman"/>
          <w:color w:val="000000" w:themeColor="text1"/>
          <w:sz w:val="22"/>
          <w:szCs w:val="22"/>
        </w:rPr>
        <w:t xml:space="preserve">. </w:t>
      </w:r>
      <w:r w:rsidR="007B74C2" w:rsidRPr="002E496B">
        <w:rPr>
          <w:rFonts w:eastAsiaTheme="minorHAnsi" w:cs="Times New Roman"/>
          <w:color w:val="000000" w:themeColor="text1"/>
          <w:sz w:val="22"/>
          <w:szCs w:val="22"/>
        </w:rPr>
        <w:t>1</w:t>
      </w:r>
      <w:r w:rsidRPr="002E496B">
        <w:rPr>
          <w:rFonts w:eastAsiaTheme="minorHAnsi" w:cs="Times New Roman"/>
          <w:color w:val="000000" w:themeColor="text1"/>
          <w:sz w:val="22"/>
          <w:szCs w:val="22"/>
        </w:rPr>
        <w:t xml:space="preserve">). Completeness rates for key fields showed that </w:t>
      </w:r>
      <w:r w:rsidRPr="002E496B">
        <w:rPr>
          <w:rFonts w:eastAsia="游明朝" w:cs="Times New Roman"/>
          <w:color w:val="000000"/>
          <w:sz w:val="22"/>
          <w:szCs w:val="22"/>
        </w:rPr>
        <w:t xml:space="preserve">the drug name and PT were present in 100% of </w:t>
      </w:r>
      <w:r w:rsidRPr="002E496B">
        <w:rPr>
          <w:rFonts w:eastAsiaTheme="minorHAnsi" w:cs="Times New Roman"/>
          <w:color w:val="000000" w:themeColor="text1"/>
          <w:sz w:val="22"/>
          <w:szCs w:val="22"/>
        </w:rPr>
        <w:t>the reports. In contrast, some fields</w:t>
      </w:r>
      <w:r w:rsidRPr="002E496B">
        <w:rPr>
          <w:rFonts w:eastAsia="游明朝" w:cs="Times New Roman"/>
          <w:color w:val="000000"/>
          <w:sz w:val="22"/>
          <w:szCs w:val="22"/>
        </w:rPr>
        <w:t xml:space="preserve">, such as </w:t>
      </w:r>
      <w:r w:rsidRPr="002E496B">
        <w:rPr>
          <w:rFonts w:eastAsiaTheme="minorHAnsi" w:cs="Times New Roman"/>
          <w:color w:val="000000" w:themeColor="text1"/>
          <w:sz w:val="22"/>
          <w:szCs w:val="22"/>
        </w:rPr>
        <w:t xml:space="preserve">start </w:t>
      </w:r>
      <w:r w:rsidRPr="002E496B">
        <w:rPr>
          <w:rFonts w:eastAsiaTheme="minorHAnsi" w:cs="Times New Roman"/>
          <w:color w:val="000000" w:themeColor="text1"/>
          <w:sz w:val="22"/>
          <w:szCs w:val="22"/>
        </w:rPr>
        <w:lastRenderedPageBreak/>
        <w:t>date and event date</w:t>
      </w:r>
      <w:r w:rsidRPr="002E496B">
        <w:rPr>
          <w:rFonts w:eastAsia="游明朝" w:cs="Times New Roman"/>
          <w:color w:val="000000"/>
          <w:sz w:val="22"/>
          <w:szCs w:val="22"/>
        </w:rPr>
        <w:t>, had relatively lower completeness rates, reflecting the known limitations of spontaneous reporting systems.</w:t>
      </w:r>
    </w:p>
    <w:p w14:paraId="11175C97" w14:textId="77777777" w:rsidR="00BE4E7B" w:rsidRPr="002E496B" w:rsidRDefault="00BE4E7B" w:rsidP="002626C1">
      <w:pPr>
        <w:widowControl/>
        <w:spacing w:line="480" w:lineRule="auto"/>
        <w:jc w:val="left"/>
        <w:rPr>
          <w:rFonts w:eastAsiaTheme="minorHAnsi" w:cs="Times New Roman"/>
          <w:color w:val="000000" w:themeColor="text1"/>
          <w:sz w:val="22"/>
          <w:szCs w:val="22"/>
        </w:rPr>
      </w:pPr>
    </w:p>
    <w:p w14:paraId="4ED1F1B2" w14:textId="14159C5C" w:rsidR="00BE4E7B" w:rsidRPr="002E496B" w:rsidRDefault="007E483E" w:rsidP="002626C1">
      <w:pPr>
        <w:pStyle w:val="af9"/>
        <w:keepNext/>
        <w:spacing w:line="480" w:lineRule="auto"/>
        <w:jc w:val="left"/>
        <w:rPr>
          <w:rFonts w:ascii="Times New Roman" w:eastAsia="游明朝" w:hAnsi="Times New Roman" w:cs="Times New Roman"/>
          <w:b w:val="0"/>
          <w:bCs w:val="0"/>
          <w:color w:val="000000" w:themeColor="text1"/>
          <w:sz w:val="22"/>
          <w:szCs w:val="22"/>
        </w:rPr>
      </w:pPr>
      <w:r w:rsidRPr="002E496B">
        <w:rPr>
          <w:rFonts w:ascii="Times New Roman" w:eastAsia="游明朝" w:hAnsi="Times New Roman" w:cs="Times New Roman"/>
          <w:color w:val="000000" w:themeColor="text1"/>
          <w:sz w:val="22"/>
          <w:szCs w:val="22"/>
        </w:rPr>
        <w:t xml:space="preserve">Supplementary Table </w:t>
      </w:r>
      <w:r w:rsidR="00B9084F" w:rsidRPr="002E496B">
        <w:rPr>
          <w:rFonts w:ascii="Times New Roman" w:eastAsia="游明朝" w:hAnsi="Times New Roman" w:cs="Times New Roman" w:hint="eastAsia"/>
          <w:color w:val="000000" w:themeColor="text1"/>
          <w:sz w:val="22"/>
          <w:szCs w:val="22"/>
        </w:rPr>
        <w:t>5</w:t>
      </w:r>
      <w:r w:rsidRPr="002E496B">
        <w:rPr>
          <w:rFonts w:ascii="Times New Roman" w:eastAsia="游明朝" w:hAnsi="Times New Roman" w:cs="Times New Roman"/>
          <w:color w:val="000000" w:themeColor="text1"/>
          <w:sz w:val="22"/>
          <w:szCs w:val="22"/>
        </w:rPr>
        <w:t>.</w:t>
      </w:r>
      <w:r w:rsidRPr="002E496B">
        <w:rPr>
          <w:rFonts w:ascii="Times New Roman" w:eastAsia="游明朝" w:hAnsi="Times New Roman" w:cs="Times New Roman"/>
          <w:b w:val="0"/>
          <w:bCs w:val="0"/>
          <w:color w:val="000000" w:themeColor="text1"/>
          <w:sz w:val="22"/>
          <w:szCs w:val="22"/>
        </w:rPr>
        <w:t xml:space="preserve"> Summary of data completeness for key fields in </w:t>
      </w:r>
      <w:r w:rsidRPr="002E496B">
        <w:rPr>
          <w:rFonts w:ascii="Times New Roman" w:eastAsia="游明朝" w:hAnsi="Times New Roman" w:cs="Times New Roman"/>
          <w:b w:val="0"/>
          <w:bCs w:val="0"/>
          <w:color w:val="000000"/>
          <w:sz w:val="22"/>
          <w:szCs w:val="22"/>
        </w:rPr>
        <w:t>the AEST</w:t>
      </w:r>
    </w:p>
    <w:tbl>
      <w:tblPr>
        <w:tblW w:w="8220" w:type="dxa"/>
        <w:jc w:val="center"/>
        <w:tblCellMar>
          <w:left w:w="99" w:type="dxa"/>
          <w:right w:w="99" w:type="dxa"/>
        </w:tblCellMar>
        <w:tblLook w:val="04A0" w:firstRow="1" w:lastRow="0" w:firstColumn="1" w:lastColumn="0" w:noHBand="0" w:noVBand="1"/>
      </w:tblPr>
      <w:tblGrid>
        <w:gridCol w:w="1996"/>
        <w:gridCol w:w="6224"/>
      </w:tblGrid>
      <w:tr w:rsidR="0010735D" w:rsidRPr="002E496B" w14:paraId="0A92A5F7" w14:textId="77777777">
        <w:trPr>
          <w:trHeight w:val="379"/>
          <w:jc w:val="center"/>
        </w:trPr>
        <w:tc>
          <w:tcPr>
            <w:tcW w:w="8220" w:type="dxa"/>
            <w:gridSpan w:val="2"/>
            <w:tcBorders>
              <w:top w:val="single" w:sz="4" w:space="0" w:color="auto"/>
              <w:left w:val="nil"/>
              <w:bottom w:val="single" w:sz="4" w:space="0" w:color="auto"/>
              <w:right w:val="nil"/>
            </w:tcBorders>
            <w:noWrap/>
            <w:vAlign w:val="center"/>
            <w:hideMark/>
          </w:tcPr>
          <w:p w14:paraId="67322A6E" w14:textId="77777777" w:rsidR="00BE4E7B" w:rsidRPr="002E496B" w:rsidRDefault="007E483E" w:rsidP="002626C1">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Data total: 575,452,020 records (mean per file 6,691,302; SD ± 6,094,644)</w:t>
            </w:r>
          </w:p>
        </w:tc>
      </w:tr>
      <w:tr w:rsidR="0010735D" w:rsidRPr="002E496B" w14:paraId="09EF432B" w14:textId="77777777" w:rsidTr="0041637F">
        <w:trPr>
          <w:trHeight w:val="379"/>
          <w:jc w:val="center"/>
        </w:trPr>
        <w:tc>
          <w:tcPr>
            <w:tcW w:w="1996" w:type="dxa"/>
            <w:tcBorders>
              <w:top w:val="single" w:sz="4" w:space="0" w:color="auto"/>
              <w:left w:val="nil"/>
              <w:bottom w:val="single" w:sz="4" w:space="0" w:color="auto"/>
              <w:right w:val="nil"/>
            </w:tcBorders>
            <w:noWrap/>
            <w:vAlign w:val="center"/>
          </w:tcPr>
          <w:p w14:paraId="17E98F6F" w14:textId="21B62868" w:rsidR="009802C7" w:rsidRPr="002E496B" w:rsidRDefault="009802C7" w:rsidP="009802C7">
            <w:pPr>
              <w:widowControl/>
              <w:spacing w:line="480" w:lineRule="auto"/>
              <w:jc w:val="center"/>
              <w:rPr>
                <w:rFonts w:eastAsia="游明朝" w:cs="Times New Roman"/>
                <w:color w:val="000000" w:themeColor="text1"/>
                <w:kern w:val="0"/>
                <w:sz w:val="22"/>
                <w:szCs w:val="22"/>
              </w:rPr>
            </w:pPr>
          </w:p>
        </w:tc>
        <w:tc>
          <w:tcPr>
            <w:tcW w:w="6224" w:type="dxa"/>
            <w:tcBorders>
              <w:top w:val="single" w:sz="4" w:space="0" w:color="auto"/>
              <w:left w:val="nil"/>
              <w:bottom w:val="single" w:sz="4" w:space="0" w:color="auto"/>
              <w:right w:val="nil"/>
            </w:tcBorders>
            <w:vAlign w:val="center"/>
          </w:tcPr>
          <w:p w14:paraId="36F5ACB4" w14:textId="43EA22AB"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Filling rate (number/total)</w:t>
            </w:r>
          </w:p>
        </w:tc>
      </w:tr>
      <w:tr w:rsidR="0010735D" w:rsidRPr="002E496B" w14:paraId="7C626F1B" w14:textId="77777777" w:rsidTr="009802C7">
        <w:trPr>
          <w:trHeight w:val="379"/>
          <w:jc w:val="center"/>
        </w:trPr>
        <w:tc>
          <w:tcPr>
            <w:tcW w:w="1996" w:type="dxa"/>
            <w:tcBorders>
              <w:top w:val="nil"/>
              <w:left w:val="nil"/>
              <w:bottom w:val="nil"/>
              <w:right w:val="nil"/>
            </w:tcBorders>
            <w:noWrap/>
            <w:vAlign w:val="center"/>
            <w:hideMark/>
          </w:tcPr>
          <w:p w14:paraId="3AF090ED"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 xml:space="preserve">Drug name </w:t>
            </w:r>
          </w:p>
        </w:tc>
        <w:tc>
          <w:tcPr>
            <w:tcW w:w="6224" w:type="dxa"/>
            <w:tcBorders>
              <w:top w:val="nil"/>
              <w:left w:val="nil"/>
              <w:bottom w:val="nil"/>
              <w:right w:val="nil"/>
            </w:tcBorders>
            <w:noWrap/>
            <w:vAlign w:val="center"/>
            <w:hideMark/>
          </w:tcPr>
          <w:p w14:paraId="39F4B8CD"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100.0% (575,452,020/575,452,020)</w:t>
            </w:r>
          </w:p>
        </w:tc>
      </w:tr>
      <w:tr w:rsidR="0010735D" w:rsidRPr="002E496B" w14:paraId="5A2BDC23" w14:textId="77777777" w:rsidTr="009802C7">
        <w:trPr>
          <w:trHeight w:val="379"/>
          <w:jc w:val="center"/>
        </w:trPr>
        <w:tc>
          <w:tcPr>
            <w:tcW w:w="1996" w:type="dxa"/>
            <w:tcBorders>
              <w:top w:val="nil"/>
              <w:left w:val="nil"/>
              <w:bottom w:val="nil"/>
              <w:right w:val="nil"/>
            </w:tcBorders>
            <w:noWrap/>
            <w:vAlign w:val="center"/>
            <w:hideMark/>
          </w:tcPr>
          <w:p w14:paraId="674D4875" w14:textId="16CC0081"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PT</w:t>
            </w:r>
          </w:p>
        </w:tc>
        <w:tc>
          <w:tcPr>
            <w:tcW w:w="6224" w:type="dxa"/>
            <w:tcBorders>
              <w:top w:val="nil"/>
              <w:left w:val="nil"/>
              <w:bottom w:val="nil"/>
              <w:right w:val="nil"/>
            </w:tcBorders>
            <w:noWrap/>
            <w:vAlign w:val="center"/>
            <w:hideMark/>
          </w:tcPr>
          <w:p w14:paraId="1AE18EB1"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100.0% (575,452,020/575,452,020)</w:t>
            </w:r>
          </w:p>
        </w:tc>
      </w:tr>
      <w:tr w:rsidR="0010735D" w:rsidRPr="002E496B" w14:paraId="089073F2" w14:textId="77777777" w:rsidTr="009802C7">
        <w:trPr>
          <w:trHeight w:val="379"/>
          <w:jc w:val="center"/>
        </w:trPr>
        <w:tc>
          <w:tcPr>
            <w:tcW w:w="1996" w:type="dxa"/>
            <w:tcBorders>
              <w:top w:val="nil"/>
              <w:left w:val="nil"/>
              <w:bottom w:val="nil"/>
              <w:right w:val="nil"/>
            </w:tcBorders>
            <w:noWrap/>
            <w:vAlign w:val="center"/>
            <w:hideMark/>
          </w:tcPr>
          <w:p w14:paraId="5FA921A0" w14:textId="436A73A8"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Indication PT</w:t>
            </w:r>
          </w:p>
        </w:tc>
        <w:tc>
          <w:tcPr>
            <w:tcW w:w="6224" w:type="dxa"/>
            <w:tcBorders>
              <w:top w:val="nil"/>
              <w:left w:val="nil"/>
              <w:bottom w:val="nil"/>
              <w:right w:val="nil"/>
            </w:tcBorders>
            <w:noWrap/>
            <w:vAlign w:val="center"/>
            <w:hideMark/>
          </w:tcPr>
          <w:p w14:paraId="767BDB14"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99.9% (575,451,928/575,452,020)</w:t>
            </w:r>
          </w:p>
        </w:tc>
      </w:tr>
      <w:tr w:rsidR="0010735D" w:rsidRPr="002E496B" w14:paraId="5BF5460E" w14:textId="77777777" w:rsidTr="009802C7">
        <w:trPr>
          <w:trHeight w:val="379"/>
          <w:jc w:val="center"/>
        </w:trPr>
        <w:tc>
          <w:tcPr>
            <w:tcW w:w="1996" w:type="dxa"/>
            <w:tcBorders>
              <w:top w:val="nil"/>
              <w:left w:val="nil"/>
              <w:bottom w:val="nil"/>
              <w:right w:val="nil"/>
            </w:tcBorders>
            <w:noWrap/>
            <w:vAlign w:val="center"/>
            <w:hideMark/>
          </w:tcPr>
          <w:p w14:paraId="28BCD120"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 xml:space="preserve">Start date </w:t>
            </w:r>
          </w:p>
        </w:tc>
        <w:tc>
          <w:tcPr>
            <w:tcW w:w="6224" w:type="dxa"/>
            <w:tcBorders>
              <w:top w:val="nil"/>
              <w:left w:val="nil"/>
              <w:bottom w:val="nil"/>
              <w:right w:val="nil"/>
            </w:tcBorders>
            <w:noWrap/>
            <w:vAlign w:val="center"/>
            <w:hideMark/>
          </w:tcPr>
          <w:p w14:paraId="6EAF73AA"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14.7% (84,453,152/575,452,020)</w:t>
            </w:r>
          </w:p>
        </w:tc>
      </w:tr>
      <w:tr w:rsidR="0010735D" w:rsidRPr="002E496B" w14:paraId="1E056816" w14:textId="77777777" w:rsidTr="009802C7">
        <w:trPr>
          <w:trHeight w:val="379"/>
          <w:jc w:val="center"/>
        </w:trPr>
        <w:tc>
          <w:tcPr>
            <w:tcW w:w="1996" w:type="dxa"/>
            <w:tcBorders>
              <w:top w:val="nil"/>
              <w:left w:val="nil"/>
              <w:bottom w:val="nil"/>
              <w:right w:val="nil"/>
            </w:tcBorders>
            <w:noWrap/>
            <w:vAlign w:val="center"/>
            <w:hideMark/>
          </w:tcPr>
          <w:p w14:paraId="6B8D6651" w14:textId="2FA0B979"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Event date</w:t>
            </w:r>
          </w:p>
        </w:tc>
        <w:tc>
          <w:tcPr>
            <w:tcW w:w="6224" w:type="dxa"/>
            <w:tcBorders>
              <w:top w:val="nil"/>
              <w:left w:val="nil"/>
              <w:bottom w:val="nil"/>
              <w:right w:val="nil"/>
            </w:tcBorders>
            <w:noWrap/>
            <w:vAlign w:val="center"/>
            <w:hideMark/>
          </w:tcPr>
          <w:p w14:paraId="2A9B2C76"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40.7% (234,136,717/575,452,020)</w:t>
            </w:r>
          </w:p>
        </w:tc>
      </w:tr>
      <w:tr w:rsidR="0010735D" w:rsidRPr="002E496B" w14:paraId="2D458DAE" w14:textId="77777777" w:rsidTr="009802C7">
        <w:trPr>
          <w:trHeight w:val="379"/>
          <w:jc w:val="center"/>
        </w:trPr>
        <w:tc>
          <w:tcPr>
            <w:tcW w:w="1996" w:type="dxa"/>
            <w:tcBorders>
              <w:top w:val="nil"/>
              <w:left w:val="nil"/>
              <w:bottom w:val="nil"/>
              <w:right w:val="nil"/>
            </w:tcBorders>
            <w:noWrap/>
            <w:vAlign w:val="center"/>
            <w:hideMark/>
          </w:tcPr>
          <w:p w14:paraId="5076D6D4" w14:textId="5C397250"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End date</w:t>
            </w:r>
          </w:p>
        </w:tc>
        <w:tc>
          <w:tcPr>
            <w:tcW w:w="6224" w:type="dxa"/>
            <w:tcBorders>
              <w:top w:val="nil"/>
              <w:left w:val="nil"/>
              <w:bottom w:val="nil"/>
              <w:right w:val="nil"/>
            </w:tcBorders>
            <w:noWrap/>
            <w:vAlign w:val="center"/>
            <w:hideMark/>
          </w:tcPr>
          <w:p w14:paraId="7A1C5DC0"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85.0% (489,402,120/575,452,020)</w:t>
            </w:r>
          </w:p>
        </w:tc>
      </w:tr>
      <w:tr w:rsidR="0010735D" w:rsidRPr="002E496B" w14:paraId="1B4252EC" w14:textId="77777777" w:rsidTr="009802C7">
        <w:trPr>
          <w:trHeight w:val="379"/>
          <w:jc w:val="center"/>
        </w:trPr>
        <w:tc>
          <w:tcPr>
            <w:tcW w:w="1996" w:type="dxa"/>
            <w:tcBorders>
              <w:top w:val="nil"/>
              <w:left w:val="nil"/>
              <w:bottom w:val="nil"/>
              <w:right w:val="nil"/>
            </w:tcBorders>
            <w:noWrap/>
            <w:vAlign w:val="center"/>
            <w:hideMark/>
          </w:tcPr>
          <w:p w14:paraId="60591A82"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 xml:space="preserve">Age </w:t>
            </w:r>
          </w:p>
        </w:tc>
        <w:tc>
          <w:tcPr>
            <w:tcW w:w="6224" w:type="dxa"/>
            <w:tcBorders>
              <w:top w:val="nil"/>
              <w:left w:val="nil"/>
              <w:bottom w:val="nil"/>
              <w:right w:val="nil"/>
            </w:tcBorders>
            <w:noWrap/>
            <w:vAlign w:val="center"/>
            <w:hideMark/>
          </w:tcPr>
          <w:p w14:paraId="555AE64F"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71.8% (413,091,651/575,452,020)</w:t>
            </w:r>
          </w:p>
        </w:tc>
      </w:tr>
      <w:tr w:rsidR="0010735D" w:rsidRPr="002E496B" w14:paraId="24277B73" w14:textId="77777777" w:rsidTr="009802C7">
        <w:trPr>
          <w:trHeight w:val="379"/>
          <w:jc w:val="center"/>
        </w:trPr>
        <w:tc>
          <w:tcPr>
            <w:tcW w:w="1996" w:type="dxa"/>
            <w:tcBorders>
              <w:top w:val="nil"/>
              <w:left w:val="nil"/>
              <w:bottom w:val="nil"/>
              <w:right w:val="nil"/>
            </w:tcBorders>
            <w:noWrap/>
            <w:vAlign w:val="center"/>
            <w:hideMark/>
          </w:tcPr>
          <w:p w14:paraId="5A73E2A0" w14:textId="3BBA0E34"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Sex</w:t>
            </w:r>
          </w:p>
        </w:tc>
        <w:tc>
          <w:tcPr>
            <w:tcW w:w="6224" w:type="dxa"/>
            <w:tcBorders>
              <w:top w:val="nil"/>
              <w:left w:val="nil"/>
              <w:bottom w:val="nil"/>
              <w:right w:val="nil"/>
            </w:tcBorders>
            <w:noWrap/>
            <w:vAlign w:val="center"/>
            <w:hideMark/>
          </w:tcPr>
          <w:p w14:paraId="2ACA0B7D"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88.8% (510,802,519/575,452,020)</w:t>
            </w:r>
          </w:p>
        </w:tc>
      </w:tr>
      <w:tr w:rsidR="0010735D" w:rsidRPr="002E496B" w14:paraId="63D96DBC" w14:textId="77777777" w:rsidTr="009802C7">
        <w:trPr>
          <w:trHeight w:val="379"/>
          <w:jc w:val="center"/>
        </w:trPr>
        <w:tc>
          <w:tcPr>
            <w:tcW w:w="1996" w:type="dxa"/>
            <w:tcBorders>
              <w:top w:val="nil"/>
              <w:left w:val="nil"/>
              <w:bottom w:val="single" w:sz="4" w:space="0" w:color="auto"/>
              <w:right w:val="nil"/>
            </w:tcBorders>
            <w:noWrap/>
            <w:vAlign w:val="center"/>
            <w:hideMark/>
          </w:tcPr>
          <w:p w14:paraId="19B7B7BB"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Reporter country</w:t>
            </w:r>
          </w:p>
        </w:tc>
        <w:tc>
          <w:tcPr>
            <w:tcW w:w="6224" w:type="dxa"/>
            <w:tcBorders>
              <w:top w:val="nil"/>
              <w:left w:val="nil"/>
              <w:bottom w:val="single" w:sz="4" w:space="0" w:color="auto"/>
              <w:right w:val="nil"/>
            </w:tcBorders>
            <w:noWrap/>
            <w:vAlign w:val="center"/>
            <w:hideMark/>
          </w:tcPr>
          <w:p w14:paraId="38104951" w14:textId="77777777" w:rsidR="009802C7" w:rsidRPr="002E496B" w:rsidRDefault="007E483E" w:rsidP="009802C7">
            <w:pPr>
              <w:widowControl/>
              <w:spacing w:line="480" w:lineRule="auto"/>
              <w:jc w:val="left"/>
              <w:rPr>
                <w:rFonts w:eastAsia="游明朝" w:cs="Times New Roman"/>
                <w:color w:val="000000" w:themeColor="text1"/>
                <w:kern w:val="0"/>
                <w:sz w:val="22"/>
                <w:szCs w:val="22"/>
              </w:rPr>
            </w:pPr>
            <w:r w:rsidRPr="002E496B">
              <w:rPr>
                <w:rFonts w:eastAsia="游明朝" w:cs="Times New Roman"/>
                <w:color w:val="000000" w:themeColor="text1"/>
                <w:kern w:val="0"/>
                <w:sz w:val="22"/>
                <w:szCs w:val="22"/>
              </w:rPr>
              <w:t>96.3% (553,877,001/575,452,020)</w:t>
            </w:r>
          </w:p>
        </w:tc>
      </w:tr>
    </w:tbl>
    <w:p w14:paraId="27539FD0" w14:textId="77777777" w:rsidR="00BE4E7B" w:rsidRPr="002E496B" w:rsidRDefault="00BE4E7B" w:rsidP="002626C1">
      <w:pPr>
        <w:pStyle w:val="af9"/>
        <w:spacing w:line="480" w:lineRule="auto"/>
        <w:jc w:val="left"/>
        <w:rPr>
          <w:rFonts w:ascii="Times New Roman" w:eastAsia="游明朝" w:hAnsi="Times New Roman" w:cs="Times New Roman"/>
          <w:b w:val="0"/>
          <w:bCs w:val="0"/>
          <w:color w:val="000000" w:themeColor="text1"/>
          <w:sz w:val="22"/>
          <w:szCs w:val="22"/>
        </w:rPr>
      </w:pPr>
    </w:p>
    <w:p w14:paraId="4E26B239" w14:textId="77777777" w:rsidR="00BE4E7B" w:rsidRPr="002E496B" w:rsidRDefault="007E483E" w:rsidP="002626C1">
      <w:pPr>
        <w:pStyle w:val="af9"/>
        <w:keepNext/>
        <w:spacing w:line="480" w:lineRule="auto"/>
        <w:jc w:val="left"/>
        <w:rPr>
          <w:rFonts w:ascii="Times New Roman" w:hAnsi="Times New Roman" w:cs="Times New Roman"/>
          <w:sz w:val="22"/>
          <w:szCs w:val="22"/>
        </w:rPr>
      </w:pPr>
      <w:r w:rsidRPr="002E496B">
        <w:rPr>
          <w:rFonts w:ascii="Times New Roman" w:eastAsia="游明朝" w:hAnsi="Times New Roman" w:cs="Times New Roman"/>
          <w:noProof/>
          <w:color w:val="000000" w:themeColor="text1"/>
          <w:sz w:val="22"/>
          <w:szCs w:val="22"/>
          <w:lang w:val="en-IN" w:eastAsia="en-IN"/>
        </w:rPr>
        <w:lastRenderedPageBreak/>
        <w:drawing>
          <wp:inline distT="0" distB="0" distL="0" distR="0" wp14:anchorId="262F89E1" wp14:editId="08C94499">
            <wp:extent cx="5595457" cy="2198260"/>
            <wp:effectExtent l="0" t="0" r="0" b="1270"/>
            <wp:docPr id="805152846" name="図 2" descr="Figure 4. Quarterly report trend chart&#10;Quarterly counts of reports in AEST from 2004Q1 to 2025Q2, illustrating a continuous increase in report volume over time with accelerated growth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52846" name="図 2" descr="Figure 4. Quarterly report trend chart&#10;Quarterly counts of reports in AEST from 2004Q1 to 2025Q2, illustrating a continuous increase in report volume over time with accelerated growth in recent year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95457" cy="2198260"/>
                    </a:xfrm>
                    <a:prstGeom prst="rect">
                      <a:avLst/>
                    </a:prstGeom>
                    <a:noFill/>
                    <a:ln>
                      <a:noFill/>
                    </a:ln>
                  </pic:spPr>
                </pic:pic>
              </a:graphicData>
            </a:graphic>
          </wp:inline>
        </w:drawing>
      </w:r>
    </w:p>
    <w:p w14:paraId="2AB07700" w14:textId="106AE90C" w:rsidR="00BE4E7B" w:rsidRPr="002E496B" w:rsidRDefault="007E483E" w:rsidP="002626C1">
      <w:pPr>
        <w:pStyle w:val="af9"/>
        <w:spacing w:line="480" w:lineRule="auto"/>
        <w:jc w:val="left"/>
        <w:rPr>
          <w:rFonts w:ascii="Times New Roman" w:eastAsia="游明朝" w:hAnsi="Times New Roman" w:cs="Times New Roman"/>
          <w:b w:val="0"/>
          <w:bCs w:val="0"/>
          <w:color w:val="000000" w:themeColor="text1"/>
          <w:sz w:val="22"/>
          <w:szCs w:val="22"/>
        </w:rPr>
      </w:pPr>
      <w:r w:rsidRPr="002E496B">
        <w:rPr>
          <w:rFonts w:cs="Times New Roman"/>
          <w:sz w:val="22"/>
          <w:szCs w:val="22"/>
        </w:rPr>
        <w:t>Supplementary Fig</w:t>
      </w:r>
      <w:r w:rsidR="00B219F5" w:rsidRPr="002E496B">
        <w:rPr>
          <w:rFonts w:ascii="Times New Roman" w:hAnsi="Times New Roman" w:cs="Times New Roman"/>
          <w:sz w:val="22"/>
          <w:szCs w:val="22"/>
        </w:rPr>
        <w:t xml:space="preserve">. </w:t>
      </w:r>
      <w:r w:rsidRPr="002E496B">
        <w:rPr>
          <w:rFonts w:cs="Times New Roman"/>
          <w:sz w:val="22"/>
          <w:szCs w:val="22"/>
        </w:rPr>
        <w:t>1.</w:t>
      </w:r>
      <w:r w:rsidRPr="002E496B">
        <w:rPr>
          <w:rFonts w:ascii="Times New Roman" w:hAnsi="Times New Roman" w:cs="Times New Roman"/>
          <w:b w:val="0"/>
          <w:bCs w:val="0"/>
          <w:sz w:val="22"/>
          <w:szCs w:val="22"/>
        </w:rPr>
        <w:t xml:space="preserve"> Quarterly trends in record counts</w:t>
      </w:r>
      <w:r w:rsidR="00EA4FE8" w:rsidRPr="002E496B">
        <w:rPr>
          <w:rFonts w:ascii="Times New Roman" w:hAnsi="Times New Roman" w:cs="Times New Roman"/>
          <w:b w:val="0"/>
          <w:bCs w:val="0"/>
          <w:sz w:val="22"/>
          <w:szCs w:val="22"/>
        </w:rPr>
        <w:t xml:space="preserve">. </w:t>
      </w:r>
      <w:r w:rsidRPr="002E496B">
        <w:rPr>
          <w:rFonts w:ascii="Times New Roman" w:hAnsi="Times New Roman" w:cs="Times New Roman"/>
          <w:b w:val="0"/>
          <w:bCs w:val="0"/>
          <w:sz w:val="22"/>
          <w:szCs w:val="22"/>
        </w:rPr>
        <w:t xml:space="preserve">Quarterly counts of reports in </w:t>
      </w:r>
      <w:r w:rsidRPr="002E496B">
        <w:rPr>
          <w:rFonts w:ascii="Times New Roman" w:eastAsia="游明朝" w:hAnsi="Times New Roman" w:cs="Times New Roman"/>
          <w:b w:val="0"/>
          <w:bCs w:val="0"/>
          <w:sz w:val="22"/>
          <w:szCs w:val="22"/>
        </w:rPr>
        <w:t>the AEST from 2004</w:t>
      </w:r>
      <w:r w:rsidR="00EA4FE8" w:rsidRPr="002E496B">
        <w:rPr>
          <w:rFonts w:ascii="Times New Roman" w:eastAsia="游明朝" w:hAnsi="Times New Roman" w:cs="Times New Roman"/>
          <w:b w:val="0"/>
          <w:bCs w:val="0"/>
          <w:sz w:val="22"/>
          <w:szCs w:val="22"/>
        </w:rPr>
        <w:t xml:space="preserve"> </w:t>
      </w:r>
      <w:r w:rsidRPr="002E496B">
        <w:rPr>
          <w:rFonts w:ascii="Times New Roman" w:eastAsia="游明朝" w:hAnsi="Times New Roman" w:cs="Times New Roman"/>
          <w:b w:val="0"/>
          <w:bCs w:val="0"/>
          <w:sz w:val="22"/>
          <w:szCs w:val="22"/>
        </w:rPr>
        <w:t>Q1 to 2025</w:t>
      </w:r>
      <w:r w:rsidR="00EA4FE8" w:rsidRPr="002E496B">
        <w:rPr>
          <w:rFonts w:ascii="Times New Roman" w:eastAsia="游明朝" w:hAnsi="Times New Roman" w:cs="Times New Roman"/>
          <w:b w:val="0"/>
          <w:bCs w:val="0"/>
          <w:sz w:val="22"/>
          <w:szCs w:val="22"/>
        </w:rPr>
        <w:t xml:space="preserve"> </w:t>
      </w:r>
      <w:r w:rsidRPr="002E496B">
        <w:rPr>
          <w:rFonts w:ascii="Times New Roman" w:eastAsia="游明朝" w:hAnsi="Times New Roman" w:cs="Times New Roman"/>
          <w:b w:val="0"/>
          <w:bCs w:val="0"/>
          <w:sz w:val="22"/>
          <w:szCs w:val="22"/>
        </w:rPr>
        <w:t>Q2</w:t>
      </w:r>
      <w:r w:rsidRPr="002E496B">
        <w:rPr>
          <w:rFonts w:ascii="Times New Roman" w:hAnsi="Times New Roman" w:cs="Times New Roman"/>
          <w:b w:val="0"/>
          <w:bCs w:val="0"/>
          <w:sz w:val="22"/>
          <w:szCs w:val="22"/>
        </w:rPr>
        <w:t xml:space="preserve"> show a continuous increase in report volume</w:t>
      </w:r>
      <w:r w:rsidRPr="002E496B">
        <w:rPr>
          <w:rFonts w:ascii="Times New Roman" w:eastAsia="游明朝" w:hAnsi="Times New Roman" w:cs="Times New Roman"/>
          <w:b w:val="0"/>
          <w:bCs w:val="0"/>
          <w:sz w:val="22"/>
          <w:szCs w:val="22"/>
        </w:rPr>
        <w:t>, with accelerated growth in recent years.</w:t>
      </w:r>
    </w:p>
    <w:p w14:paraId="2F9135C3"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4BC41F7C" w14:textId="3B4099E2"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t>System architecture</w:t>
      </w:r>
    </w:p>
    <w:p w14:paraId="3DF8AC31" w14:textId="1DA6B9C4"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游明朝" w:cs="Times New Roman"/>
          <w:color w:val="000000"/>
          <w:sz w:val="22"/>
          <w:szCs w:val="22"/>
        </w:rPr>
        <w:t xml:space="preserve">The </w:t>
      </w:r>
      <w:r w:rsidRPr="002E496B">
        <w:rPr>
          <w:rFonts w:eastAsiaTheme="minorHAnsi" w:cs="Times New Roman"/>
          <w:color w:val="000000" w:themeColor="text1"/>
          <w:sz w:val="22"/>
          <w:szCs w:val="22"/>
        </w:rPr>
        <w:t xml:space="preserve">AEST was implemented </w:t>
      </w:r>
      <w:r w:rsidRPr="002E496B">
        <w:rPr>
          <w:rFonts w:eastAsia="游明朝" w:cs="Times New Roman"/>
          <w:color w:val="000000"/>
          <w:sz w:val="22"/>
          <w:szCs w:val="22"/>
        </w:rPr>
        <w:t>using Python software. The user interface was built using Streamlit</w:t>
      </w:r>
      <w:r w:rsidR="00677B18" w:rsidRPr="002E496B">
        <w:rPr>
          <w:rFonts w:eastAsiaTheme="minorHAnsi" w:cs="Times New Roman"/>
          <w:color w:val="000000" w:themeColor="text1"/>
          <w:sz w:val="22"/>
          <w:szCs w:val="22"/>
        </w:rPr>
        <w:fldChar w:fldCharType="begin"/>
      </w:r>
      <w:r w:rsidR="00CE2E32" w:rsidRPr="002E496B">
        <w:rPr>
          <w:rFonts w:eastAsiaTheme="minorHAnsi" w:cs="Times New Roman"/>
          <w:color w:val="000000" w:themeColor="text1"/>
          <w:sz w:val="22"/>
          <w:szCs w:val="22"/>
        </w:rPr>
        <w:instrText xml:space="preserve"> ADDIN ZOTERO_ITEM CSL_CITATION {"citationID":"EnmMscBs","properties":{"formattedCitation":"\\super 2\\nosupersub{}","plainCitation":"2","noteIndex":0},"citationItems":[{"id":1407,"uris":["http://zotero.org/users/local/yGG8xmNw/items/6KBGDXR4"],"itemData":{"id":1407,"type":"webpage","abstract":"Streamlit is an open-source Python framework for data scientists and AI/ML engineers to deliver interactive data apps – in only a few lines of code.","language":"en","title":"Streamlit • A faster way to build and share data apps","URL":"https://streamlit.io/","accessed":{"date-parts":[["2026",1,22]]},"issued":{"date-parts":[["2021",1,14]]}}}],"schema":"https://github.com/citation-style-language/schema/raw/master/csl-citation.json"} </w:instrText>
      </w:r>
      <w:r w:rsidR="00677B18"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2</w:t>
      </w:r>
      <w:r w:rsidR="00677B18"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and data aggregation and processing were performed using Ray</w:t>
      </w:r>
      <w:r w:rsidR="00595E4F" w:rsidRPr="002E496B">
        <w:rPr>
          <w:rFonts w:eastAsiaTheme="minorHAnsi" w:cs="Times New Roman"/>
          <w:color w:val="000000" w:themeColor="text1"/>
          <w:sz w:val="22"/>
          <w:szCs w:val="22"/>
        </w:rPr>
        <w:fldChar w:fldCharType="begin"/>
      </w:r>
      <w:r w:rsidR="00595E4F" w:rsidRPr="002E496B">
        <w:rPr>
          <w:rFonts w:eastAsiaTheme="minorHAnsi" w:cs="Times New Roman"/>
          <w:color w:val="000000" w:themeColor="text1"/>
          <w:sz w:val="22"/>
          <w:szCs w:val="22"/>
        </w:rPr>
        <w:instrText xml:space="preserve"> ADDIN ZOTERO_ITEM CSL_CITATION {"citationID":"FZuvGFwu","properties":{"formattedCitation":"\\super 3\\nosupersub{}","plainCitation":"3","noteIndex":0},"citationItems":[{"id":1242,"uris":["http://zotero.org/users/local/yGG8xmNw/items/3G86A6ZN"],"itemData":{"id":1242,"type":"paper-conference","abstract":"The next generation of AI applications will continuously interact with the environment and learn from these interactions. These applications impose new and demanding systems requirements, both in terms of performance and flexibility. In this paper, we consider these requirements and present Ray--a distributed system to address them. Ray implements a unified interface that can express both task-parallel and actor-based computations, supported by a single dynamic execution engine. To meet the performance requirements, Ray employs a distributed scheduler and a distributed and fault-tolerant store to manage the system's control state. In our experiments, we demonstrate scaling beyond 1.8 million tasks per second and better performance than existing specialized systems for several challenging reinforcement learning applications.","collection-title":"OSDI'18","container-title":"Proceedings of the 13th USENIX conference on Operating Systems Design and Implementation","event-place":"USA","ISBN":"978-1-931971-47-8","page":"561–577","publisher":"USENIX Association","publisher-place":"USA","source":"ACM Digital Library","title":"Ray: a distributed framework for emerging AI applications","title-short":"Ray","author":[{"family":"Moritz","given":"Philipp"},{"family":"Nishihara","given":"Robert"},{"family":"Wang","given":"Stephanie"},{"family":"Tumanov","given":"Alexey"},{"family":"Liaw","given":"Richard"},{"family":"Liang","given":"Eric"},{"family":"Elibol","given":"Melih"},{"family":"Yang","given":"Zongheng"},{"family":"Paul","given":"William"},{"family":"Jordan","given":"Michael I."},{"family":"Stoica","given":"Ion"}],"accessed":{"date-parts":[["2025",12,17]]},"issued":{"date-parts":[["2018",10]]}}}],"schema":"https://github.com/citation-style-language/schema/raw/master/csl-citation.json"} </w:instrText>
      </w:r>
      <w:r w:rsidR="00595E4F"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3</w:t>
      </w:r>
      <w:r w:rsidR="00595E4F"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a distributed computing framework</w:t>
      </w:r>
      <w:r w:rsidR="004374F1" w:rsidRPr="002E496B">
        <w:rPr>
          <w:rFonts w:eastAsiaTheme="minorHAnsi" w:cs="Times New Roman"/>
          <w:color w:val="000000" w:themeColor="text1"/>
          <w:sz w:val="22"/>
          <w:szCs w:val="22"/>
        </w:rPr>
        <w:t xml:space="preserve"> (</w:t>
      </w:r>
      <w:r w:rsidR="00385453" w:rsidRPr="002E496B">
        <w:rPr>
          <w:rFonts w:eastAsiaTheme="minorHAnsi" w:cs="Times New Roman"/>
          <w:color w:val="000000" w:themeColor="text1"/>
          <w:sz w:val="22"/>
          <w:szCs w:val="22"/>
        </w:rPr>
        <w:t>Supplementary Fig</w:t>
      </w:r>
      <w:r w:rsidR="00B219F5" w:rsidRPr="002E496B">
        <w:rPr>
          <w:rFonts w:eastAsiaTheme="minorHAnsi" w:cs="Times New Roman"/>
          <w:color w:val="000000" w:themeColor="text1"/>
          <w:sz w:val="22"/>
          <w:szCs w:val="22"/>
        </w:rPr>
        <w:t xml:space="preserve">. </w:t>
      </w:r>
      <w:r w:rsidR="004374F1" w:rsidRPr="002E496B">
        <w:rPr>
          <w:rFonts w:eastAsiaTheme="minorHAnsi" w:cs="Times New Roman"/>
          <w:color w:val="000000" w:themeColor="text1"/>
          <w:sz w:val="22"/>
          <w:szCs w:val="22"/>
        </w:rPr>
        <w:t>2)</w:t>
      </w:r>
      <w:r w:rsidRPr="002E496B">
        <w:rPr>
          <w:rFonts w:eastAsiaTheme="minorHAnsi" w:cs="Times New Roman"/>
          <w:color w:val="000000" w:themeColor="text1"/>
          <w:sz w:val="22"/>
          <w:szCs w:val="22"/>
        </w:rPr>
        <w:t xml:space="preserve">. When users input a drug name and analysis conditions, the server executes FAERS aggregation in parallel across </w:t>
      </w:r>
      <w:r w:rsidRPr="002E496B">
        <w:rPr>
          <w:rFonts w:eastAsia="游明朝" w:cs="Times New Roman"/>
          <w:color w:val="000000"/>
          <w:sz w:val="22"/>
          <w:szCs w:val="22"/>
        </w:rPr>
        <w:t>the segmented datasets using Ray, followed by signal detection. The results are automatically displayed on the screen as tables and graphs.</w:t>
      </w:r>
    </w:p>
    <w:p w14:paraId="07F2ACF8"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670F2002" w14:textId="3B7E068E" w:rsidR="002027AC"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游明朝" w:cs="Times New Roman"/>
          <w:noProof/>
          <w:color w:val="000000" w:themeColor="text1"/>
          <w:sz w:val="22"/>
          <w:szCs w:val="22"/>
          <w:lang w:val="en-IN" w:eastAsia="en-IN"/>
        </w:rPr>
        <w:lastRenderedPageBreak/>
        <w:drawing>
          <wp:anchor distT="0" distB="0" distL="114300" distR="114300" simplePos="0" relativeHeight="251658240" behindDoc="0" locked="0" layoutInCell="1" allowOverlap="1" wp14:anchorId="2C595C7A" wp14:editId="7B3D8551">
            <wp:simplePos x="0" y="0"/>
            <wp:positionH relativeFrom="column">
              <wp:posOffset>-502920</wp:posOffset>
            </wp:positionH>
            <wp:positionV relativeFrom="paragraph">
              <wp:posOffset>234315</wp:posOffset>
            </wp:positionV>
            <wp:extent cx="6983095" cy="2870200"/>
            <wp:effectExtent l="0" t="0" r="0" b="6350"/>
            <wp:wrapTopAndBottom/>
            <wp:docPr id="2099533988" name="グラフィックス 5" descr="Figure 3. Distributed signal detection workflow in AEST&#10;User inputs are processed via a Streamlit server for display and automatic correction, while calculations are parallelized over segmented FAERS data on the Ray server, with integrated results visually summarized.&#10;">
              <a:extLst xmlns:a="http://schemas.openxmlformats.org/drawingml/2006/main">
                <a:ext uri="{FF2B5EF4-FFF2-40B4-BE49-F238E27FC236}">
                  <a16:creationId xmlns:a16="http://schemas.microsoft.com/office/drawing/2014/main" id="{BF93783D-8CA6-7C39-156D-BA9D54790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33988" name="グラフィックス 5" descr="Figure 3. Distributed signal detection workflow in AEST&#10;User inputs are processed via a Streamlit server for display and automatic correction, while calculations are parallelized over segmented FAERS data on the Ray server, with integrated results visually summarized.&#10;">
                      <a:extLst>
                        <a:ext uri="{FF2B5EF4-FFF2-40B4-BE49-F238E27FC236}">
                          <a16:creationId xmlns:a16="http://schemas.microsoft.com/office/drawing/2014/main" id="{BF93783D-8CA6-7C39-156D-BA9D54790FD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6983095" cy="2870200"/>
                    </a:xfrm>
                    <a:prstGeom prst="rect">
                      <a:avLst/>
                    </a:prstGeom>
                  </pic:spPr>
                </pic:pic>
              </a:graphicData>
            </a:graphic>
            <wp14:sizeRelH relativeFrom="margin">
              <wp14:pctWidth>0</wp14:pctWidth>
            </wp14:sizeRelH>
            <wp14:sizeRelV relativeFrom="margin">
              <wp14:pctHeight>0</wp14:pctHeight>
            </wp14:sizeRelV>
          </wp:anchor>
        </w:drawing>
      </w:r>
    </w:p>
    <w:p w14:paraId="03E25F6B" w14:textId="3DA7796A"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b/>
          <w:bCs/>
          <w:color w:val="000000" w:themeColor="text1"/>
          <w:sz w:val="22"/>
          <w:szCs w:val="22"/>
        </w:rPr>
        <w:t>Supplementary Fig</w:t>
      </w:r>
      <w:r w:rsidR="00B219F5" w:rsidRPr="002E496B">
        <w:rPr>
          <w:rFonts w:eastAsiaTheme="minorHAnsi" w:cs="Times New Roman"/>
          <w:b/>
          <w:bCs/>
          <w:color w:val="000000" w:themeColor="text1"/>
          <w:sz w:val="22"/>
          <w:szCs w:val="22"/>
        </w:rPr>
        <w:t xml:space="preserve">. </w:t>
      </w:r>
      <w:r w:rsidR="004374F1" w:rsidRPr="002E496B">
        <w:rPr>
          <w:rFonts w:eastAsiaTheme="minorHAnsi" w:cs="Times New Roman"/>
          <w:b/>
          <w:bCs/>
          <w:color w:val="000000" w:themeColor="text1"/>
          <w:sz w:val="22"/>
          <w:szCs w:val="22"/>
        </w:rPr>
        <w:t>2.</w:t>
      </w:r>
      <w:r w:rsidRPr="002E496B">
        <w:rPr>
          <w:rFonts w:eastAsiaTheme="minorHAnsi" w:cs="Times New Roman"/>
          <w:color w:val="000000" w:themeColor="text1"/>
          <w:sz w:val="22"/>
          <w:szCs w:val="22"/>
        </w:rPr>
        <w:t xml:space="preserve"> </w:t>
      </w:r>
      <w:r w:rsidR="005D6824" w:rsidRPr="002E496B">
        <w:rPr>
          <w:rFonts w:eastAsiaTheme="minorHAnsi" w:cs="Times New Roman"/>
          <w:color w:val="000000" w:themeColor="text1"/>
          <w:sz w:val="22"/>
          <w:szCs w:val="22"/>
        </w:rPr>
        <w:t>W</w:t>
      </w:r>
      <w:r w:rsidRPr="002E496B">
        <w:rPr>
          <w:rFonts w:eastAsiaTheme="minorHAnsi" w:cs="Times New Roman"/>
          <w:color w:val="000000" w:themeColor="text1"/>
          <w:sz w:val="22"/>
          <w:szCs w:val="22"/>
        </w:rPr>
        <w:t>orkflow of AEST, including input handling and visualization</w:t>
      </w:r>
      <w:r w:rsidR="005D6824"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t>via Streamlit, parallel aggregation over segmented data using Ray with integration of</w:t>
      </w:r>
      <w:r w:rsidR="005D6824"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t>intermediate results, and final result presentation.</w:t>
      </w:r>
    </w:p>
    <w:p w14:paraId="1E733DA0"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6C297B44" w14:textId="73C959D4"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t>Drug name search (fuzzy matching) function and evaluation</w:t>
      </w:r>
    </w:p>
    <w:p w14:paraId="0E6ACBAE" w14:textId="6646948D"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FAERS contains diverse drug name notations, including generic names, brand names, and abbreviations, and user input</w:t>
      </w:r>
      <w:r w:rsidRPr="002E496B">
        <w:rPr>
          <w:rFonts w:eastAsia="游明朝" w:cs="Times New Roman"/>
          <w:color w:val="000000"/>
          <w:sz w:val="22"/>
          <w:szCs w:val="22"/>
        </w:rPr>
        <w:t>s may contain spelling errors. Consequently, exact string matching alone may lead to insufficient search accuracy</w:t>
      </w:r>
      <w:r w:rsidR="00C0158D" w:rsidRPr="002E496B">
        <w:rPr>
          <w:rFonts w:eastAsiaTheme="minorHAnsi" w:cs="Times New Roman"/>
          <w:color w:val="000000" w:themeColor="text1"/>
          <w:sz w:val="22"/>
          <w:szCs w:val="22"/>
        </w:rPr>
        <w:fldChar w:fldCharType="begin"/>
      </w:r>
      <w:r w:rsidR="00C0158D" w:rsidRPr="002E496B">
        <w:rPr>
          <w:rFonts w:eastAsiaTheme="minorHAnsi" w:cs="Times New Roman"/>
          <w:color w:val="000000" w:themeColor="text1"/>
          <w:sz w:val="22"/>
          <w:szCs w:val="22"/>
        </w:rPr>
        <w:instrText xml:space="preserve"> ADDIN ZOTERO_ITEM CSL_CITATION {"citationID":"6lziaN7d","properties":{"formattedCitation":"\\super 4\\nosupersub{}","plainCitation":"4","noteIndex":0},"citationItems":[{"id":1412,"uris":["http://zotero.org/users/local/yGG8xmNw/items/NPA5JWWC"],"itemData":{"id":1412,"type":"article-journal","abstract":"INTRODUCTION: Efficient search for and finding drugs is essential for electronic drug information systems which, for their part, are prerequisites for computerized physician order entry systems and clinical decision support with the potential to prevent medication errors. Search failures would be critical: they may delay or even prohibit prescription processes or timely retrieval of vital drug information. We analyzed spelling-correction and error characteristics in drug searches and the suitability of auto-completion as prevention strategy.\nMETHODS: A blank entry field was presented to the user for unbiased queries in a web-based drug information system containing &gt;105,000 brand names and active ingredients accessible from all 5500 computers of the Heidelberg University Hospital. The system was equipped with an error-tolerant search. Misspelled but found drug names confirmed by users were aligned by dynamic programming algorithms, opposing misspelled and correct names letter by letter. We analyzed the ratios of correctly and incorrectly spelled but found drugs, frequencies of characters, and their position in misspelled search words.\nRESULTS: Without error-tolerant search, no results were found in 17.5% of all queries. Users confirmed 31% of all results found with phonetic error-correction support. Sixteen percent of all spelling errors were letters in close proximity to the correct letter on keyboards. On average, 7% of the initial letters in misspelled words contained errors.\nCONCLUSION: Drug information systems should be equipped with error-tolerant algorithms to reduce search failures. Drug initial letters are also error-prone, thus auto-completion is not a sufficient error-prevention strategy and needs additional support by error-tolerant algorithms.","container-title":"International Journal of Medical Informatics","DOI":"10.1016/j.ijmedinf.2010.09.005","ISSN":"1872-8243","issue":"12","journalAbbreviation":"Int J Med Inform","language":"eng","note":"PMID: 20951634","page":"832-839","source":"PubMed","title":"Misspellings in drug information system queries: characteristics of drug name spelling errors and strategies for their prevention","title-short":"Misspellings in drug information system queries","volume":"79","author":[{"family":"Senger","given":"Christian"},{"family":"Kaltschmidt","given":"Jens"},{"family":"Schmitt","given":"Simon P. W."},{"family":"Pruszydlo","given":"Markus G."},{"family":"Haefeli","given":"Walter E."}],"issued":{"date-parts":[["2010",12]]}}}],"schema":"https://github.com/citation-style-language/schema/raw/master/csl-citation.json"} </w:instrText>
      </w:r>
      <w:r w:rsidR="00C0158D"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4</w:t>
      </w:r>
      <w:r w:rsidR="00C0158D"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To address this issue, AEST calculates the </w:t>
      </w:r>
      <w:r w:rsidR="00592671" w:rsidRPr="002E496B">
        <w:rPr>
          <w:rFonts w:eastAsiaTheme="minorHAnsi" w:cs="Times New Roman"/>
          <w:color w:val="000000" w:themeColor="text1"/>
          <w:sz w:val="22"/>
          <w:szCs w:val="22"/>
        </w:rPr>
        <w:t>string similarity</w:t>
      </w:r>
      <w:r w:rsidRPr="002E496B">
        <w:rPr>
          <w:rFonts w:eastAsiaTheme="minorHAnsi" w:cs="Times New Roman"/>
          <w:color w:val="000000" w:themeColor="text1"/>
          <w:sz w:val="22"/>
          <w:szCs w:val="22"/>
        </w:rPr>
        <w:t xml:space="preserve"> between </w:t>
      </w:r>
      <w:r w:rsidRPr="002E496B">
        <w:rPr>
          <w:rFonts w:eastAsia="游明朝" w:cs="Times New Roman"/>
          <w:color w:val="000000"/>
          <w:sz w:val="22"/>
          <w:szCs w:val="22"/>
        </w:rPr>
        <w:t xml:space="preserve">the user input and drug names registered in its internal dictionary using the </w:t>
      </w:r>
      <w:r w:rsidR="002D453D" w:rsidRPr="002E496B">
        <w:rPr>
          <w:rFonts w:eastAsiaTheme="minorHAnsi" w:cs="Times New Roman"/>
          <w:color w:val="000000" w:themeColor="text1"/>
          <w:sz w:val="22"/>
          <w:szCs w:val="22"/>
        </w:rPr>
        <w:t>Jaro–Winkler metric</w:t>
      </w:r>
      <w:r w:rsidRPr="002E496B">
        <w:rPr>
          <w:rFonts w:eastAsiaTheme="minorHAnsi" w:cs="Times New Roman"/>
          <w:color w:val="000000" w:themeColor="text1"/>
          <w:sz w:val="22"/>
          <w:szCs w:val="22"/>
        </w:rPr>
        <w:t xml:space="preserve"> and returns the candidate with the highest similarity score. </w:t>
      </w:r>
      <w:r w:rsidR="00E56355" w:rsidRPr="002E496B">
        <w:rPr>
          <w:rFonts w:eastAsiaTheme="minorHAnsi" w:cs="Times New Roman"/>
          <w:color w:val="000000" w:themeColor="text1"/>
          <w:sz w:val="22"/>
          <w:szCs w:val="22"/>
        </w:rPr>
        <w:t>Because the</w:t>
      </w:r>
      <w:r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lastRenderedPageBreak/>
        <w:t>Jaro–Winkler distance emphasizes matching at the beginning of strings, it is expected to provide robustness against typing errors</w:t>
      </w:r>
      <w:r w:rsidR="00C0158D" w:rsidRPr="002E496B">
        <w:rPr>
          <w:rFonts w:eastAsiaTheme="minorHAnsi" w:cs="Times New Roman"/>
          <w:color w:val="000000" w:themeColor="text1"/>
          <w:sz w:val="22"/>
          <w:szCs w:val="22"/>
        </w:rPr>
        <w:fldChar w:fldCharType="begin"/>
      </w:r>
      <w:r w:rsidR="00C0158D" w:rsidRPr="002E496B">
        <w:rPr>
          <w:rFonts w:eastAsiaTheme="minorHAnsi" w:cs="Times New Roman"/>
          <w:color w:val="000000" w:themeColor="text1"/>
          <w:sz w:val="22"/>
          <w:szCs w:val="22"/>
        </w:rPr>
        <w:instrText xml:space="preserve"> ADDIN ZOTERO_ITEM CSL_CITATION {"citationID":"g9rxNUvD","properties":{"formattedCitation":"\\super 5\\nosupersub{}","plainCitation":"5","noteIndex":0},"citationItems":[{"id":1414,"uris":["http://zotero.org/users/local/yGG8xmNw/items/4GUUNXX9"],"itemData":{"id":1414,"type":"article-journal","abstract":"Background: A universal health care identifier (UHID) facilitates the development of longitudinal medical records in health care settings where follow up and tracking of persons across health care sectors are needed. HIV case-based surveillance (CBS) entails longitudinal follow up of HIV cases from diagnosis, linkage to care and treatment, and is recommended for second generation HIV surveillance. In the absence of a UHID, records matching, linking, and deduplication may be done using score-based persons matching algorithms. We present a stepwise process of score-based persons matching algorithms based on demographic data to improve HIV CBS and other longitudinal data systems. Objective: The aim of this study is to compare deterministic and score-based persons matching algorithms in records linkage and matching using demographic data in settings without a UHID. Methods: We used HIV CBS pilot data from 124 facilities in 2 high HIV-burden counties (Siaya and Kisumu) in western Kenya. For efficient processing, data were grouped into 3 scenarios within (1) HIV testing services (HTS), (2) HTS-care, and (3) within care. In deterministic matching, we directly compared identifiers and pseudo-identifiers from medical records to determine matches. We used R stringdist package for Jaro, Jaro-Winkler score-based matching and Levenshtein, and Damerau-Levenshtein string edit distance calculation methods. For the Jaro-Winkler method, we used a penalty (р)=0.1 and applied 4 weights (ω) to Levenshtein and Damerau-Levenshtein: deletion ω=0.8, insertion ω=0.8, substitutions ω=1, and transposition ω=0.5. Results: We abstracted 12,157 cases of which 4073/12,157 (33.5%) were from HTS, 1091/12,157 (9.0%) from HTS-care, and 6993/12,157 (57.5%) within care. Using the deterministic process 435/12,157 (3.6%) duplicate records were identified, yielding 96.4% (11,722/12,157) unique cases. Overall, of the score-based methods, Jaro-Winkler yielded the most duplicate records (686/12,157, 5.6%) while Jaro yielded the least duplicates (546/12,157, 4.5%), and Levenshtein and Damerau-Levenshtein yielded 4.6% (563/12,157) duplicates. Specifically, duplicate records yielded by method were: (1) Jaro 5.7% (234/4073) within HTS, 0.4% (4/1091) in HTS-care, and 4.4% (308/6993) within care, (2) Jaro-Winkler 7.4% (302/4073) within HTS, 0.5% (6/1091) in HTS-care, and 5.4% (378/6993) within care, (3) Levenshtein 6.4% (262/4073) within HTS, 0.4% (4/1091) in HTS-care, and 4.2% (297/6993) within care, and (4) Damerau-Levenshtein 6.4% (262/4073) within HTS, 0.4% (4/1091) in HTS-care, and 4.2% (297/6993) within care. Conclusions: Without deduplication, over reporting occurs across the care and treatment cascade. Jaro-Winkler score-based matching performed the best in identifying matches. A pragmatic estimate of duplicates in health care settings can provide a corrective factor for modeled estimates, for targeting and program planning. We propose that even without a UHID, standard national deduplication and persons-matching algorithm that utilizes demographic data would improve accuracy in monitoring HIV care clinical cascades.","container-title":"JMIR Public Health and Surveillance","DOI":"10.2196/10436","issue":"4","language":"EN","license":"Unless stated otherwise, all articles are open-access distributed under the terms of the Creative Commons Attribution License (http://creativecommons.org/licenses/by/2.0/), which permits unrestricted use, distribution, and reproduction in any medium, provided the original work (\"first published in the Journal of Medical Internet Research...\") is properly cited with original URL and bibliographic citation information. The complete bibliographic information, a link to the original publication on http://www.jmir.org/, as well as this copyright and license information must be included.","note":"Company: JMIR Public Health and Surveillance\nDistributor: JMIR Public Health and Surveillance\nInstitution: JMIR Public Health and Surveillance\nLabel: JMIR Public Health and Surveillance\npublisher: JMIR Publications Inc., Toronto, Canada","page":"e10436","source":"publichealth.jmir.org","title":"Where No Universal Health Care Identifier Exists: Comparison and Determination of the Utility of Score-Based Persons Matching Algorithms Using Demographic Data","title-short":"Where No Universal Health Care Identifier Exists","volume":"4","author":[{"family":"Waruru","given":"Anthony"},{"family":"Natukunda","given":"Agnes"},{"family":"Nyagah","given":"Lilly M."},{"family":"Kellogg","given":"Timothy A."},{"family":"Zielinski-Gutierrez","given":"Emily"},{"family":"Waruiru","given":"Wanjiru"},{"family":"Masamaro","given":"Kenneth"},{"family":"Harklerode","given":"Richelle"},{"family":"Odhiambo","given":"Jacob"},{"family":"Manders","given":"Eric-Jan"},{"family":"Young","given":"Peter W."}],"issued":{"date-parts":[["2018",12,13]]}}}],"schema":"https://github.com/citation-style-language/schema/raw/master/csl-citation.json"} </w:instrText>
      </w:r>
      <w:r w:rsidR="00C0158D"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5</w:t>
      </w:r>
      <w:r w:rsidR="00C0158D"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This function also maps </w:t>
      </w:r>
      <w:r w:rsidRPr="002E496B">
        <w:rPr>
          <w:rFonts w:eastAsia="游明朝" w:cs="Times New Roman"/>
          <w:color w:val="000000"/>
          <w:sz w:val="22"/>
          <w:szCs w:val="22"/>
        </w:rPr>
        <w:t>the user input to internally managed normalized drug names.</w:t>
      </w:r>
    </w:p>
    <w:p w14:paraId="56E3D36C" w14:textId="39BC5CB9"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To quantitatively evaluate the robustness of this fuzzy-matching approach, simulated typing errors were generated based on the QWERTY keyboard layout using the Keyboard</w:t>
      </w:r>
      <w:r w:rsidRPr="002E496B">
        <w:rPr>
          <w:rFonts w:eastAsia="游明朝" w:cs="Times New Roman"/>
          <w:color w:val="000000"/>
          <w:sz w:val="22"/>
          <w:szCs w:val="22"/>
        </w:rPr>
        <w:t xml:space="preserve"> August function from nlpaug</w:t>
      </w:r>
      <w:r w:rsidR="00C0158D" w:rsidRPr="002E496B">
        <w:rPr>
          <w:rFonts w:eastAsiaTheme="minorHAnsi" w:cs="Times New Roman"/>
          <w:color w:val="000000" w:themeColor="text1"/>
          <w:sz w:val="22"/>
          <w:szCs w:val="22"/>
        </w:rPr>
        <w:fldChar w:fldCharType="begin"/>
      </w:r>
      <w:r w:rsidR="00C0158D" w:rsidRPr="002E496B">
        <w:rPr>
          <w:rFonts w:eastAsiaTheme="minorHAnsi" w:cs="Times New Roman"/>
          <w:color w:val="000000" w:themeColor="text1"/>
          <w:sz w:val="22"/>
          <w:szCs w:val="22"/>
        </w:rPr>
        <w:instrText xml:space="preserve"> ADDIN ZOTERO_ITEM CSL_CITATION {"citationID":"6E03GGxd","properties":{"formattedCitation":"\\super 6\\nosupersub{}","plainCitation":"6","noteIndex":0},"citationItems":[{"id":1409,"uris":["http://zotero.org/users/local/yGG8xmNw/items/BUCN8PHP"],"itemData":{"id":1409,"type":"software","abstract":"Data augmentation for NLP","genre":"Jupyter Notebook","license":"MIT","note":"original-date: 2019-03-21T03:00:17Z","source":"GitHub","title":"makcedward/nlpaug","URL":"https://github.com/makcedward/nlpaug","author":[{"family":"Ma","given":"Edward"}],"accessed":{"date-parts":[["2026",1,22]]},"issued":{"date-parts":[["2026",1,20]]}}}],"schema":"https://github.com/citation-style-language/schema/raw/master/csl-citation.json"} </w:instrText>
      </w:r>
      <w:r w:rsidR="00C0158D"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6</w:t>
      </w:r>
      <w:r w:rsidR="00C0158D"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for all 5,721 compound names available for signal detection in </w:t>
      </w:r>
      <w:r w:rsidRPr="002E496B">
        <w:rPr>
          <w:rFonts w:eastAsia="游明朝" w:cs="Times New Roman"/>
          <w:color w:val="000000"/>
          <w:sz w:val="22"/>
          <w:szCs w:val="22"/>
        </w:rPr>
        <w:t>the AEST. The character error rate (aug_char_p) was varied from 0% to 50% in 5% increments, and the matching rate after the search was calculated for each condition</w:t>
      </w:r>
      <w:r w:rsidR="00FC5A0C" w:rsidRPr="002E496B">
        <w:rPr>
          <w:rFonts w:eastAsiaTheme="minorHAnsi" w:cs="Times New Roman"/>
          <w:color w:val="000000" w:themeColor="text1"/>
          <w:sz w:val="22"/>
          <w:szCs w:val="22"/>
        </w:rPr>
        <w:t xml:space="preserve">, with augmentation applied to all strings (min_char = 1). All other parameters </w:t>
      </w:r>
      <w:r w:rsidRPr="002E496B">
        <w:rPr>
          <w:rFonts w:eastAsia="游明朝" w:cs="Times New Roman"/>
          <w:color w:val="000000"/>
          <w:sz w:val="22"/>
          <w:szCs w:val="22"/>
        </w:rPr>
        <w:t>were set to their default values.</w:t>
      </w:r>
    </w:p>
    <w:p w14:paraId="1C549DAE" w14:textId="55D2A705"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The results showed that when aug_char_p was 0.25 or less, the average matching rate remained around 90% (</w:t>
      </w:r>
      <w:r w:rsidR="00385453" w:rsidRPr="002E496B">
        <w:rPr>
          <w:rFonts w:eastAsiaTheme="minorHAnsi" w:cs="Times New Roman"/>
          <w:color w:val="000000" w:themeColor="text1"/>
          <w:sz w:val="22"/>
          <w:szCs w:val="22"/>
        </w:rPr>
        <w:t>Supplementary Fig</w:t>
      </w:r>
      <w:r w:rsidR="00B219F5" w:rsidRPr="002E496B">
        <w:rPr>
          <w:rFonts w:eastAsiaTheme="minorHAnsi" w:cs="Times New Roman"/>
          <w:color w:val="000000" w:themeColor="text1"/>
          <w:sz w:val="22"/>
          <w:szCs w:val="22"/>
        </w:rPr>
        <w:t xml:space="preserve">. </w:t>
      </w:r>
      <w:r w:rsidR="00C54427" w:rsidRPr="002E496B">
        <w:rPr>
          <w:rFonts w:eastAsiaTheme="minorHAnsi" w:cs="Times New Roman"/>
          <w:color w:val="000000" w:themeColor="text1"/>
          <w:sz w:val="22"/>
          <w:szCs w:val="22"/>
        </w:rPr>
        <w:t>3</w:t>
      </w:r>
      <w:r w:rsidRPr="002E496B">
        <w:rPr>
          <w:rFonts w:eastAsiaTheme="minorHAnsi" w:cs="Times New Roman"/>
          <w:color w:val="000000" w:themeColor="text1"/>
          <w:sz w:val="22"/>
          <w:szCs w:val="22"/>
        </w:rPr>
        <w:t xml:space="preserve">). However, when aug_char_p exceeded 0.3, the matching rate declined significantly, reaching </w:t>
      </w:r>
      <w:r w:rsidR="00D45A2A" w:rsidRPr="002E496B">
        <w:rPr>
          <w:rFonts w:eastAsiaTheme="minorHAnsi" w:cs="Times New Roman"/>
          <w:color w:val="000000" w:themeColor="text1"/>
          <w:sz w:val="22"/>
          <w:szCs w:val="22"/>
        </w:rPr>
        <w:t>36.7</w:t>
      </w:r>
      <w:r w:rsidRPr="002E496B">
        <w:rPr>
          <w:rFonts w:eastAsiaTheme="minorHAnsi" w:cs="Times New Roman"/>
          <w:color w:val="000000" w:themeColor="text1"/>
          <w:sz w:val="22"/>
          <w:szCs w:val="22"/>
        </w:rPr>
        <w:t xml:space="preserve">% at 0.5. This decline was particularly pronounced for drugs with </w:t>
      </w:r>
      <w:r w:rsidR="00F17C4F" w:rsidRPr="002E496B">
        <w:rPr>
          <w:rFonts w:eastAsiaTheme="minorHAnsi" w:cs="Times New Roman"/>
          <w:color w:val="000000" w:themeColor="text1"/>
          <w:sz w:val="22"/>
          <w:szCs w:val="22"/>
        </w:rPr>
        <w:t>relatively short string lengths (generally less than 15 characters)</w:t>
      </w:r>
      <w:r w:rsidRPr="002E496B">
        <w:rPr>
          <w:rFonts w:eastAsiaTheme="minorHAnsi" w:cs="Times New Roman"/>
          <w:color w:val="000000" w:themeColor="text1"/>
          <w:sz w:val="22"/>
          <w:szCs w:val="22"/>
        </w:rPr>
        <w:t>.</w:t>
      </w:r>
    </w:p>
    <w:p w14:paraId="55B2E35F" w14:textId="3FFEE650" w:rsidR="00BC30C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noProof/>
          <w:color w:val="000000" w:themeColor="text1"/>
          <w:sz w:val="22"/>
          <w:szCs w:val="22"/>
          <w:lang w:val="en-IN" w:eastAsia="en-IN"/>
        </w:rPr>
        <w:lastRenderedPageBreak/>
        <w:drawing>
          <wp:inline distT="0" distB="0" distL="0" distR="0" wp14:anchorId="02305BD5" wp14:editId="143FA0F8">
            <wp:extent cx="6247294" cy="2496710"/>
            <wp:effectExtent l="0" t="0" r="1270" b="0"/>
            <wp:docPr id="1071575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753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58599" cy="2501228"/>
                    </a:xfrm>
                    <a:prstGeom prst="rect">
                      <a:avLst/>
                    </a:prstGeom>
                    <a:noFill/>
                    <a:ln>
                      <a:noFill/>
                    </a:ln>
                  </pic:spPr>
                </pic:pic>
              </a:graphicData>
            </a:graphic>
          </wp:inline>
        </w:drawing>
      </w:r>
    </w:p>
    <w:p w14:paraId="16F4F6B3" w14:textId="318E7673" w:rsidR="002B0033" w:rsidRPr="002E496B" w:rsidRDefault="002B0033" w:rsidP="002626C1">
      <w:pPr>
        <w:keepNext/>
        <w:spacing w:line="480" w:lineRule="auto"/>
        <w:jc w:val="left"/>
        <w:rPr>
          <w:rFonts w:eastAsia="游明朝" w:cs="Times New Roman"/>
          <w:color w:val="000000" w:themeColor="text1"/>
          <w:sz w:val="22"/>
          <w:szCs w:val="22"/>
        </w:rPr>
      </w:pPr>
    </w:p>
    <w:p w14:paraId="0921A39C" w14:textId="58DEF3B2" w:rsidR="00816727" w:rsidRPr="002E496B" w:rsidRDefault="007E483E" w:rsidP="002626C1">
      <w:pPr>
        <w:spacing w:line="480" w:lineRule="auto"/>
        <w:jc w:val="left"/>
        <w:rPr>
          <w:rFonts w:cs="Times New Roman"/>
          <w:b/>
          <w:bCs/>
          <w:sz w:val="22"/>
          <w:szCs w:val="22"/>
        </w:rPr>
      </w:pPr>
      <w:r w:rsidRPr="002E496B">
        <w:rPr>
          <w:rFonts w:eastAsia="游明朝" w:cs="Times New Roman"/>
          <w:b/>
          <w:bCs/>
          <w:color w:val="000000" w:themeColor="text1"/>
          <w:sz w:val="22"/>
          <w:szCs w:val="22"/>
        </w:rPr>
        <w:t>Supplementary Fig</w:t>
      </w:r>
      <w:r w:rsidR="00B219F5" w:rsidRPr="002E496B">
        <w:rPr>
          <w:rFonts w:eastAsia="游明朝" w:cs="Times New Roman"/>
          <w:b/>
          <w:bCs/>
          <w:color w:val="000000" w:themeColor="text1"/>
          <w:sz w:val="22"/>
          <w:szCs w:val="22"/>
        </w:rPr>
        <w:t xml:space="preserve">. </w:t>
      </w:r>
      <w:r w:rsidR="002B0033" w:rsidRPr="002E496B">
        <w:rPr>
          <w:rFonts w:eastAsia="游明朝" w:cs="Times New Roman"/>
          <w:b/>
          <w:bCs/>
          <w:color w:val="000000" w:themeColor="text1"/>
          <w:sz w:val="22"/>
          <w:szCs w:val="22"/>
        </w:rPr>
        <w:t>3.</w:t>
      </w:r>
      <w:r w:rsidR="002B0033" w:rsidRPr="002E496B">
        <w:rPr>
          <w:rFonts w:eastAsia="游明朝" w:cs="Times New Roman"/>
          <w:color w:val="000000" w:themeColor="text1"/>
          <w:sz w:val="22"/>
          <w:szCs w:val="22"/>
        </w:rPr>
        <w:t xml:space="preserve"> Matching rate according to typo probability and string length</w:t>
      </w:r>
      <w:r w:rsidR="004B5DA9" w:rsidRPr="002E496B">
        <w:rPr>
          <w:rFonts w:eastAsia="游明朝" w:cs="Times New Roman"/>
          <w:color w:val="000000" w:themeColor="text1"/>
          <w:sz w:val="22"/>
          <w:szCs w:val="22"/>
        </w:rPr>
        <w:t>.</w:t>
      </w:r>
    </w:p>
    <w:p w14:paraId="3F50462D" w14:textId="06E0A75C" w:rsidR="002B0033" w:rsidRPr="002E496B" w:rsidRDefault="007E483E" w:rsidP="00513F89">
      <w:pPr>
        <w:pStyle w:val="af9"/>
        <w:spacing w:after="0" w:line="480" w:lineRule="auto"/>
        <w:jc w:val="left"/>
        <w:rPr>
          <w:rFonts w:ascii="Times New Roman" w:eastAsia="游明朝" w:hAnsi="Times New Roman" w:cs="Times New Roman"/>
          <w:b w:val="0"/>
          <w:bCs w:val="0"/>
          <w:color w:val="000000" w:themeColor="text1"/>
          <w:sz w:val="22"/>
          <w:szCs w:val="22"/>
        </w:rPr>
      </w:pPr>
      <w:r w:rsidRPr="002E496B">
        <w:rPr>
          <w:rFonts w:ascii="Times New Roman" w:eastAsia="游明朝" w:hAnsi="Times New Roman" w:cs="Times New Roman"/>
          <w:b w:val="0"/>
          <w:bCs w:val="0"/>
          <w:color w:val="000000" w:themeColor="text1"/>
          <w:sz w:val="22"/>
          <w:szCs w:val="22"/>
        </w:rPr>
        <w:t>a)</w:t>
      </w:r>
      <w:r w:rsidR="00A23EFB" w:rsidRPr="002E496B">
        <w:rPr>
          <w:rFonts w:ascii="Times New Roman" w:eastAsia="游明朝" w:hAnsi="Times New Roman" w:cs="Times New Roman"/>
          <w:b w:val="0"/>
          <w:bCs w:val="0"/>
          <w:color w:val="000000" w:themeColor="text1"/>
          <w:sz w:val="22"/>
          <w:szCs w:val="22"/>
        </w:rPr>
        <w:t xml:space="preserve"> </w:t>
      </w:r>
      <w:r w:rsidRPr="002E496B">
        <w:rPr>
          <w:rFonts w:ascii="Times New Roman" w:eastAsia="游明朝" w:hAnsi="Times New Roman" w:cs="Times New Roman"/>
          <w:b w:val="0"/>
          <w:bCs w:val="0"/>
          <w:color w:val="000000" w:themeColor="text1"/>
          <w:sz w:val="22"/>
          <w:szCs w:val="22"/>
        </w:rPr>
        <w:t>Line plot showing the decrease in matching rate as typo probability increases.</w:t>
      </w:r>
    </w:p>
    <w:p w14:paraId="05A0F901" w14:textId="3FAFD8D3" w:rsidR="002B0033" w:rsidRPr="002E496B" w:rsidRDefault="007E483E" w:rsidP="002626C1">
      <w:pPr>
        <w:pStyle w:val="af9"/>
        <w:spacing w:line="480" w:lineRule="auto"/>
        <w:jc w:val="left"/>
        <w:rPr>
          <w:rFonts w:ascii="Times New Roman" w:eastAsia="游明朝" w:hAnsi="Times New Roman" w:cs="Times New Roman"/>
          <w:b w:val="0"/>
          <w:bCs w:val="0"/>
          <w:color w:val="000000" w:themeColor="text1"/>
          <w:sz w:val="22"/>
          <w:szCs w:val="22"/>
        </w:rPr>
      </w:pPr>
      <w:r w:rsidRPr="002E496B">
        <w:rPr>
          <w:rFonts w:ascii="Times New Roman" w:eastAsia="游明朝" w:hAnsi="Times New Roman" w:cs="Times New Roman"/>
          <w:b w:val="0"/>
          <w:bCs w:val="0"/>
          <w:color w:val="000000" w:themeColor="text1"/>
          <w:sz w:val="22"/>
          <w:szCs w:val="22"/>
        </w:rPr>
        <w:t>b) Heatmap illustrating matching rates by typo frequency and string length. Matching accuracy remains high for low typo probabilities, while shorter strings and higher typo probabilities result in decreased matching performance.</w:t>
      </w:r>
    </w:p>
    <w:p w14:paraId="7531E56A"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7059825A" w14:textId="6543D74F"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t>User interface</w:t>
      </w:r>
    </w:p>
    <w:p w14:paraId="4E7645CF" w14:textId="09C578AC"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游明朝" w:cs="Times New Roman"/>
          <w:color w:val="000000"/>
          <w:sz w:val="22"/>
          <w:szCs w:val="22"/>
        </w:rPr>
        <w:t xml:space="preserve">The </w:t>
      </w:r>
      <w:r w:rsidRPr="002E496B">
        <w:rPr>
          <w:rFonts w:eastAsiaTheme="minorHAnsi" w:cs="Times New Roman"/>
          <w:color w:val="000000" w:themeColor="text1"/>
          <w:sz w:val="22"/>
          <w:szCs w:val="22"/>
        </w:rPr>
        <w:t xml:space="preserve">AEST automatically executes signal detection and visualization of </w:t>
      </w:r>
      <w:r w:rsidRPr="002E496B">
        <w:rPr>
          <w:rFonts w:eastAsia="游明朝" w:cs="Times New Roman"/>
          <w:color w:val="000000"/>
          <w:sz w:val="22"/>
          <w:szCs w:val="22"/>
        </w:rPr>
        <w:t>the results upon drug name input (</w:t>
      </w:r>
      <w:r w:rsidR="00385453" w:rsidRPr="002E496B">
        <w:rPr>
          <w:rFonts w:eastAsiaTheme="minorHAnsi" w:cs="Times New Roman"/>
          <w:color w:val="000000" w:themeColor="text1"/>
          <w:sz w:val="22"/>
          <w:szCs w:val="22"/>
        </w:rPr>
        <w:t>Supplementary Fig</w:t>
      </w:r>
      <w:r w:rsidR="00B219F5" w:rsidRPr="002E496B">
        <w:rPr>
          <w:rFonts w:eastAsiaTheme="minorHAnsi" w:cs="Times New Roman"/>
          <w:color w:val="000000" w:themeColor="text1"/>
          <w:sz w:val="22"/>
          <w:szCs w:val="22"/>
        </w:rPr>
        <w:t xml:space="preserve">. </w:t>
      </w:r>
      <w:r w:rsidR="004F46FB" w:rsidRPr="002E496B">
        <w:rPr>
          <w:rFonts w:eastAsiaTheme="minorHAnsi" w:cs="Times New Roman"/>
          <w:color w:val="000000" w:themeColor="text1"/>
          <w:sz w:val="22"/>
          <w:szCs w:val="22"/>
        </w:rPr>
        <w:t>4</w:t>
      </w:r>
      <w:r w:rsidRPr="002E496B">
        <w:rPr>
          <w:rFonts w:eastAsiaTheme="minorHAnsi" w:cs="Times New Roman"/>
          <w:color w:val="000000" w:themeColor="text1"/>
          <w:sz w:val="22"/>
          <w:szCs w:val="22"/>
        </w:rPr>
        <w:t>). The drug name input incorporates fuzzy matching based on the Jaro–Winkler distance to accommodate typing errors and other input inconsistencies. The analysis outputs include</w:t>
      </w:r>
      <w:r w:rsidRPr="002E496B">
        <w:rPr>
          <w:rFonts w:eastAsia="游明朝" w:cs="Times New Roman"/>
          <w:color w:val="000000"/>
          <w:sz w:val="22"/>
          <w:szCs w:val="22"/>
        </w:rPr>
        <w:t xml:space="preserve">d signal detection results </w:t>
      </w:r>
      <w:r w:rsidRPr="002E496B">
        <w:rPr>
          <w:rFonts w:eastAsiaTheme="minorHAnsi" w:cs="Times New Roman"/>
          <w:color w:val="000000" w:themeColor="text1"/>
          <w:sz w:val="22"/>
          <w:szCs w:val="22"/>
        </w:rPr>
        <w:t xml:space="preserve">and background information visualized </w:t>
      </w:r>
      <w:r w:rsidRPr="002E496B">
        <w:rPr>
          <w:rFonts w:eastAsiaTheme="minorHAnsi" w:cs="Times New Roman"/>
          <w:color w:val="000000" w:themeColor="text1"/>
          <w:sz w:val="22"/>
          <w:szCs w:val="22"/>
        </w:rPr>
        <w:lastRenderedPageBreak/>
        <w:t>through graphs, such as drug usage patterns, time-to-onset distributions, and patient demographic characteristics.</w:t>
      </w:r>
      <w:r w:rsidR="00DE5406"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t xml:space="preserve">Users can </w:t>
      </w:r>
      <w:r w:rsidR="00DE5406" w:rsidRPr="002E496B">
        <w:rPr>
          <w:rFonts w:eastAsiaTheme="minorHAnsi" w:cs="Times New Roman"/>
          <w:color w:val="000000" w:themeColor="text1"/>
          <w:sz w:val="22"/>
          <w:szCs w:val="22"/>
        </w:rPr>
        <w:t xml:space="preserve">also </w:t>
      </w:r>
      <w:r w:rsidRPr="002E496B">
        <w:rPr>
          <w:rFonts w:eastAsiaTheme="minorHAnsi" w:cs="Times New Roman"/>
          <w:color w:val="000000" w:themeColor="text1"/>
          <w:sz w:val="22"/>
          <w:szCs w:val="22"/>
        </w:rPr>
        <w:t xml:space="preserve">flexibly configure analysis conditions, including </w:t>
      </w:r>
      <w:r w:rsidRPr="002E496B">
        <w:rPr>
          <w:rFonts w:eastAsia="游明朝" w:cs="Times New Roman"/>
          <w:color w:val="000000"/>
          <w:sz w:val="22"/>
          <w:szCs w:val="22"/>
        </w:rPr>
        <w:t>the time period, country, and age group, through graphical user interface operations.</w:t>
      </w:r>
    </w:p>
    <w:p w14:paraId="124FA29C" w14:textId="77777777" w:rsidR="00313A94" w:rsidRPr="002E496B" w:rsidRDefault="007E483E" w:rsidP="002626C1">
      <w:pPr>
        <w:keepNext/>
        <w:spacing w:line="480" w:lineRule="auto"/>
        <w:jc w:val="left"/>
        <w:rPr>
          <w:rFonts w:eastAsia="游明朝" w:cs="Times New Roman"/>
          <w:color w:val="000000" w:themeColor="text1"/>
          <w:sz w:val="22"/>
          <w:szCs w:val="22"/>
        </w:rPr>
      </w:pPr>
      <w:r w:rsidRPr="002E496B">
        <w:rPr>
          <w:rFonts w:eastAsia="游明朝" w:cs="Times New Roman"/>
          <w:noProof/>
          <w:color w:val="000000" w:themeColor="text1"/>
          <w:sz w:val="22"/>
          <w:szCs w:val="22"/>
          <w:lang w:val="en-IN" w:eastAsia="en-IN"/>
        </w:rPr>
        <w:drawing>
          <wp:inline distT="0" distB="0" distL="0" distR="0" wp14:anchorId="680F127A" wp14:editId="2544AEA2">
            <wp:extent cx="5731510" cy="3126740"/>
            <wp:effectExtent l="0" t="0" r="0" b="0"/>
            <wp:docPr id="1620089223" name="グラフィックス 3">
              <a:extLst xmlns:a="http://schemas.openxmlformats.org/drawingml/2006/main">
                <a:ext uri="{FF2B5EF4-FFF2-40B4-BE49-F238E27FC236}">
                  <a16:creationId xmlns:a16="http://schemas.microsoft.com/office/drawing/2014/main" id="{7F1202A5-E25A-4FD2-5D17-59DE1A807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89223" name="グラフィックス 3">
                      <a:extLst>
                        <a:ext uri="{FF2B5EF4-FFF2-40B4-BE49-F238E27FC236}">
                          <a16:creationId xmlns:a16="http://schemas.microsoft.com/office/drawing/2014/main" id="{7F1202A5-E25A-4FD2-5D17-59DE1A807F24}"/>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126740"/>
                    </a:xfrm>
                    <a:prstGeom prst="rect">
                      <a:avLst/>
                    </a:prstGeom>
                  </pic:spPr>
                </pic:pic>
              </a:graphicData>
            </a:graphic>
          </wp:inline>
        </w:drawing>
      </w:r>
    </w:p>
    <w:p w14:paraId="5EFD6EAB" w14:textId="498738F0" w:rsidR="00313A94" w:rsidRPr="002E496B" w:rsidRDefault="007E483E" w:rsidP="00034F69">
      <w:pPr>
        <w:pStyle w:val="af9"/>
        <w:spacing w:line="480" w:lineRule="auto"/>
        <w:jc w:val="left"/>
        <w:rPr>
          <w:rFonts w:eastAsia="游明朝" w:cs="Times New Roman"/>
          <w:color w:val="000000" w:themeColor="text1"/>
          <w:sz w:val="22"/>
          <w:szCs w:val="22"/>
        </w:rPr>
      </w:pPr>
      <w:r w:rsidRPr="002E496B">
        <w:rPr>
          <w:rFonts w:eastAsia="游明朝" w:cs="Times New Roman"/>
          <w:color w:val="000000" w:themeColor="text1"/>
          <w:sz w:val="22"/>
          <w:szCs w:val="22"/>
        </w:rPr>
        <w:t>Supplementary Fig</w:t>
      </w:r>
      <w:r w:rsidR="00B219F5" w:rsidRPr="002E496B">
        <w:rPr>
          <w:rFonts w:ascii="Times New Roman" w:eastAsia="游明朝" w:hAnsi="Times New Roman" w:cs="Times New Roman"/>
          <w:color w:val="000000" w:themeColor="text1"/>
          <w:sz w:val="22"/>
          <w:szCs w:val="22"/>
        </w:rPr>
        <w:t xml:space="preserve">. </w:t>
      </w:r>
      <w:r w:rsidRPr="002E496B">
        <w:rPr>
          <w:rFonts w:eastAsia="游明朝" w:cs="Times New Roman"/>
          <w:color w:val="000000" w:themeColor="text1"/>
          <w:sz w:val="22"/>
          <w:szCs w:val="22"/>
        </w:rPr>
        <w:t>4.</w:t>
      </w:r>
      <w:r w:rsidRPr="002E496B">
        <w:rPr>
          <w:rFonts w:ascii="Times New Roman" w:eastAsia="游明朝" w:hAnsi="Times New Roman" w:cs="Times New Roman"/>
          <w:b w:val="0"/>
          <w:bCs w:val="0"/>
          <w:color w:val="000000" w:themeColor="text1"/>
          <w:sz w:val="22"/>
          <w:szCs w:val="22"/>
        </w:rPr>
        <w:t xml:space="preserve"> Overview of the AEST interface</w:t>
      </w:r>
      <w:r w:rsidR="001C46B9" w:rsidRPr="002E496B">
        <w:rPr>
          <w:rFonts w:ascii="Times New Roman" w:eastAsia="游明朝" w:hAnsi="Times New Roman" w:cs="Times New Roman"/>
          <w:b w:val="0"/>
          <w:bCs w:val="0"/>
          <w:color w:val="000000" w:themeColor="text1"/>
          <w:sz w:val="22"/>
          <w:szCs w:val="22"/>
        </w:rPr>
        <w:t xml:space="preserve">. </w:t>
      </w:r>
      <w:r w:rsidRPr="002E496B">
        <w:rPr>
          <w:rFonts w:ascii="Times New Roman" w:eastAsia="游明朝" w:hAnsi="Times New Roman" w:cs="Times New Roman"/>
          <w:b w:val="0"/>
          <w:bCs w:val="0"/>
          <w:color w:val="000000" w:themeColor="text1"/>
          <w:sz w:val="22"/>
          <w:szCs w:val="22"/>
        </w:rPr>
        <w:t>The AEST integrates automated spelling correction, brand name harmonization, and an interactive search panel triggered by drug name inputs. It generates word clouds, statistical plots (forest and volcano plots), and detailed summaries of drug usage patterns, time-to-onset profiles, and patient demographics to support in-depth pharmacovigilance analysis.</w:t>
      </w:r>
    </w:p>
    <w:p w14:paraId="061E7C54" w14:textId="77777777" w:rsidR="00D63F70" w:rsidRPr="002E496B" w:rsidRDefault="00D63F70" w:rsidP="002626C1">
      <w:pPr>
        <w:widowControl/>
        <w:spacing w:line="480" w:lineRule="auto"/>
        <w:jc w:val="left"/>
        <w:rPr>
          <w:rFonts w:eastAsiaTheme="minorHAnsi" w:cs="Times New Roman"/>
          <w:color w:val="000000" w:themeColor="text1"/>
          <w:sz w:val="22"/>
          <w:szCs w:val="22"/>
        </w:rPr>
      </w:pPr>
    </w:p>
    <w:p w14:paraId="4707337B" w14:textId="19D09D16"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lastRenderedPageBreak/>
        <w:t>Distributed processing and performance evaluation</w:t>
      </w:r>
    </w:p>
    <w:p w14:paraId="7A4EDF7B" w14:textId="752E6EFA"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Given the high computational cost associated with </w:t>
      </w:r>
      <w:r w:rsidRPr="002E496B">
        <w:rPr>
          <w:rFonts w:eastAsia="游明朝" w:cs="Times New Roman"/>
          <w:color w:val="000000"/>
          <w:sz w:val="22"/>
          <w:szCs w:val="22"/>
        </w:rPr>
        <w:t>the FAERS analysis, AEST employs distributed parallel processing using Ray. The FAERS data were divided into multiple segments</w:t>
      </w:r>
      <w:r w:rsidRPr="002E496B">
        <w:rPr>
          <w:rFonts w:eastAsiaTheme="minorHAnsi" w:cs="Times New Roman"/>
          <w:color w:val="000000" w:themeColor="text1"/>
          <w:sz w:val="22"/>
          <w:szCs w:val="22"/>
        </w:rPr>
        <w:t xml:space="preserve"> and each segment was asynchronously</w:t>
      </w:r>
      <w:r w:rsidRPr="002E496B">
        <w:rPr>
          <w:rFonts w:eastAsia="游明朝" w:cs="Times New Roman"/>
          <w:color w:val="000000"/>
          <w:sz w:val="22"/>
          <w:szCs w:val="22"/>
        </w:rPr>
        <w:t xml:space="preserve"> aggregated as an independent task. </w:t>
      </w:r>
      <w:r w:rsidRPr="002E496B">
        <w:rPr>
          <w:rFonts w:eastAsiaTheme="minorHAnsi" w:cs="Times New Roman"/>
          <w:color w:val="000000" w:themeColor="text1"/>
          <w:sz w:val="22"/>
          <w:szCs w:val="22"/>
        </w:rPr>
        <w:t>A performance evaluation was conducted in an environment with 20 vCPUs and 30 GiB of memory.</w:t>
      </w:r>
    </w:p>
    <w:p w14:paraId="407B85DF" w14:textId="6600906C"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First, </w:t>
      </w:r>
      <w:r w:rsidRPr="002E496B">
        <w:rPr>
          <w:rFonts w:eastAsia="游明朝" w:cs="Times New Roman"/>
          <w:color w:val="000000"/>
          <w:sz w:val="22"/>
          <w:szCs w:val="22"/>
        </w:rPr>
        <w:t xml:space="preserve">the processing time for signal detection was evaluated </w:t>
      </w:r>
      <w:r w:rsidRPr="002E496B">
        <w:rPr>
          <w:rFonts w:eastAsiaTheme="minorHAnsi" w:cs="Times New Roman"/>
          <w:color w:val="000000" w:themeColor="text1"/>
          <w:sz w:val="22"/>
          <w:szCs w:val="22"/>
        </w:rPr>
        <w:t xml:space="preserve">for all 5,721 compounds available for analysis. </w:t>
      </w:r>
      <w:r w:rsidR="000933BC" w:rsidRPr="002E496B">
        <w:rPr>
          <w:rFonts w:eastAsiaTheme="minorHAnsi" w:cs="Times New Roman"/>
          <w:color w:val="000000" w:themeColor="text1"/>
          <w:sz w:val="22"/>
          <w:szCs w:val="22"/>
        </w:rPr>
        <w:t xml:space="preserve">The average processing time was 6 s (SD </w:t>
      </w:r>
      <w:r w:rsidRPr="002E496B">
        <w:rPr>
          <w:rFonts w:eastAsia="游明朝" w:cs="Times New Roman"/>
          <w:color w:val="000000"/>
          <w:sz w:val="22"/>
          <w:szCs w:val="22"/>
        </w:rPr>
        <w:t xml:space="preserve">= 5), with individual </w:t>
      </w:r>
      <w:r w:rsidR="007351BA" w:rsidRPr="002E496B">
        <w:rPr>
          <w:rFonts w:eastAsiaTheme="minorHAnsi" w:cs="Times New Roman"/>
          <w:color w:val="000000" w:themeColor="text1"/>
          <w:sz w:val="22"/>
          <w:szCs w:val="22"/>
        </w:rPr>
        <w:t>calculations</w:t>
      </w:r>
      <w:r w:rsidR="000933BC" w:rsidRPr="002E496B">
        <w:rPr>
          <w:rFonts w:eastAsiaTheme="minorHAnsi" w:cs="Times New Roman"/>
          <w:color w:val="000000" w:themeColor="text1"/>
          <w:sz w:val="22"/>
          <w:szCs w:val="22"/>
        </w:rPr>
        <w:t xml:space="preserve"> ranging from 2 s to 21 s.</w:t>
      </w:r>
      <w:r w:rsidRPr="002E496B">
        <w:rPr>
          <w:rFonts w:eastAsiaTheme="minorHAnsi" w:cs="Times New Roman"/>
          <w:color w:val="000000" w:themeColor="text1"/>
          <w:sz w:val="22"/>
          <w:szCs w:val="22"/>
        </w:rPr>
        <w:t xml:space="preserve"> (</w:t>
      </w:r>
      <w:r w:rsidR="00385453" w:rsidRPr="002E496B">
        <w:rPr>
          <w:rFonts w:eastAsiaTheme="minorHAnsi" w:cs="Times New Roman"/>
          <w:color w:val="000000" w:themeColor="text1"/>
          <w:sz w:val="22"/>
          <w:szCs w:val="22"/>
        </w:rPr>
        <w:t>Supplementary Fig</w:t>
      </w:r>
      <w:r w:rsidR="00B219F5" w:rsidRPr="002E496B">
        <w:rPr>
          <w:rFonts w:eastAsiaTheme="minorHAnsi" w:cs="Times New Roman"/>
          <w:color w:val="000000" w:themeColor="text1"/>
          <w:sz w:val="22"/>
          <w:szCs w:val="22"/>
        </w:rPr>
        <w:t xml:space="preserve">. </w:t>
      </w:r>
      <w:r w:rsidR="00AA6CCD" w:rsidRPr="002E496B">
        <w:rPr>
          <w:rFonts w:eastAsiaTheme="minorHAnsi" w:cs="Times New Roman"/>
          <w:color w:val="000000" w:themeColor="text1"/>
          <w:sz w:val="22"/>
          <w:szCs w:val="22"/>
        </w:rPr>
        <w:t>5</w:t>
      </w:r>
      <w:r w:rsidRPr="002E496B">
        <w:rPr>
          <w:rFonts w:eastAsiaTheme="minorHAnsi" w:cs="Times New Roman"/>
          <w:color w:val="000000" w:themeColor="text1"/>
          <w:sz w:val="22"/>
          <w:szCs w:val="22"/>
        </w:rPr>
        <w:t>). The processing time tended to increase for compounds associated with a larger number of reports or multiple name variants, such as the coexistence of generic and brand names.</w:t>
      </w:r>
    </w:p>
    <w:p w14:paraId="24550701" w14:textId="7EE90479" w:rsidR="00AA6CCD" w:rsidRPr="002E496B" w:rsidRDefault="007E483E" w:rsidP="002626C1">
      <w:pPr>
        <w:keepNext/>
        <w:spacing w:line="480" w:lineRule="auto"/>
        <w:jc w:val="left"/>
        <w:rPr>
          <w:rFonts w:eastAsia="游明朝" w:cs="Times New Roman"/>
          <w:color w:val="000000" w:themeColor="text1"/>
          <w:sz w:val="22"/>
          <w:szCs w:val="22"/>
        </w:rPr>
      </w:pPr>
      <w:r w:rsidRPr="002E496B">
        <w:rPr>
          <w:rFonts w:cs="Times New Roman"/>
          <w:sz w:val="22"/>
          <w:szCs w:val="22"/>
        </w:rPr>
        <w:t xml:space="preserve"> </w:t>
      </w:r>
      <w:r w:rsidR="0090387E" w:rsidRPr="002E496B">
        <w:rPr>
          <w:rFonts w:eastAsia="游明朝" w:cs="Times New Roman"/>
          <w:noProof/>
          <w:color w:val="000000" w:themeColor="text1"/>
          <w:sz w:val="22"/>
          <w:szCs w:val="22"/>
          <w:lang w:val="en-IN" w:eastAsia="en-IN"/>
        </w:rPr>
        <w:lastRenderedPageBreak/>
        <w:drawing>
          <wp:inline distT="0" distB="0" distL="0" distR="0" wp14:anchorId="56EC4E4C" wp14:editId="4284A475">
            <wp:extent cx="5382895" cy="6209665"/>
            <wp:effectExtent l="0" t="0" r="8255" b="635"/>
            <wp:docPr id="72395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562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382895" cy="6209665"/>
                    </a:xfrm>
                    <a:prstGeom prst="rect">
                      <a:avLst/>
                    </a:prstGeom>
                    <a:noFill/>
                    <a:ln>
                      <a:noFill/>
                    </a:ln>
                  </pic:spPr>
                </pic:pic>
              </a:graphicData>
            </a:graphic>
          </wp:inline>
        </w:drawing>
      </w:r>
    </w:p>
    <w:p w14:paraId="5E5A0DFF" w14:textId="548EA6D7" w:rsidR="00AA6CCD" w:rsidRPr="002E496B" w:rsidRDefault="007E483E" w:rsidP="002626C1">
      <w:pPr>
        <w:pStyle w:val="af9"/>
        <w:spacing w:line="480" w:lineRule="auto"/>
        <w:jc w:val="left"/>
        <w:rPr>
          <w:rFonts w:ascii="Times New Roman" w:eastAsia="游明朝" w:hAnsi="Times New Roman" w:cs="Times New Roman"/>
          <w:b w:val="0"/>
          <w:bCs w:val="0"/>
          <w:color w:val="000000" w:themeColor="text1"/>
          <w:sz w:val="22"/>
          <w:szCs w:val="22"/>
        </w:rPr>
      </w:pPr>
      <w:r w:rsidRPr="002E496B">
        <w:rPr>
          <w:rFonts w:eastAsia="游明朝" w:cs="Times New Roman"/>
          <w:color w:val="000000" w:themeColor="text1"/>
          <w:sz w:val="22"/>
          <w:szCs w:val="22"/>
        </w:rPr>
        <w:t>Supplementary Fig</w:t>
      </w:r>
      <w:r w:rsidR="00B219F5" w:rsidRPr="002E496B">
        <w:rPr>
          <w:rFonts w:ascii="Times New Roman" w:eastAsia="游明朝" w:hAnsi="Times New Roman" w:cs="Times New Roman"/>
          <w:color w:val="000000" w:themeColor="text1"/>
          <w:sz w:val="22"/>
          <w:szCs w:val="22"/>
        </w:rPr>
        <w:t xml:space="preserve">. </w:t>
      </w:r>
      <w:r w:rsidRPr="002E496B">
        <w:rPr>
          <w:rFonts w:eastAsia="游明朝" w:cs="Times New Roman"/>
          <w:color w:val="000000" w:themeColor="text1"/>
          <w:sz w:val="22"/>
          <w:szCs w:val="22"/>
        </w:rPr>
        <w:t>5.</w:t>
      </w:r>
      <w:r w:rsidRPr="002E496B">
        <w:rPr>
          <w:rFonts w:ascii="Times New Roman" w:eastAsia="游明朝" w:hAnsi="Times New Roman" w:cs="Times New Roman"/>
          <w:b w:val="0"/>
          <w:bCs w:val="0"/>
          <w:color w:val="000000" w:themeColor="text1"/>
          <w:sz w:val="22"/>
          <w:szCs w:val="22"/>
        </w:rPr>
        <w:t xml:space="preserve"> Relationship between calculation time and log₁₀ (number of reports)</w:t>
      </w:r>
      <w:r w:rsidR="000B6B51" w:rsidRPr="002E496B">
        <w:rPr>
          <w:rFonts w:ascii="Times New Roman" w:eastAsia="游明朝" w:hAnsi="Times New Roman" w:cs="Times New Roman"/>
          <w:b w:val="0"/>
          <w:bCs w:val="0"/>
          <w:color w:val="000000" w:themeColor="text1"/>
          <w:sz w:val="22"/>
          <w:szCs w:val="22"/>
        </w:rPr>
        <w:t xml:space="preserve">. </w:t>
      </w:r>
      <w:r w:rsidRPr="002E496B">
        <w:rPr>
          <w:rFonts w:ascii="Times New Roman" w:eastAsia="游明朝" w:hAnsi="Times New Roman" w:cs="Times New Roman"/>
          <w:b w:val="0"/>
          <w:bCs w:val="0"/>
          <w:color w:val="000000" w:themeColor="text1"/>
          <w:sz w:val="22"/>
          <w:szCs w:val="22"/>
        </w:rPr>
        <w:t xml:space="preserve">Scatter plot showing the correlation between computation time (x-axis) and the logarithmic number of reports analyzed (y-axis), with points colored by log₁₀ (types of drug names). The histogram at the top shows the frequency distribution of </w:t>
      </w:r>
      <w:r w:rsidRPr="002E496B">
        <w:rPr>
          <w:rFonts w:ascii="Times New Roman" w:eastAsia="游明朝" w:hAnsi="Times New Roman" w:cs="Times New Roman"/>
          <w:b w:val="0"/>
          <w:bCs w:val="0"/>
          <w:color w:val="000000"/>
          <w:sz w:val="22"/>
          <w:szCs w:val="22"/>
        </w:rPr>
        <w:t xml:space="preserve">the calculation times. The plot </w:t>
      </w:r>
      <w:r w:rsidRPr="002E496B">
        <w:rPr>
          <w:rFonts w:ascii="Times New Roman" w:eastAsia="游明朝" w:hAnsi="Times New Roman" w:cs="Times New Roman"/>
          <w:b w:val="0"/>
          <w:bCs w:val="0"/>
          <w:color w:val="000000"/>
          <w:sz w:val="22"/>
          <w:szCs w:val="22"/>
        </w:rPr>
        <w:lastRenderedPageBreak/>
        <w:t>demonstrates that computation time increases with the number of reports</w:t>
      </w:r>
      <w:r w:rsidRPr="002E496B">
        <w:rPr>
          <w:rFonts w:ascii="Times New Roman" w:hAnsi="Times New Roman" w:cs="Times New Roman"/>
          <w:sz w:val="22"/>
          <w:szCs w:val="22"/>
        </w:rPr>
        <w:t xml:space="preserve"> </w:t>
      </w:r>
      <w:r w:rsidRPr="002E496B">
        <w:rPr>
          <w:rFonts w:ascii="Times New Roman" w:eastAsia="游明朝" w:hAnsi="Times New Roman" w:cs="Times New Roman"/>
          <w:b w:val="0"/>
          <w:bCs w:val="0"/>
          <w:color w:val="000000" w:themeColor="text1"/>
          <w:sz w:val="22"/>
          <w:szCs w:val="22"/>
        </w:rPr>
        <w:t>and that drug name diversity also influences calculation complexity.</w:t>
      </w:r>
    </w:p>
    <w:p w14:paraId="5DCB9447"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66044095" w14:textId="2018EC60"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Next, load testing was conducted to assess </w:t>
      </w:r>
      <w:r w:rsidRPr="002E496B">
        <w:rPr>
          <w:rFonts w:eastAsia="游明朝" w:cs="Times New Roman"/>
          <w:color w:val="000000"/>
          <w:sz w:val="22"/>
          <w:szCs w:val="22"/>
        </w:rPr>
        <w:t>the tolerance to concurrent access. Search requests were issued via automated browser operations using Playwright</w:t>
      </w:r>
      <w:r w:rsidR="00A8777C" w:rsidRPr="002E496B">
        <w:rPr>
          <w:rFonts w:eastAsiaTheme="minorHAnsi" w:cs="Times New Roman"/>
          <w:color w:val="000000" w:themeColor="text1"/>
          <w:sz w:val="22"/>
          <w:szCs w:val="22"/>
        </w:rPr>
        <w:fldChar w:fldCharType="begin"/>
      </w:r>
      <w:r w:rsidR="00A8777C" w:rsidRPr="002E496B">
        <w:rPr>
          <w:rFonts w:eastAsiaTheme="minorHAnsi" w:cs="Times New Roman"/>
          <w:color w:val="000000" w:themeColor="text1"/>
          <w:sz w:val="22"/>
          <w:szCs w:val="22"/>
        </w:rPr>
        <w:instrText xml:space="preserve"> ADDIN ZOTERO_ITEM CSL_CITATION {"citationID":"eo2W2z7a","properties":{"unsorted":true,"formattedCitation":"\\super 7\\nosupersub{}","plainCitation":"7","noteIndex":0},"citationItems":[{"id":1416,"uris":["http://zotero.org/users/local/yGG8xmNw/items/5KMM8LU5"],"itemData":{"id":1416,"type":"webpage","abstract":"Cross-browser end-to-end testing for modern web apps","language":"en","title":"Fast and reliable end-to-end testing for modern web apps | Playwright","URL":"https://playwright.dev/","accessed":{"date-parts":[["2026",1,22]]}}}],"schema":"https://github.com/citation-style-language/schema/raw/master/csl-citation.json"} </w:instrText>
      </w:r>
      <w:r w:rsidR="00A8777C"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7</w:t>
      </w:r>
      <w:r w:rsidR="00A8777C"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xml:space="preserve">, and the number of parallel threads </w:t>
      </w:r>
      <w:r w:rsidRPr="002E496B">
        <w:rPr>
          <w:rFonts w:eastAsia="游明朝" w:cs="Times New Roman"/>
          <w:color w:val="000000"/>
          <w:sz w:val="22"/>
          <w:szCs w:val="22"/>
        </w:rPr>
        <w:t xml:space="preserve">was increased stepwise to 1, 6, 12, and 24. </w:t>
      </w:r>
      <w:r w:rsidRPr="002E496B">
        <w:rPr>
          <w:rFonts w:eastAsiaTheme="minorHAnsi" w:cs="Times New Roman"/>
          <w:color w:val="000000" w:themeColor="text1"/>
          <w:sz w:val="22"/>
          <w:szCs w:val="22"/>
        </w:rPr>
        <w:t xml:space="preserve">The evaluation metrics included </w:t>
      </w:r>
      <w:r w:rsidRPr="002E496B">
        <w:rPr>
          <w:rFonts w:eastAsia="游明朝" w:cs="Times New Roman"/>
          <w:color w:val="000000"/>
          <w:sz w:val="22"/>
          <w:szCs w:val="22"/>
        </w:rPr>
        <w:t>the response time until completion of signal detection and background information visualization</w:t>
      </w:r>
      <w:r w:rsidRPr="002E496B">
        <w:rPr>
          <w:rFonts w:eastAsiaTheme="minorHAnsi" w:cs="Times New Roman"/>
          <w:color w:val="000000" w:themeColor="text1"/>
          <w:sz w:val="22"/>
          <w:szCs w:val="22"/>
        </w:rPr>
        <w:t xml:space="preserve"> as well as the error rate for failed responses.</w:t>
      </w:r>
    </w:p>
    <w:p w14:paraId="2DA4E49A" w14:textId="40488153"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During load testing, AEST successfully generated background information for 5,693 of </w:t>
      </w:r>
      <w:r w:rsidRPr="002E496B">
        <w:rPr>
          <w:rFonts w:eastAsia="游明朝" w:cs="Times New Roman"/>
          <w:color w:val="000000"/>
          <w:sz w:val="22"/>
          <w:szCs w:val="22"/>
        </w:rPr>
        <w:t xml:space="preserve">the 5,721 compounds (99.5%). </w:t>
      </w:r>
      <w:r w:rsidRPr="002E496B">
        <w:rPr>
          <w:rFonts w:eastAsiaTheme="minorHAnsi" w:cs="Times New Roman"/>
          <w:color w:val="000000" w:themeColor="text1"/>
          <w:sz w:val="22"/>
          <w:szCs w:val="22"/>
        </w:rPr>
        <w:t>The concurrent access response time</w:t>
      </w:r>
      <w:r w:rsidRPr="002E496B">
        <w:rPr>
          <w:rFonts w:eastAsia="游明朝" w:cs="Times New Roman"/>
          <w:color w:val="000000"/>
          <w:sz w:val="22"/>
          <w:szCs w:val="22"/>
        </w:rPr>
        <w:t xml:space="preserve">s </w:t>
      </w:r>
      <w:r w:rsidRPr="002E496B">
        <w:rPr>
          <w:rFonts w:eastAsiaTheme="minorHAnsi" w:cs="Times New Roman"/>
          <w:color w:val="000000" w:themeColor="text1"/>
          <w:sz w:val="22"/>
          <w:szCs w:val="22"/>
        </w:rPr>
        <w:t>were evaluated using these 5,693 compounds (</w:t>
      </w:r>
      <w:r w:rsidR="00385453" w:rsidRPr="002E496B">
        <w:rPr>
          <w:rFonts w:eastAsiaTheme="minorHAnsi" w:cs="Times New Roman"/>
          <w:color w:val="000000" w:themeColor="text1"/>
          <w:sz w:val="22"/>
          <w:szCs w:val="22"/>
        </w:rPr>
        <w:t>Supplementary Fig</w:t>
      </w:r>
      <w:r w:rsidR="00B219F5" w:rsidRPr="002E496B">
        <w:rPr>
          <w:rFonts w:eastAsiaTheme="minorHAnsi" w:cs="Times New Roman"/>
          <w:color w:val="000000" w:themeColor="text1"/>
          <w:sz w:val="22"/>
          <w:szCs w:val="22"/>
        </w:rPr>
        <w:t xml:space="preserve">. </w:t>
      </w:r>
      <w:r w:rsidRPr="002E496B">
        <w:rPr>
          <w:rFonts w:eastAsiaTheme="minorHAnsi" w:cs="Times New Roman"/>
          <w:color w:val="000000" w:themeColor="text1"/>
          <w:sz w:val="22"/>
          <w:szCs w:val="22"/>
        </w:rPr>
        <w:t xml:space="preserve">6). Under single-thread conditions, the 95th and 99th percentile response times were approximately 34 and 76 s, respectively. As the number of parallel threads increased, the response times increased, and a small proportion of requests remained unresolved. For six parallel threads, the 95th percentile response time was approximately 131 s, with no unresolved requests observed. At 12 threads, the 95th percentile increased to approximately 252 s, with unresolved requests accounting for 0.4% of </w:t>
      </w:r>
      <w:r w:rsidRPr="002E496B">
        <w:rPr>
          <w:rFonts w:eastAsia="游明朝" w:cs="Times New Roman"/>
          <w:color w:val="000000"/>
          <w:sz w:val="22"/>
          <w:szCs w:val="22"/>
        </w:rPr>
        <w:t xml:space="preserve">the cases (23/5,693). At the highest concurrency level (24 threads), the 95th percentile response time </w:t>
      </w:r>
      <w:r w:rsidRPr="002E496B">
        <w:rPr>
          <w:rFonts w:eastAsia="游明朝" w:cs="Times New Roman"/>
          <w:color w:val="000000"/>
          <w:sz w:val="22"/>
          <w:szCs w:val="22"/>
        </w:rPr>
        <w:lastRenderedPageBreak/>
        <w:t xml:space="preserve">reached approximately 450 </w:t>
      </w:r>
      <w:r w:rsidRPr="002E496B">
        <w:rPr>
          <w:rFonts w:eastAsiaTheme="minorHAnsi" w:cs="Times New Roman"/>
          <w:color w:val="000000" w:themeColor="text1"/>
          <w:sz w:val="22"/>
          <w:szCs w:val="22"/>
        </w:rPr>
        <w:t>s, the 99th percentile approached 548 s, and the proportion of unresolved requests increased to 1.5% (85/5,693).</w:t>
      </w:r>
    </w:p>
    <w:p w14:paraId="19C87A91" w14:textId="77777777" w:rsidR="00385B8E" w:rsidRPr="002E496B" w:rsidRDefault="00385B8E" w:rsidP="002626C1">
      <w:pPr>
        <w:widowControl/>
        <w:spacing w:line="480" w:lineRule="auto"/>
        <w:jc w:val="left"/>
        <w:rPr>
          <w:rFonts w:eastAsiaTheme="minorHAnsi" w:cs="Times New Roman"/>
          <w:color w:val="000000" w:themeColor="text1"/>
          <w:sz w:val="22"/>
          <w:szCs w:val="22"/>
        </w:rPr>
      </w:pPr>
    </w:p>
    <w:p w14:paraId="1AAED832" w14:textId="77777777" w:rsidR="00385B8E" w:rsidRPr="002E496B" w:rsidRDefault="007E483E" w:rsidP="002626C1">
      <w:pPr>
        <w:keepNext/>
        <w:spacing w:line="480" w:lineRule="auto"/>
        <w:ind w:firstLineChars="100" w:firstLine="220"/>
        <w:jc w:val="left"/>
        <w:rPr>
          <w:rFonts w:eastAsia="游明朝" w:cs="Times New Roman"/>
          <w:color w:val="000000" w:themeColor="text1"/>
          <w:sz w:val="22"/>
          <w:szCs w:val="22"/>
        </w:rPr>
      </w:pPr>
      <w:r w:rsidRPr="002E496B">
        <w:rPr>
          <w:rFonts w:eastAsia="游明朝" w:cs="Times New Roman"/>
          <w:noProof/>
          <w:color w:val="000000" w:themeColor="text1"/>
          <w:sz w:val="22"/>
          <w:szCs w:val="22"/>
          <w:lang w:val="en-IN" w:eastAsia="en-IN"/>
        </w:rPr>
        <w:drawing>
          <wp:inline distT="0" distB="0" distL="0" distR="0" wp14:anchorId="75A5F717" wp14:editId="7B051E58">
            <wp:extent cx="3467100" cy="2275934"/>
            <wp:effectExtent l="0" t="0" r="0" b="0"/>
            <wp:docPr id="1570738619" name="図 1" descr="Figure 8. Distribution of elapsed time by number of threads&#10;Violin plots displaying the distribution of elapsed processing times (seconds) for different numbers of threads (1, 6, 12, 24). The results showed that an increasing number of threads tended to result in longer processing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8619" name="図 1" descr="Figure 8. Distribution of elapsed time by number of threads&#10;Violin plots displaying the distribution of elapsed processing times (seconds) for different numbers of threads (1, 6, 12, 24). The results showed that an increasing number of threads tended to result in longer processing times.&#10;"/>
                    <pic:cNvPicPr/>
                  </pic:nvPicPr>
                  <pic:blipFill>
                    <a:blip r:embed="rId16"/>
                    <a:stretch>
                      <a:fillRect/>
                    </a:stretch>
                  </pic:blipFill>
                  <pic:spPr>
                    <a:xfrm>
                      <a:off x="0" y="0"/>
                      <a:ext cx="3467100" cy="2275934"/>
                    </a:xfrm>
                    <a:prstGeom prst="rect">
                      <a:avLst/>
                    </a:prstGeom>
                  </pic:spPr>
                </pic:pic>
              </a:graphicData>
            </a:graphic>
          </wp:inline>
        </w:drawing>
      </w:r>
    </w:p>
    <w:p w14:paraId="249D066E" w14:textId="4B93D181" w:rsidR="00385B8E" w:rsidRPr="002E496B" w:rsidRDefault="007E483E" w:rsidP="002626C1">
      <w:pPr>
        <w:pStyle w:val="af9"/>
        <w:spacing w:line="480" w:lineRule="auto"/>
        <w:jc w:val="left"/>
        <w:rPr>
          <w:rFonts w:ascii="Times New Roman" w:eastAsia="游明朝" w:hAnsi="Times New Roman" w:cs="Times New Roman"/>
          <w:b w:val="0"/>
          <w:bCs w:val="0"/>
          <w:color w:val="000000" w:themeColor="text1"/>
          <w:sz w:val="22"/>
          <w:szCs w:val="22"/>
        </w:rPr>
      </w:pPr>
      <w:r w:rsidRPr="002E496B">
        <w:rPr>
          <w:rFonts w:eastAsia="游明朝" w:cs="Times New Roman"/>
          <w:color w:val="000000" w:themeColor="text1"/>
          <w:sz w:val="22"/>
          <w:szCs w:val="22"/>
        </w:rPr>
        <w:t>Supplementary Fig</w:t>
      </w:r>
      <w:r w:rsidR="00B219F5" w:rsidRPr="002E496B">
        <w:rPr>
          <w:rFonts w:ascii="Times New Roman" w:eastAsia="游明朝" w:hAnsi="Times New Roman" w:cs="Times New Roman"/>
          <w:color w:val="000000" w:themeColor="text1"/>
          <w:sz w:val="22"/>
          <w:szCs w:val="22"/>
        </w:rPr>
        <w:t xml:space="preserve">. </w:t>
      </w:r>
      <w:r w:rsidRPr="002E496B">
        <w:rPr>
          <w:rFonts w:eastAsia="游明朝" w:cs="Times New Roman"/>
          <w:color w:val="000000" w:themeColor="text1"/>
          <w:sz w:val="22"/>
          <w:szCs w:val="22"/>
        </w:rPr>
        <w:t>6.</w:t>
      </w:r>
      <w:r w:rsidRPr="002E496B">
        <w:rPr>
          <w:rFonts w:ascii="Times New Roman" w:eastAsia="游明朝" w:hAnsi="Times New Roman" w:cs="Times New Roman"/>
          <w:b w:val="0"/>
          <w:bCs w:val="0"/>
          <w:color w:val="000000" w:themeColor="text1"/>
          <w:sz w:val="22"/>
          <w:szCs w:val="22"/>
        </w:rPr>
        <w:t xml:space="preserve"> Distribution of elapsed time by number of threads</w:t>
      </w:r>
      <w:r w:rsidR="00037AB8" w:rsidRPr="002E496B">
        <w:rPr>
          <w:rFonts w:ascii="Times New Roman" w:eastAsia="游明朝" w:hAnsi="Times New Roman" w:cs="Times New Roman"/>
          <w:b w:val="0"/>
          <w:bCs w:val="0"/>
          <w:color w:val="000000" w:themeColor="text1"/>
          <w:sz w:val="22"/>
          <w:szCs w:val="22"/>
        </w:rPr>
        <w:t xml:space="preserve">. </w:t>
      </w:r>
      <w:r w:rsidRPr="002E496B">
        <w:rPr>
          <w:rFonts w:ascii="Times New Roman" w:eastAsia="游明朝" w:hAnsi="Times New Roman" w:cs="Times New Roman"/>
          <w:b w:val="0"/>
          <w:bCs w:val="0"/>
          <w:color w:val="000000" w:themeColor="text1"/>
          <w:sz w:val="22"/>
          <w:szCs w:val="22"/>
        </w:rPr>
        <w:t xml:space="preserve">Violin plots display the distribution of elapsed processing times (seconds) for different numbers of threads (1, 6, 12, </w:t>
      </w:r>
      <w:r w:rsidRPr="002E496B">
        <w:rPr>
          <w:rFonts w:ascii="Times New Roman" w:eastAsia="游明朝" w:hAnsi="Times New Roman" w:cs="Times New Roman"/>
          <w:b w:val="0"/>
          <w:bCs w:val="0"/>
          <w:color w:val="000000"/>
          <w:sz w:val="22"/>
          <w:szCs w:val="22"/>
        </w:rPr>
        <w:t>and 24). The results show</w:t>
      </w:r>
      <w:r w:rsidRPr="002E496B">
        <w:rPr>
          <w:rFonts w:ascii="Times New Roman" w:eastAsia="游明朝" w:hAnsi="Times New Roman" w:cs="Times New Roman"/>
          <w:b w:val="0"/>
          <w:bCs w:val="0"/>
          <w:color w:val="000000" w:themeColor="text1"/>
          <w:sz w:val="22"/>
          <w:szCs w:val="22"/>
        </w:rPr>
        <w:t xml:space="preserve"> that increasing </w:t>
      </w:r>
      <w:r w:rsidRPr="002E496B">
        <w:rPr>
          <w:rFonts w:ascii="Times New Roman" w:eastAsia="游明朝" w:hAnsi="Times New Roman" w:cs="Times New Roman"/>
          <w:b w:val="0"/>
          <w:bCs w:val="0"/>
          <w:color w:val="000000"/>
          <w:sz w:val="22"/>
          <w:szCs w:val="22"/>
        </w:rPr>
        <w:t>the number of threads tend</w:t>
      </w:r>
      <w:r w:rsidRPr="002E496B">
        <w:rPr>
          <w:rFonts w:ascii="Times New Roman" w:eastAsia="游明朝" w:hAnsi="Times New Roman" w:cs="Times New Roman"/>
          <w:b w:val="0"/>
          <w:bCs w:val="0"/>
          <w:color w:val="000000" w:themeColor="text1"/>
          <w:sz w:val="22"/>
          <w:szCs w:val="22"/>
        </w:rPr>
        <w:t>s to result in longer processing times.</w:t>
      </w:r>
    </w:p>
    <w:p w14:paraId="29E2B0ED"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78AA4AC9" w14:textId="77777777" w:rsidR="00F4432E" w:rsidRPr="002E496B" w:rsidRDefault="007E483E" w:rsidP="002626C1">
      <w:pPr>
        <w:pStyle w:val="2"/>
        <w:spacing w:line="480" w:lineRule="auto"/>
        <w:jc w:val="left"/>
        <w:rPr>
          <w:rFonts w:ascii="Times New Roman" w:eastAsiaTheme="minorHAnsi" w:hAnsi="Times New Roman" w:cs="Times New Roman"/>
          <w:b/>
          <w:bCs/>
          <w:sz w:val="22"/>
          <w:szCs w:val="22"/>
        </w:rPr>
      </w:pPr>
      <w:r w:rsidRPr="002E496B">
        <w:rPr>
          <w:rFonts w:ascii="Times New Roman" w:eastAsiaTheme="minorHAnsi" w:hAnsi="Times New Roman" w:cs="Times New Roman"/>
          <w:b/>
          <w:bCs/>
          <w:sz w:val="22"/>
          <w:szCs w:val="22"/>
        </w:rPr>
        <w:t>Public availability, comparison with existing tools, and limitations</w:t>
      </w:r>
    </w:p>
    <w:p w14:paraId="30AF18C6" w14:textId="03A9F009"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游明朝" w:cs="Times New Roman"/>
          <w:color w:val="000000"/>
          <w:sz w:val="22"/>
          <w:szCs w:val="22"/>
        </w:rPr>
        <w:t xml:space="preserve">The </w:t>
      </w:r>
      <w:r w:rsidRPr="002E496B">
        <w:rPr>
          <w:rFonts w:eastAsiaTheme="minorHAnsi" w:cs="Times New Roman"/>
          <w:color w:val="000000" w:themeColor="text1"/>
          <w:sz w:val="22"/>
          <w:szCs w:val="22"/>
        </w:rPr>
        <w:t>AEST is available online (</w:t>
      </w:r>
      <w:hyperlink r:id="rId17" w:history="1">
        <w:r w:rsidR="00E054C1" w:rsidRPr="002E496B">
          <w:rPr>
            <w:rStyle w:val="aa"/>
            <w:rFonts w:eastAsiaTheme="minorHAnsi" w:cs="Times New Roman"/>
            <w:i/>
            <w:iCs/>
            <w:sz w:val="22"/>
            <w:szCs w:val="22"/>
          </w:rPr>
          <w:t>https://alain003.phs.osaka-u.ac.jp/AEST</w:t>
        </w:r>
      </w:hyperlink>
      <w:r w:rsidRPr="002E496B">
        <w:rPr>
          <w:rFonts w:eastAsiaTheme="minorHAnsi" w:cs="Times New Roman"/>
          <w:color w:val="000000" w:themeColor="text1"/>
          <w:sz w:val="22"/>
          <w:szCs w:val="22"/>
        </w:rPr>
        <w:t>). The platform can be accessed through any web browser</w:t>
      </w:r>
      <w:r w:rsidRPr="002E496B">
        <w:rPr>
          <w:rFonts w:eastAsia="游明朝" w:cs="Times New Roman"/>
          <w:color w:val="000000"/>
          <w:sz w:val="22"/>
          <w:szCs w:val="22"/>
        </w:rPr>
        <w:t xml:space="preserve">, regardless of the device or operating system, without </w:t>
      </w:r>
      <w:r w:rsidRPr="002E496B">
        <w:rPr>
          <w:rFonts w:eastAsiaTheme="minorHAnsi" w:cs="Times New Roman"/>
          <w:color w:val="000000" w:themeColor="text1"/>
          <w:sz w:val="22"/>
          <w:szCs w:val="22"/>
        </w:rPr>
        <w:t xml:space="preserve">the need to install dedicated software. The system is designed to automatically reflect the latest FAERS updates, thereby reducing the burden of data and software maintenance on users. User </w:t>
      </w:r>
      <w:r w:rsidRPr="002E496B">
        <w:rPr>
          <w:rFonts w:eastAsiaTheme="minorHAnsi" w:cs="Times New Roman"/>
          <w:color w:val="000000" w:themeColor="text1"/>
          <w:sz w:val="22"/>
          <w:szCs w:val="22"/>
        </w:rPr>
        <w:lastRenderedPageBreak/>
        <w:t xml:space="preserve">registration and login are not required, and the system does not store search queries or user input information, </w:t>
      </w:r>
      <w:r w:rsidRPr="002E496B">
        <w:rPr>
          <w:rFonts w:eastAsia="游明朝" w:cs="Times New Roman"/>
          <w:color w:val="000000"/>
          <w:sz w:val="22"/>
          <w:szCs w:val="22"/>
        </w:rPr>
        <w:t>thereby ensuring the protection of user privacy.</w:t>
      </w:r>
    </w:p>
    <w:p w14:paraId="2C9B6220" w14:textId="71AA77BD"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Several FAERS mining platforms, including FDAble, AERS Spider, OpenVigil, and AERSMine, have been reported. However, as of January 2026, differences remain in their operational status and available functionalities (</w:t>
      </w:r>
      <w:r w:rsidR="00DE40E6" w:rsidRPr="002E496B">
        <w:rPr>
          <w:rFonts w:eastAsiaTheme="minorHAnsi" w:cs="Times New Roman"/>
          <w:color w:val="000000" w:themeColor="text1"/>
          <w:sz w:val="22"/>
          <w:szCs w:val="22"/>
        </w:rPr>
        <w:t xml:space="preserve">Supplementary Table </w:t>
      </w:r>
      <w:r w:rsidR="00B9084F" w:rsidRPr="002E496B">
        <w:rPr>
          <w:rFonts w:eastAsiaTheme="minorHAnsi" w:cs="Times New Roman" w:hint="eastAsia"/>
          <w:color w:val="000000" w:themeColor="text1"/>
          <w:sz w:val="22"/>
          <w:szCs w:val="22"/>
        </w:rPr>
        <w:t>6</w:t>
      </w:r>
      <w:r w:rsidRPr="002E496B">
        <w:rPr>
          <w:rFonts w:eastAsiaTheme="minorHAnsi" w:cs="Times New Roman"/>
          <w:color w:val="000000" w:themeColor="text1"/>
          <w:sz w:val="22"/>
          <w:szCs w:val="22"/>
        </w:rPr>
        <w:t>)</w:t>
      </w:r>
      <w:r w:rsidR="007B194D" w:rsidRPr="002E496B">
        <w:rPr>
          <w:rFonts w:eastAsiaTheme="minorHAnsi" w:cs="Times New Roman"/>
          <w:color w:val="000000" w:themeColor="text1"/>
          <w:sz w:val="22"/>
          <w:szCs w:val="22"/>
        </w:rPr>
        <w:fldChar w:fldCharType="begin"/>
      </w:r>
      <w:r w:rsidR="007B194D" w:rsidRPr="002E496B">
        <w:rPr>
          <w:rFonts w:eastAsiaTheme="minorHAnsi" w:cs="Times New Roman"/>
          <w:color w:val="000000" w:themeColor="text1"/>
          <w:sz w:val="22"/>
          <w:szCs w:val="22"/>
        </w:rPr>
        <w:instrText xml:space="preserve"> ADDIN ZOTERO_ITEM CSL_CITATION {"citationID":"uNnPvQCO","properties":{"formattedCitation":"\\super 8\\uc0\\u8211{}11\\nosupersub{}","plainCitation":"8–11","noteIndex":0},"citationItems":[{"id":1418,"uris":["http://zotero.org/users/local/yGG8xmNw/items/MV74U6JK"],"itemData":{"id":1418,"type":"webpage","title":"Search FDA FAERS and MAUDE databases (drug and medical-device adverse events)","URL":"https://www.fdable.com/","accessed":{"date-parts":[["2026",1,22]]}},"label":"page"},{"id":1420,"uris":["http://zotero.org/users/local/yGG8xmNw/items/JZMSUWIG"],"itemData":{"id":1420,"type":"article-journal","abstract":"Background Exploration of the Adverse Event Reporting System (AERS) data by a wide scientific community is limited due to several factors. First, AERS data must be intensively preprocessed to be converted into analyzable format. Second, application of the currently accepted disproportional reporting measures results in false positive signals. Methods We proposed a data mining strategy to improve hypothesis generation with respect to potential associations. Results By numerous examples, we illustrate that our strategy controls the false positive signals. We implemented a free online tool, AERS spider (www.chemoprofiling.org/AERS). Conclusions We believe that AERS spider would be a valuable tool for drug safety experts. Copyright © 2014 John Wiley &amp; Sons, Ltd.","container-title":"Pharmacoepidemiology and Drug Safety","DOI":"10.1002/pds.3561","ISSN":"1099-1557","issue":"8","language":"en","license":"Copyright © 2014 John Wiley &amp; Sons, Ltd.","note":"_eprint: https://onlinelibrary.wiley.com/doi/pdf/10.1002/pds.3561","page":"795-801","source":"Wiley Online Library","title":"AERS spider: an online interactive tool to mine statistical associations in Adverse Event Reporting System","title-short":"AERS spider","volume":"23","author":[{"family":"Grigoriev","given":"Igor"},{"family":"Castell","given":"Wolfgang","non-dropping-particle":"zu"},{"family":"Tsvetkov","given":"Philipp"},{"family":"Antonov","given":"Alexey V."}],"issued":{"date-parts":[["2014"]]}},"label":"page"},{"id":1423,"uris":["http://zotero.org/users/local/yGG8xmNw/items/VDF4MPP6"],"itemData":{"id":1423,"type":"article-journal","abstract":"Pharmacovigilance contributes to health care. However, direct access to the underlying data for academic institutions and individual physicians or pharmacists is intricate, and easily employable analysis modes for everyday clinical situations are missing. This underlines the need for a tool to bring pharmacovigilance to the clinics. To address these issues, we have developed OpenVigil FDA, a novel web-based pharmacovigilance analysis tool which uses the openFDA online interface of the Food and Drug Administration (FDA) to access U.S. American and international pharmacovigilance data from the Adverse Event Reporting System (AERS). OpenVigil FDA provides disproportionality analyses to (i) identify the drug most likely evoking a new adverse event, (ii) compare two drugs concerning their safety profile, (iii) check arbitrary combinations of two drugs for unknown drug-drug interactions and (iv) enhance the relevance of results by identifying confounding factors and eliminating them using background correction. We present examples for these applications and discuss the promises and limits of pharmacovigilance, openFDA and OpenVigil FDA. OpenVigil FDA is the first public available tool to apply pharmacovigilance findings directly to real-life clinical problems. OpenVigil FDA does not require special licenses or statistical programs.","container-title":"PloS One","DOI":"10.1371/journal.pone.0157753","ISSN":"1932-6203","issue":"6","journalAbbreviation":"PLoS One","language":"eng","note":"PMID: 27326858\nPMCID: PMC4915658","page":"e0157753","source":"PubMed","title":"OpenVigil FDA - Inspection of U.S. American Adverse Drug Events Pharmacovigilance Data and Novel Clinical Applications","volume":"11","author":[{"family":"Böhm","given":"Ruwen"},{"family":"Hehn","given":"Leocadie","non-dropping-particle":"von"},{"family":"Herdegen","given":"Thomas"},{"family":"Klein","given":"Hans-Joachim"},{"family":"Bruhn","given":"Oliver"},{"family":"Petri","given":"Holger"},{"family":"Höcker","given":"Jan"}],"issued":{"date-parts":[["2016"]]}},"label":"page"},{"id":1426,"uris":["http://zotero.org/users/local/yGG8xmNw/items/H3SYXG6B"],"itemData":{"id":1426,"type":"article-journal","container-title":"Nature Biotechnology","DOI":"10.1038/nbt.3623","ISSN":"1546-1696","issue":"7","journalAbbreviation":"Nat Biotechnol","language":"en","license":"2016 Springer Nature America, Inc.","note":"publisher: Nature Publishing Group","page":"697-700","source":"www.nature.com","title":"Data mining differential clinical outcomes associated with drug regimens using adverse event reporting data","volume":"34","author":[{"family":"Sarangdhar","given":"Mayur"},{"family":"Tabar","given":"Scott"},{"family":"Schmidt","given":"Charles"},{"family":"Kushwaha","given":"Akash"},{"family":"Shah","given":"Krish"},{"family":"Dahlquist","given":"Jeanine E."},{"family":"Jegga","given":"Anil G."},{"family":"Aronow","given":"Bruce J."}],"issued":{"date-parts":[["2016",7]]}},"label":"page"}],"schema":"https://github.com/citation-style-language/schema/raw/master/csl-citation.json"} </w:instrText>
      </w:r>
      <w:r w:rsidR="007B194D" w:rsidRPr="002E496B">
        <w:rPr>
          <w:rFonts w:eastAsiaTheme="minorHAnsi" w:cs="Times New Roman"/>
          <w:color w:val="000000" w:themeColor="text1"/>
          <w:sz w:val="22"/>
          <w:szCs w:val="22"/>
        </w:rPr>
        <w:fldChar w:fldCharType="separate"/>
      </w:r>
      <w:r w:rsidR="001D2130" w:rsidRPr="002E496B">
        <w:rPr>
          <w:rFonts w:cs="Times New Roman"/>
          <w:kern w:val="0"/>
          <w:sz w:val="22"/>
          <w:vertAlign w:val="superscript"/>
        </w:rPr>
        <w:t>8–11</w:t>
      </w:r>
      <w:r w:rsidR="007B194D" w:rsidRPr="002E496B">
        <w:rPr>
          <w:rFonts w:eastAsiaTheme="minorHAnsi" w:cs="Times New Roman"/>
          <w:color w:val="000000" w:themeColor="text1"/>
          <w:sz w:val="22"/>
          <w:szCs w:val="22"/>
        </w:rPr>
        <w:fldChar w:fldCharType="end"/>
      </w:r>
      <w:r w:rsidRPr="002E496B">
        <w:rPr>
          <w:rFonts w:eastAsiaTheme="minorHAnsi" w:cs="Times New Roman"/>
          <w:color w:val="000000" w:themeColor="text1"/>
          <w:sz w:val="22"/>
          <w:szCs w:val="22"/>
        </w:rPr>
        <w:t>. AEST is distinguished by its integrated provision of drug name input correction, flexible filtering of analysis conditions, signal detection output, and visualization of related background information within a single interactive web interface.</w:t>
      </w:r>
    </w:p>
    <w:p w14:paraId="46736A40" w14:textId="77777777" w:rsidR="00493772" w:rsidRPr="002E496B" w:rsidRDefault="00493772" w:rsidP="002626C1">
      <w:pPr>
        <w:widowControl/>
        <w:spacing w:line="480" w:lineRule="auto"/>
        <w:ind w:firstLineChars="100" w:firstLine="220"/>
        <w:jc w:val="left"/>
        <w:rPr>
          <w:rFonts w:eastAsia="游明朝" w:cs="Times New Roman"/>
          <w:color w:val="000000" w:themeColor="text1"/>
          <w:sz w:val="22"/>
          <w:szCs w:val="22"/>
        </w:rPr>
      </w:pPr>
    </w:p>
    <w:p w14:paraId="54BFF6D6" w14:textId="2953D05D" w:rsidR="00493772" w:rsidRPr="002E496B" w:rsidRDefault="007E483E" w:rsidP="002626C1">
      <w:pPr>
        <w:pStyle w:val="af9"/>
        <w:keepNext/>
        <w:spacing w:line="480" w:lineRule="auto"/>
        <w:jc w:val="left"/>
        <w:rPr>
          <w:rFonts w:ascii="Times New Roman" w:eastAsia="游明朝" w:hAnsi="Times New Roman" w:cs="Times New Roman"/>
          <w:b w:val="0"/>
          <w:bCs w:val="0"/>
          <w:color w:val="000000" w:themeColor="text1"/>
          <w:sz w:val="22"/>
          <w:szCs w:val="22"/>
        </w:rPr>
      </w:pPr>
      <w:r w:rsidRPr="002E496B">
        <w:rPr>
          <w:rFonts w:ascii="Times New Roman" w:eastAsia="游明朝" w:hAnsi="Times New Roman" w:cs="Times New Roman"/>
          <w:color w:val="000000" w:themeColor="text1"/>
          <w:sz w:val="22"/>
          <w:szCs w:val="22"/>
        </w:rPr>
        <w:t xml:space="preserve">Supplementary Table </w:t>
      </w:r>
      <w:r w:rsidR="00B9084F" w:rsidRPr="002E496B">
        <w:rPr>
          <w:rFonts w:ascii="Times New Roman" w:eastAsia="游明朝" w:hAnsi="Times New Roman" w:cs="Times New Roman" w:hint="eastAsia"/>
          <w:color w:val="000000" w:themeColor="text1"/>
          <w:sz w:val="22"/>
          <w:szCs w:val="22"/>
        </w:rPr>
        <w:t>6</w:t>
      </w:r>
      <w:r w:rsidRPr="002E496B">
        <w:rPr>
          <w:rFonts w:ascii="Times New Roman" w:eastAsia="游明朝" w:hAnsi="Times New Roman" w:cs="Times New Roman"/>
          <w:color w:val="000000" w:themeColor="text1"/>
          <w:sz w:val="22"/>
          <w:szCs w:val="22"/>
        </w:rPr>
        <w:t>.</w:t>
      </w:r>
      <w:r w:rsidRPr="002E496B">
        <w:rPr>
          <w:rFonts w:ascii="Times New Roman" w:eastAsia="游明朝" w:hAnsi="Times New Roman" w:cs="Times New Roman"/>
          <w:b w:val="0"/>
          <w:bCs w:val="0"/>
          <w:color w:val="000000" w:themeColor="text1"/>
          <w:sz w:val="22"/>
          <w:szCs w:val="22"/>
        </w:rPr>
        <w:t xml:space="preserve"> Feature comparison between AEST and existing FAERS analysis tools.</w:t>
      </w:r>
    </w:p>
    <w:tbl>
      <w:tblPr>
        <w:tblStyle w:val="af5"/>
        <w:tblpPr w:leftFromText="567" w:rightFromText="567" w:vertAnchor="text" w:horzAnchor="margin" w:tblpXSpec="center" w:tblpY="41"/>
        <w:tblW w:w="10027" w:type="dxa"/>
        <w:tblBorders>
          <w:left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4093"/>
        <w:gridCol w:w="1186"/>
        <w:gridCol w:w="1187"/>
        <w:gridCol w:w="1187"/>
        <w:gridCol w:w="1187"/>
        <w:gridCol w:w="1187"/>
      </w:tblGrid>
      <w:tr w:rsidR="0010735D" w:rsidRPr="002E496B" w14:paraId="3E04CFA7" w14:textId="77777777">
        <w:trPr>
          <w:trHeight w:val="12"/>
        </w:trPr>
        <w:tc>
          <w:tcPr>
            <w:tcW w:w="4093" w:type="dxa"/>
            <w:tcBorders>
              <w:top w:val="single" w:sz="4" w:space="0" w:color="auto"/>
              <w:bottom w:val="single" w:sz="4" w:space="0" w:color="auto"/>
            </w:tcBorders>
            <w:hideMark/>
          </w:tcPr>
          <w:p w14:paraId="636D448F"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Features</w:t>
            </w:r>
          </w:p>
        </w:tc>
        <w:tc>
          <w:tcPr>
            <w:tcW w:w="1186" w:type="dxa"/>
            <w:tcBorders>
              <w:top w:val="single" w:sz="4" w:space="0" w:color="auto"/>
              <w:bottom w:val="single" w:sz="4" w:space="0" w:color="auto"/>
            </w:tcBorders>
            <w:hideMark/>
          </w:tcPr>
          <w:p w14:paraId="71EC1376"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FDAble</w:t>
            </w:r>
          </w:p>
        </w:tc>
        <w:tc>
          <w:tcPr>
            <w:tcW w:w="1187" w:type="dxa"/>
            <w:tcBorders>
              <w:top w:val="single" w:sz="4" w:space="0" w:color="auto"/>
              <w:bottom w:val="single" w:sz="4" w:space="0" w:color="auto"/>
            </w:tcBorders>
            <w:hideMark/>
          </w:tcPr>
          <w:p w14:paraId="08B39D31"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AERS Spider</w:t>
            </w:r>
          </w:p>
        </w:tc>
        <w:tc>
          <w:tcPr>
            <w:tcW w:w="1187" w:type="dxa"/>
            <w:tcBorders>
              <w:top w:val="single" w:sz="4" w:space="0" w:color="auto"/>
              <w:bottom w:val="single" w:sz="4" w:space="0" w:color="auto"/>
            </w:tcBorders>
            <w:hideMark/>
          </w:tcPr>
          <w:p w14:paraId="6DA215EC"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OpenVigil</w:t>
            </w:r>
            <w:r w:rsidRPr="002E496B">
              <w:rPr>
                <w:rFonts w:eastAsia="游明朝" w:cs="Times New Roman"/>
                <w:color w:val="000000" w:themeColor="text1"/>
                <w:sz w:val="20"/>
                <w:szCs w:val="20"/>
              </w:rPr>
              <w:t xml:space="preserve">　</w:t>
            </w:r>
            <w:r w:rsidRPr="002E496B">
              <w:rPr>
                <w:rFonts w:eastAsia="游明朝" w:cs="Times New Roman"/>
                <w:color w:val="000000" w:themeColor="text1"/>
                <w:sz w:val="20"/>
                <w:szCs w:val="20"/>
              </w:rPr>
              <w:t>2.0</w:t>
            </w:r>
          </w:p>
        </w:tc>
        <w:tc>
          <w:tcPr>
            <w:tcW w:w="1187" w:type="dxa"/>
            <w:tcBorders>
              <w:top w:val="single" w:sz="4" w:space="0" w:color="auto"/>
              <w:bottom w:val="single" w:sz="4" w:space="0" w:color="auto"/>
            </w:tcBorders>
            <w:hideMark/>
          </w:tcPr>
          <w:p w14:paraId="7E2FF69E"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AERSMine</w:t>
            </w:r>
          </w:p>
        </w:tc>
        <w:tc>
          <w:tcPr>
            <w:tcW w:w="1187" w:type="dxa"/>
            <w:tcBorders>
              <w:top w:val="single" w:sz="4" w:space="0" w:color="auto"/>
              <w:bottom w:val="single" w:sz="4" w:space="0" w:color="auto"/>
            </w:tcBorders>
            <w:hideMark/>
          </w:tcPr>
          <w:p w14:paraId="1114FD38"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AEST</w:t>
            </w:r>
          </w:p>
          <w:p w14:paraId="6D42FD85"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 xml:space="preserve"> (ours)</w:t>
            </w:r>
          </w:p>
        </w:tc>
      </w:tr>
      <w:tr w:rsidR="0010735D" w:rsidRPr="002E496B" w14:paraId="34E9F964" w14:textId="77777777">
        <w:trPr>
          <w:trHeight w:val="12"/>
        </w:trPr>
        <w:tc>
          <w:tcPr>
            <w:tcW w:w="4093" w:type="dxa"/>
            <w:tcBorders>
              <w:top w:val="single" w:sz="4" w:space="0" w:color="auto"/>
            </w:tcBorders>
            <w:hideMark/>
          </w:tcPr>
          <w:p w14:paraId="599F0891"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FAERS Data Mining</w:t>
            </w:r>
          </w:p>
        </w:tc>
        <w:tc>
          <w:tcPr>
            <w:tcW w:w="1186" w:type="dxa"/>
            <w:tcBorders>
              <w:top w:val="single" w:sz="4" w:space="0" w:color="auto"/>
            </w:tcBorders>
            <w:hideMark/>
          </w:tcPr>
          <w:p w14:paraId="451886C8"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tcBorders>
              <w:top w:val="single" w:sz="4" w:space="0" w:color="auto"/>
            </w:tcBorders>
            <w:hideMark/>
          </w:tcPr>
          <w:p w14:paraId="58F773E8"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tcBorders>
              <w:top w:val="single" w:sz="4" w:space="0" w:color="auto"/>
            </w:tcBorders>
            <w:hideMark/>
          </w:tcPr>
          <w:p w14:paraId="28266F89"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tcBorders>
              <w:top w:val="single" w:sz="4" w:space="0" w:color="auto"/>
            </w:tcBorders>
            <w:hideMark/>
          </w:tcPr>
          <w:p w14:paraId="6591B5F5"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tcBorders>
              <w:top w:val="single" w:sz="4" w:space="0" w:color="auto"/>
            </w:tcBorders>
            <w:hideMark/>
          </w:tcPr>
          <w:p w14:paraId="21FE5405"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42A88568" w14:textId="77777777">
        <w:trPr>
          <w:trHeight w:val="12"/>
        </w:trPr>
        <w:tc>
          <w:tcPr>
            <w:tcW w:w="4093" w:type="dxa"/>
            <w:hideMark/>
          </w:tcPr>
          <w:p w14:paraId="0F11464D" w14:textId="51C85521"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Drug Name Normalization</w:t>
            </w:r>
          </w:p>
        </w:tc>
        <w:tc>
          <w:tcPr>
            <w:tcW w:w="1186" w:type="dxa"/>
            <w:hideMark/>
          </w:tcPr>
          <w:p w14:paraId="24C2AAB3"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5B1B6DBE"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64DEE43"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36BA4AD2"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23D522E6"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161EEFAE" w14:textId="77777777">
        <w:trPr>
          <w:trHeight w:val="12"/>
        </w:trPr>
        <w:tc>
          <w:tcPr>
            <w:tcW w:w="4093" w:type="dxa"/>
            <w:hideMark/>
          </w:tcPr>
          <w:p w14:paraId="5612B4EE"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Handling of Drug Name Variations and Typos</w:t>
            </w:r>
          </w:p>
        </w:tc>
        <w:tc>
          <w:tcPr>
            <w:tcW w:w="1186" w:type="dxa"/>
            <w:hideMark/>
          </w:tcPr>
          <w:p w14:paraId="26B3F99C"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617BA5C5"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5F935713"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32804BF2"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7EEE46CC"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1710AF32" w14:textId="77777777">
        <w:trPr>
          <w:trHeight w:val="12"/>
        </w:trPr>
        <w:tc>
          <w:tcPr>
            <w:tcW w:w="4093" w:type="dxa"/>
            <w:hideMark/>
          </w:tcPr>
          <w:p w14:paraId="3BDDAB85"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Signal Detection with Custom Filters</w:t>
            </w:r>
          </w:p>
        </w:tc>
        <w:tc>
          <w:tcPr>
            <w:tcW w:w="1186" w:type="dxa"/>
            <w:hideMark/>
          </w:tcPr>
          <w:p w14:paraId="4209E7D4"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110F9A0B"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1E954C4C"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609CD134"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7B12B0AC"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1AF0FDE5" w14:textId="77777777">
        <w:trPr>
          <w:trHeight w:val="12"/>
        </w:trPr>
        <w:tc>
          <w:tcPr>
            <w:tcW w:w="4093" w:type="dxa"/>
            <w:hideMark/>
          </w:tcPr>
          <w:p w14:paraId="761DDC9D"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lastRenderedPageBreak/>
              <w:t>Visualization of Signal Detection Results</w:t>
            </w:r>
          </w:p>
        </w:tc>
        <w:tc>
          <w:tcPr>
            <w:tcW w:w="1186" w:type="dxa"/>
            <w:hideMark/>
          </w:tcPr>
          <w:p w14:paraId="72A56FDD"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FC162A7"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8F273C3"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184FEA8A"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CE57CC9"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5583A59A" w14:textId="77777777">
        <w:trPr>
          <w:trHeight w:val="12"/>
        </w:trPr>
        <w:tc>
          <w:tcPr>
            <w:tcW w:w="4093" w:type="dxa"/>
            <w:hideMark/>
          </w:tcPr>
          <w:p w14:paraId="2A48E99F"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Exporting Signal Detection Results</w:t>
            </w:r>
          </w:p>
        </w:tc>
        <w:tc>
          <w:tcPr>
            <w:tcW w:w="1186" w:type="dxa"/>
            <w:hideMark/>
          </w:tcPr>
          <w:p w14:paraId="4A3751C7"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749110A"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591F8CFD"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2A70B661"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4111735E"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00818D01" w14:textId="77777777">
        <w:trPr>
          <w:trHeight w:val="12"/>
        </w:trPr>
        <w:tc>
          <w:tcPr>
            <w:tcW w:w="4093" w:type="dxa"/>
            <w:hideMark/>
          </w:tcPr>
          <w:p w14:paraId="3674F796" w14:textId="67EB17EA"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Visualization of Background Data</w:t>
            </w:r>
          </w:p>
        </w:tc>
        <w:tc>
          <w:tcPr>
            <w:tcW w:w="1186" w:type="dxa"/>
            <w:hideMark/>
          </w:tcPr>
          <w:p w14:paraId="404B0BE3"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1A13C781"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03D950A5"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2F786EF"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2D00531F"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14E5E263" w14:textId="77777777">
        <w:trPr>
          <w:trHeight w:val="12"/>
        </w:trPr>
        <w:tc>
          <w:tcPr>
            <w:tcW w:w="4093" w:type="dxa"/>
            <w:hideMark/>
          </w:tcPr>
          <w:p w14:paraId="050B1072"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Operational Status (as of Sep 2025)</w:t>
            </w:r>
          </w:p>
        </w:tc>
        <w:tc>
          <w:tcPr>
            <w:tcW w:w="1186" w:type="dxa"/>
            <w:hideMark/>
          </w:tcPr>
          <w:p w14:paraId="148297EB"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710AE1AE" w14:textId="77777777" w:rsidR="00493772" w:rsidRPr="002E496B" w:rsidRDefault="00493772" w:rsidP="002626C1">
            <w:pPr>
              <w:spacing w:line="480" w:lineRule="auto"/>
              <w:jc w:val="left"/>
              <w:rPr>
                <w:rFonts w:eastAsia="游明朝" w:cs="Times New Roman"/>
                <w:color w:val="000000" w:themeColor="text1"/>
                <w:sz w:val="20"/>
                <w:szCs w:val="20"/>
              </w:rPr>
            </w:pPr>
          </w:p>
        </w:tc>
        <w:tc>
          <w:tcPr>
            <w:tcW w:w="1187" w:type="dxa"/>
            <w:hideMark/>
          </w:tcPr>
          <w:p w14:paraId="4980C776"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6C70C3AB"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c>
          <w:tcPr>
            <w:tcW w:w="1187" w:type="dxa"/>
            <w:hideMark/>
          </w:tcPr>
          <w:p w14:paraId="3D0F741A"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w:t>
            </w:r>
          </w:p>
        </w:tc>
      </w:tr>
      <w:tr w:rsidR="0010735D" w:rsidRPr="002E496B" w14:paraId="40F9A835" w14:textId="77777777">
        <w:trPr>
          <w:trHeight w:val="12"/>
        </w:trPr>
        <w:tc>
          <w:tcPr>
            <w:tcW w:w="4093" w:type="dxa"/>
            <w:hideMark/>
          </w:tcPr>
          <w:p w14:paraId="522ABABE"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Pricing</w:t>
            </w:r>
          </w:p>
        </w:tc>
        <w:tc>
          <w:tcPr>
            <w:tcW w:w="1186" w:type="dxa"/>
            <w:hideMark/>
          </w:tcPr>
          <w:p w14:paraId="4C4AEF80"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$350</w:t>
            </w:r>
          </w:p>
        </w:tc>
        <w:tc>
          <w:tcPr>
            <w:tcW w:w="1187" w:type="dxa"/>
            <w:hideMark/>
          </w:tcPr>
          <w:p w14:paraId="71D2F197"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free</w:t>
            </w:r>
          </w:p>
        </w:tc>
        <w:tc>
          <w:tcPr>
            <w:tcW w:w="1187" w:type="dxa"/>
            <w:hideMark/>
          </w:tcPr>
          <w:p w14:paraId="448B23DE"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free</w:t>
            </w:r>
          </w:p>
        </w:tc>
        <w:tc>
          <w:tcPr>
            <w:tcW w:w="1187" w:type="dxa"/>
            <w:hideMark/>
          </w:tcPr>
          <w:p w14:paraId="28EBD8C9"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free</w:t>
            </w:r>
          </w:p>
        </w:tc>
        <w:tc>
          <w:tcPr>
            <w:tcW w:w="1187" w:type="dxa"/>
            <w:hideMark/>
          </w:tcPr>
          <w:p w14:paraId="7AE86863"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free</w:t>
            </w:r>
          </w:p>
        </w:tc>
      </w:tr>
      <w:tr w:rsidR="0010735D" w:rsidRPr="002E496B" w14:paraId="74058FA7" w14:textId="77777777">
        <w:trPr>
          <w:trHeight w:val="12"/>
        </w:trPr>
        <w:tc>
          <w:tcPr>
            <w:tcW w:w="4093" w:type="dxa"/>
            <w:hideMark/>
          </w:tcPr>
          <w:p w14:paraId="44B6D80A"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URL</w:t>
            </w:r>
          </w:p>
        </w:tc>
        <w:tc>
          <w:tcPr>
            <w:tcW w:w="1186" w:type="dxa"/>
            <w:hideMark/>
          </w:tcPr>
          <w:p w14:paraId="358AC8DB"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https://www.fdable.com/</w:t>
            </w:r>
          </w:p>
        </w:tc>
        <w:tc>
          <w:tcPr>
            <w:tcW w:w="1187" w:type="dxa"/>
            <w:hideMark/>
          </w:tcPr>
          <w:p w14:paraId="28484F81"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http://www.chemoprofiling.org/AERS</w:t>
            </w:r>
          </w:p>
        </w:tc>
        <w:tc>
          <w:tcPr>
            <w:tcW w:w="1187" w:type="dxa"/>
            <w:hideMark/>
          </w:tcPr>
          <w:p w14:paraId="791EC873"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https://openvigil.sourceforge.net/</w:t>
            </w:r>
          </w:p>
        </w:tc>
        <w:tc>
          <w:tcPr>
            <w:tcW w:w="1187" w:type="dxa"/>
            <w:hideMark/>
          </w:tcPr>
          <w:p w14:paraId="2CFCD3A6"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https://research.cchmc.org/aers/home</w:t>
            </w:r>
          </w:p>
        </w:tc>
        <w:tc>
          <w:tcPr>
            <w:tcW w:w="1187" w:type="dxa"/>
            <w:hideMark/>
          </w:tcPr>
          <w:p w14:paraId="7A50421F" w14:textId="77777777" w:rsidR="00493772" w:rsidRPr="002E496B" w:rsidRDefault="007E483E" w:rsidP="002626C1">
            <w:pPr>
              <w:spacing w:line="480" w:lineRule="auto"/>
              <w:jc w:val="left"/>
              <w:rPr>
                <w:rFonts w:eastAsia="游明朝" w:cs="Times New Roman"/>
                <w:color w:val="000000" w:themeColor="text1"/>
                <w:sz w:val="20"/>
                <w:szCs w:val="20"/>
              </w:rPr>
            </w:pPr>
            <w:r w:rsidRPr="002E496B">
              <w:rPr>
                <w:rFonts w:eastAsia="游明朝" w:cs="Times New Roman"/>
                <w:color w:val="000000" w:themeColor="text1"/>
                <w:sz w:val="20"/>
                <w:szCs w:val="20"/>
              </w:rPr>
              <w:t>https://alain003.phs.osaka-u.ac.jp/AEST</w:t>
            </w:r>
          </w:p>
        </w:tc>
      </w:tr>
    </w:tbl>
    <w:p w14:paraId="60101E32" w14:textId="77777777" w:rsidR="00F4432E" w:rsidRPr="002E496B" w:rsidRDefault="00F4432E" w:rsidP="002626C1">
      <w:pPr>
        <w:widowControl/>
        <w:spacing w:line="480" w:lineRule="auto"/>
        <w:jc w:val="left"/>
        <w:rPr>
          <w:rFonts w:eastAsiaTheme="minorHAnsi" w:cs="Times New Roman"/>
          <w:color w:val="000000" w:themeColor="text1"/>
          <w:sz w:val="22"/>
          <w:szCs w:val="22"/>
        </w:rPr>
      </w:pPr>
    </w:p>
    <w:p w14:paraId="2C1A94DB" w14:textId="44F0D6E2" w:rsidR="00F4432E" w:rsidRPr="002E496B" w:rsidRDefault="007E483E" w:rsidP="002626C1">
      <w:pPr>
        <w:widowControl/>
        <w:spacing w:line="480" w:lineRule="auto"/>
        <w:jc w:val="left"/>
        <w:rPr>
          <w:rFonts w:eastAsiaTheme="minorHAnsi" w:cs="Times New Roman"/>
          <w:color w:val="000000" w:themeColor="text1"/>
          <w:sz w:val="22"/>
          <w:szCs w:val="22"/>
        </w:rPr>
      </w:pPr>
      <w:r w:rsidRPr="002E496B">
        <w:rPr>
          <w:rFonts w:eastAsiaTheme="minorHAnsi" w:cs="Times New Roman"/>
          <w:color w:val="000000" w:themeColor="text1"/>
          <w:sz w:val="22"/>
          <w:szCs w:val="22"/>
        </w:rPr>
        <w:t xml:space="preserve">Nevertheless, </w:t>
      </w:r>
      <w:r w:rsidRPr="002E496B">
        <w:rPr>
          <w:rFonts w:eastAsia="游明朝" w:cs="Times New Roman"/>
          <w:color w:val="000000"/>
          <w:sz w:val="22"/>
          <w:szCs w:val="22"/>
        </w:rPr>
        <w:t xml:space="preserve">the AEST has limitations inherent to both FAERS and technical constraints. FAERS is subject to reporting biases, and the detected signals do not directly imply causality; therefore, careful clinical interpretation is required. In addition, the responsibility for the final risk assessment and any clinical application of the results generated by AEST rests solely with the user. The system is intended to be used as a supportive tool for hypothesis generation, rather than as a definitive decision-making system. </w:t>
      </w:r>
      <w:r w:rsidRPr="002E496B">
        <w:rPr>
          <w:rFonts w:eastAsiaTheme="minorHAnsi" w:cs="Times New Roman"/>
          <w:color w:val="000000" w:themeColor="text1"/>
          <w:sz w:val="22"/>
          <w:szCs w:val="22"/>
        </w:rPr>
        <w:t xml:space="preserve">The direct application of AEST outputs to regulatory decision-making or clinical judgment requires additional evidence and </w:t>
      </w:r>
      <w:r w:rsidRPr="002E496B">
        <w:rPr>
          <w:rFonts w:eastAsiaTheme="minorHAnsi" w:cs="Times New Roman"/>
          <w:color w:val="000000" w:themeColor="text1"/>
          <w:sz w:val="22"/>
          <w:szCs w:val="22"/>
        </w:rPr>
        <w:lastRenderedPageBreak/>
        <w:t>comprehensive evaluation by qualified experts. Furthermore, response delays and increased error rates may occur with high concurrent access</w:t>
      </w:r>
      <w:r w:rsidRPr="002E496B">
        <w:rPr>
          <w:rFonts w:eastAsia="游明朝" w:cs="Times New Roman"/>
          <w:color w:val="000000"/>
          <w:sz w:val="22"/>
          <w:szCs w:val="22"/>
        </w:rPr>
        <w:t xml:space="preserve"> rates. However, AEST is designed with distributed parallel processing, which allow</w:t>
      </w:r>
      <w:r w:rsidRPr="002E496B">
        <w:rPr>
          <w:rFonts w:eastAsiaTheme="minorHAnsi" w:cs="Times New Roman"/>
          <w:color w:val="000000" w:themeColor="text1"/>
          <w:sz w:val="22"/>
          <w:szCs w:val="22"/>
        </w:rPr>
        <w:t xml:space="preserve">s performance improvements through </w:t>
      </w:r>
      <w:r w:rsidRPr="002E496B">
        <w:rPr>
          <w:rFonts w:eastAsia="游明朝" w:cs="Times New Roman"/>
          <w:color w:val="000000"/>
          <w:sz w:val="22"/>
          <w:szCs w:val="22"/>
        </w:rPr>
        <w:t>the augmentation of computational resources. In this study, performance was evaluated using 20 vCPUs and 30 GiB of memory.</w:t>
      </w:r>
    </w:p>
    <w:p w14:paraId="7400DED5" w14:textId="2FC4E86C" w:rsidR="00A6384A" w:rsidRPr="002E496B" w:rsidRDefault="007E483E" w:rsidP="002626C1">
      <w:pPr>
        <w:widowControl/>
        <w:spacing w:line="480" w:lineRule="auto"/>
        <w:jc w:val="left"/>
        <w:rPr>
          <w:rFonts w:eastAsia="游明朝" w:cs="Times New Roman"/>
          <w:color w:val="000000" w:themeColor="text1"/>
          <w:sz w:val="22"/>
          <w:szCs w:val="22"/>
        </w:rPr>
      </w:pPr>
      <w:r w:rsidRPr="002E496B">
        <w:rPr>
          <w:rFonts w:eastAsiaTheme="minorHAnsi" w:cs="Times New Roman"/>
          <w:color w:val="000000" w:themeColor="text1"/>
          <w:sz w:val="22"/>
          <w:szCs w:val="22"/>
        </w:rPr>
        <w:t xml:space="preserve">Future work </w:t>
      </w:r>
      <w:r w:rsidRPr="002E496B">
        <w:rPr>
          <w:rFonts w:eastAsia="游明朝" w:cs="Times New Roman"/>
          <w:color w:val="000000"/>
          <w:sz w:val="22"/>
          <w:szCs w:val="22"/>
        </w:rPr>
        <w:t>will include</w:t>
      </w:r>
      <w:r w:rsidRPr="002E496B">
        <w:rPr>
          <w:rFonts w:eastAsiaTheme="minorHAnsi" w:cs="Times New Roman"/>
          <w:color w:val="000000" w:themeColor="text1"/>
          <w:sz w:val="22"/>
          <w:szCs w:val="22"/>
        </w:rPr>
        <w:t xml:space="preserve"> further enhancement of the graphical user interface, development of manuals and tutorials, and </w:t>
      </w:r>
      <w:r w:rsidRPr="002E496B">
        <w:rPr>
          <w:rFonts w:eastAsia="游明朝" w:cs="Times New Roman"/>
          <w:color w:val="000000"/>
          <w:sz w:val="22"/>
          <w:szCs w:val="22"/>
        </w:rPr>
        <w:t xml:space="preserve">the provision of specific use cases to support the appropriate interpretation and application of results. Additional efforts will focus on the quantitative evaluation of the contribution of input correction </w:t>
      </w:r>
      <w:r w:rsidRPr="002E496B">
        <w:rPr>
          <w:rFonts w:eastAsiaTheme="minorHAnsi" w:cs="Times New Roman"/>
          <w:color w:val="000000" w:themeColor="text1"/>
          <w:sz w:val="22"/>
          <w:szCs w:val="22"/>
        </w:rPr>
        <w:t>in reducing analysis errors and incorporating user feedback into stepwise system improvements.</w:t>
      </w:r>
      <w:bookmarkEnd w:id="0"/>
      <w:r w:rsidRPr="002E496B">
        <w:rPr>
          <w:rFonts w:eastAsia="游明朝" w:cs="Times New Roman"/>
          <w:sz w:val="22"/>
          <w:szCs w:val="22"/>
        </w:rPr>
        <w:t xml:space="preserve"> </w:t>
      </w:r>
    </w:p>
    <w:p w14:paraId="392EF09C" w14:textId="180F4588" w:rsidR="00754E77" w:rsidRPr="002E496B" w:rsidRDefault="007E483E" w:rsidP="002626C1">
      <w:pPr>
        <w:widowControl/>
        <w:spacing w:line="480" w:lineRule="auto"/>
        <w:jc w:val="left"/>
        <w:rPr>
          <w:rFonts w:eastAsiaTheme="minorHAnsi" w:cs="Times New Roman"/>
          <w:sz w:val="22"/>
          <w:szCs w:val="22"/>
        </w:rPr>
      </w:pPr>
      <w:r w:rsidRPr="002E496B">
        <w:rPr>
          <w:rFonts w:eastAsiaTheme="minorHAnsi" w:cs="Times New Roman"/>
          <w:sz w:val="22"/>
          <w:szCs w:val="22"/>
        </w:rPr>
        <w:br w:type="page"/>
      </w:r>
    </w:p>
    <w:p w14:paraId="2A63B44B" w14:textId="47E155AE" w:rsidR="002A07D2" w:rsidRPr="002E496B" w:rsidRDefault="007E483E" w:rsidP="002626C1">
      <w:pPr>
        <w:pStyle w:val="1"/>
        <w:spacing w:line="480" w:lineRule="auto"/>
        <w:jc w:val="left"/>
        <w:rPr>
          <w:rFonts w:ascii="Times New Roman" w:hAnsi="Times New Roman" w:cs="Times New Roman"/>
          <w:b/>
          <w:bCs/>
          <w:sz w:val="22"/>
          <w:szCs w:val="22"/>
        </w:rPr>
      </w:pPr>
      <w:r w:rsidRPr="002E496B">
        <w:rPr>
          <w:rFonts w:ascii="Times New Roman" w:eastAsiaTheme="minorEastAsia" w:hAnsi="Times New Roman" w:cs="Times New Roman"/>
          <w:b/>
          <w:bCs/>
          <w:sz w:val="22"/>
          <w:szCs w:val="22"/>
        </w:rPr>
        <w:lastRenderedPageBreak/>
        <w:t xml:space="preserve">Supplementary </w:t>
      </w:r>
      <w:r w:rsidR="00B13A43" w:rsidRPr="002E496B">
        <w:rPr>
          <w:rFonts w:ascii="Times New Roman" w:eastAsiaTheme="minorEastAsia" w:hAnsi="Times New Roman" w:cs="Times New Roman"/>
          <w:b/>
          <w:bCs/>
          <w:sz w:val="22"/>
          <w:szCs w:val="22"/>
        </w:rPr>
        <w:t>Note</w:t>
      </w:r>
      <w:r w:rsidRPr="002E496B">
        <w:rPr>
          <w:rFonts w:ascii="Times New Roman" w:hAnsi="Times New Roman" w:cs="Times New Roman"/>
          <w:b/>
          <w:bCs/>
          <w:sz w:val="22"/>
          <w:szCs w:val="22"/>
        </w:rPr>
        <w:t xml:space="preserve"> 2. Performance of QSAR Models in Stratified Drug Groups</w:t>
      </w:r>
    </w:p>
    <w:p w14:paraId="354FF936" w14:textId="61CFD654" w:rsidR="002A07D2" w:rsidRPr="002E496B" w:rsidRDefault="007E483E" w:rsidP="002626C1">
      <w:pPr>
        <w:spacing w:line="480" w:lineRule="auto"/>
        <w:jc w:val="left"/>
        <w:rPr>
          <w:rFonts w:cs="Times New Roman"/>
          <w:sz w:val="22"/>
          <w:szCs w:val="22"/>
        </w:rPr>
      </w:pPr>
      <w:r w:rsidRPr="002E496B">
        <w:rPr>
          <w:rFonts w:cs="Times New Roman"/>
          <w:sz w:val="22"/>
          <w:szCs w:val="22"/>
        </w:rPr>
        <w:t xml:space="preserve">We conducted an exploratory QSAR analysis to </w:t>
      </w:r>
      <w:r w:rsidR="00CA79FA" w:rsidRPr="002E496B">
        <w:rPr>
          <w:rFonts w:cs="Times New Roman"/>
          <w:sz w:val="22"/>
          <w:szCs w:val="22"/>
        </w:rPr>
        <w:t>determine whether stratifying drugs according to the proposed safety patterns improved</w:t>
      </w:r>
      <w:r w:rsidRPr="002E496B">
        <w:rPr>
          <w:rFonts w:cs="Times New Roman"/>
          <w:sz w:val="22"/>
          <w:szCs w:val="22"/>
        </w:rPr>
        <w:t xml:space="preserve"> </w:t>
      </w:r>
      <w:r w:rsidRPr="002E496B">
        <w:rPr>
          <w:rFonts w:eastAsia="游明朝" w:cs="Times New Roman"/>
          <w:sz w:val="22"/>
          <w:szCs w:val="22"/>
        </w:rPr>
        <w:t>the predictive performance for adverse events. QSAR models were constructed separately for each safety pattern and compared with models trained without stratification to evaluate the changes in classification performance.</w:t>
      </w:r>
    </w:p>
    <w:p w14:paraId="58184FC0" w14:textId="77777777" w:rsidR="002A07D2" w:rsidRPr="002E496B" w:rsidRDefault="002A07D2" w:rsidP="002626C1">
      <w:pPr>
        <w:spacing w:line="480" w:lineRule="auto"/>
        <w:jc w:val="left"/>
        <w:rPr>
          <w:rFonts w:cs="Times New Roman"/>
          <w:sz w:val="22"/>
          <w:szCs w:val="22"/>
        </w:rPr>
      </w:pPr>
    </w:p>
    <w:p w14:paraId="39950ADE" w14:textId="71BBBBC8" w:rsidR="002A07D2" w:rsidRPr="002E496B" w:rsidRDefault="007E483E" w:rsidP="002626C1">
      <w:pPr>
        <w:pStyle w:val="2"/>
        <w:spacing w:line="480" w:lineRule="auto"/>
        <w:jc w:val="left"/>
        <w:rPr>
          <w:rFonts w:ascii="Times New Roman" w:hAnsi="Times New Roman" w:cs="Times New Roman"/>
          <w:b/>
          <w:bCs/>
          <w:sz w:val="22"/>
          <w:szCs w:val="22"/>
        </w:rPr>
      </w:pPr>
      <w:r w:rsidRPr="002E496B">
        <w:rPr>
          <w:rFonts w:ascii="Times New Roman" w:hAnsi="Times New Roman" w:cs="Times New Roman"/>
          <w:b/>
          <w:bCs/>
          <w:sz w:val="22"/>
          <w:szCs w:val="22"/>
        </w:rPr>
        <w:t>Methods</w:t>
      </w:r>
    </w:p>
    <w:p w14:paraId="25CEB673" w14:textId="066B87A9" w:rsidR="002A07D2" w:rsidRPr="002E496B" w:rsidRDefault="007E483E" w:rsidP="002626C1">
      <w:pPr>
        <w:spacing w:line="480" w:lineRule="auto"/>
        <w:jc w:val="left"/>
        <w:rPr>
          <w:rFonts w:cs="Times New Roman"/>
          <w:sz w:val="22"/>
          <w:szCs w:val="22"/>
        </w:rPr>
      </w:pPr>
      <w:r w:rsidRPr="002E496B">
        <w:rPr>
          <w:rFonts w:eastAsia="游明朝" w:cs="Times New Roman"/>
          <w:sz w:val="22"/>
          <w:szCs w:val="22"/>
        </w:rPr>
        <w:t xml:space="preserve">The </w:t>
      </w:r>
      <w:r w:rsidRPr="002E496B">
        <w:rPr>
          <w:rFonts w:cs="Times New Roman"/>
          <w:sz w:val="22"/>
          <w:szCs w:val="22"/>
        </w:rPr>
        <w:t>QSAR performance was evaluated using the benchmark safety dataset curated by Ryan et al</w:t>
      </w:r>
      <w:r w:rsidR="00BC13E8" w:rsidRPr="002E496B">
        <w:rPr>
          <w:rFonts w:cs="Times New Roman"/>
          <w:sz w:val="22"/>
          <w:szCs w:val="22"/>
        </w:rPr>
        <w:fldChar w:fldCharType="begin"/>
      </w:r>
      <w:r w:rsidR="00BC13E8" w:rsidRPr="002E496B">
        <w:rPr>
          <w:rFonts w:cs="Times New Roman"/>
          <w:sz w:val="22"/>
          <w:szCs w:val="22"/>
        </w:rPr>
        <w:instrText xml:space="preserve"> ADDIN ZOTERO_ITEM CSL_CITATION {"citationID":"LY9CJ49k","properties":{"formattedCitation":"\\super 12\\nosupersub{}","plainCitation":"12","noteIndex":0},"citationItems":[{"id":1404,"uris":["http://zotero.org/users/local/yGG8xmNw/items/UJFDGLSD"],"itemData":{"id":1404,"type":"article-journal","abstract":"BACKGROUND: Methodological research to evaluate the performance of methods requires a benchmark to serve as a referent comparison. In drug safety, the performance of analyses of spontaneous adverse event reporting databases and observational healthcare data, such as administrative claims and electronic health records, has been limited by the lack of such standards.\nOBJECTIVES: To establish a reference set of test cases that contain both positive and negative controls, which can serve the basis for methodological research in evaluating methods performance in identifying drug safety issues.\nRESEARCH DESIGN: Systematic literature review and natural language processing of structured product labeling was performed to identify evidence to support the classification of drugs as either positive controls or negative controls for four outcomes: acute liver injury, acute kidney injury, acute myocardial infarction, and upper gastrointestinal bleeding.\nRESULTS: Three-hundred and ninety-nine test cases comprised of 165 positive controls and 234 negative controls were identified across the four outcomes. The majority of positive controls for acute kidney injury and upper gastrointestinal bleeding were supported by randomized clinical trial evidence, while the majority of positive controls for acute liver injury and acute myocardial infarction were only supported based on published case reports. Literature estimates for the positive controls shows substantial variability that limits the ability to establish a reference set with known effect sizes.\nCONCLUSIONS: A reference set of test cases can be established to facilitate methodological research in drug safety. Creating a sufficient sample of drug-outcome pairs with binary classification of having no effect (negative controls) or having an increased effect (positive controls) is possible and can enable estimation of predictive accuracy through discrimination. Since the magnitude of the positive effects cannot be reliably obtained and the quality of evidence may vary across outcomes, assumptions are required to use the test cases in real data for purposes of measuring bias, mean squared error, or coverage probability.","container-title":"Drug Safety","DOI":"10.1007/s40264-013-0097-8","ISSN":"1179-1942","journalAbbreviation":"Drug Saf","language":"eng","note":"PMID: 24166222","page":"S33-47","source":"PubMed","title":"Defining a reference set to support methodological research in drug safety","volume":"36 Suppl 1","author":[{"family":"Ryan","given":"Patrick B."},{"family":"Schuemie","given":"Martijn J."},{"family":"Welebob","given":"Emily"},{"family":"Duke","given":"Jon"},{"family":"Valentine","given":"Sarah"},{"family":"Hartzema","given":"Abraham G."}],"issued":{"date-parts":[["2013",10]]}}}],"schema":"https://github.com/citation-style-language/schema/raw/master/csl-citation.json"} </w:instrText>
      </w:r>
      <w:r w:rsidR="00BC13E8" w:rsidRPr="002E496B">
        <w:rPr>
          <w:rFonts w:cs="Times New Roman"/>
          <w:sz w:val="22"/>
          <w:szCs w:val="22"/>
        </w:rPr>
        <w:fldChar w:fldCharType="separate"/>
      </w:r>
      <w:r w:rsidR="001D2130" w:rsidRPr="002E496B">
        <w:rPr>
          <w:rFonts w:cs="Times New Roman"/>
          <w:kern w:val="0"/>
          <w:sz w:val="22"/>
          <w:vertAlign w:val="superscript"/>
        </w:rPr>
        <w:t>12</w:t>
      </w:r>
      <w:r w:rsidR="00BC13E8" w:rsidRPr="002E496B">
        <w:rPr>
          <w:rFonts w:cs="Times New Roman"/>
          <w:sz w:val="22"/>
          <w:szCs w:val="22"/>
        </w:rPr>
        <w:fldChar w:fldCharType="end"/>
      </w:r>
      <w:r w:rsidRPr="002E496B">
        <w:rPr>
          <w:rFonts w:cs="Times New Roman"/>
          <w:sz w:val="22"/>
          <w:szCs w:val="22"/>
        </w:rPr>
        <w:t>. This dataset consists of 399 approved drugs (165 positives and 234 negatives) associated with four acute clinical outcomes: acute liver injury (ALI), acute kidney injury (AKI), acute myocardial infarction (AMI), and upper gastrointestinal bleeding (GI bleed).</w:t>
      </w:r>
    </w:p>
    <w:p w14:paraId="7EAD8AAA" w14:textId="0CFEE8AC" w:rsidR="002A07D2" w:rsidRPr="002E496B" w:rsidRDefault="007E483E" w:rsidP="002626C1">
      <w:pPr>
        <w:spacing w:line="480" w:lineRule="auto"/>
        <w:jc w:val="left"/>
        <w:rPr>
          <w:rFonts w:cs="Times New Roman"/>
          <w:sz w:val="22"/>
          <w:szCs w:val="22"/>
        </w:rPr>
      </w:pPr>
      <w:r w:rsidRPr="002E496B">
        <w:rPr>
          <w:rFonts w:cs="Times New Roman"/>
          <w:sz w:val="22"/>
          <w:szCs w:val="22"/>
        </w:rPr>
        <w:t>For each adverse event, independent QSAR models were constructed for compound sets classified as Pattern 1 (information convergence) and Pattern 2 (individual biology–driven risk)</w:t>
      </w:r>
      <w:r w:rsidR="000F0BB4" w:rsidRPr="002E496B">
        <w:rPr>
          <w:rFonts w:cs="Times New Roman"/>
          <w:sz w:val="22"/>
          <w:szCs w:val="22"/>
        </w:rPr>
        <w:t>, with performance benchmarked against size- and ratio-matched random subsets</w:t>
      </w:r>
      <w:r w:rsidRPr="002E496B">
        <w:rPr>
          <w:rFonts w:cs="Times New Roman"/>
          <w:sz w:val="22"/>
          <w:szCs w:val="22"/>
        </w:rPr>
        <w:t xml:space="preserve">. </w:t>
      </w:r>
      <w:r w:rsidR="00A030D0" w:rsidRPr="002E496B">
        <w:rPr>
          <w:rFonts w:cs="Times New Roman"/>
          <w:sz w:val="22"/>
          <w:szCs w:val="22"/>
        </w:rPr>
        <w:t>Pattern</w:t>
      </w:r>
      <w:r w:rsidR="005915D8" w:rsidRPr="002E496B">
        <w:rPr>
          <w:rFonts w:cs="Times New Roman"/>
          <w:sz w:val="22"/>
          <w:szCs w:val="22"/>
        </w:rPr>
        <w:t>s</w:t>
      </w:r>
      <w:r w:rsidR="00BB165C" w:rsidRPr="002E496B">
        <w:rPr>
          <w:rFonts w:cs="Times New Roman"/>
          <w:sz w:val="22"/>
          <w:szCs w:val="22"/>
        </w:rPr>
        <w:t xml:space="preserve"> </w:t>
      </w:r>
      <w:r w:rsidRPr="002E496B">
        <w:rPr>
          <w:rFonts w:eastAsia="游明朝" w:cs="Times New Roman"/>
          <w:sz w:val="22"/>
          <w:szCs w:val="22"/>
        </w:rPr>
        <w:t> 3 (</w:t>
      </w:r>
      <w:r w:rsidR="002D5F87" w:rsidRPr="002E496B">
        <w:rPr>
          <w:rFonts w:cs="Times New Roman"/>
          <w:sz w:val="22"/>
          <w:szCs w:val="22"/>
        </w:rPr>
        <w:t>t</w:t>
      </w:r>
      <w:r w:rsidR="00A030D0" w:rsidRPr="002E496B">
        <w:rPr>
          <w:rFonts w:cs="Times New Roman"/>
          <w:sz w:val="22"/>
          <w:szCs w:val="22"/>
        </w:rPr>
        <w:t>reatment environment)</w:t>
      </w:r>
      <w:r w:rsidR="005C73CC" w:rsidRPr="002E496B">
        <w:rPr>
          <w:rFonts w:cs="Times New Roman"/>
          <w:sz w:val="22"/>
          <w:szCs w:val="22"/>
        </w:rPr>
        <w:t xml:space="preserve"> and </w:t>
      </w:r>
      <w:r w:rsidR="00E7115C" w:rsidRPr="002E496B">
        <w:rPr>
          <w:rFonts w:cs="Times New Roman"/>
          <w:sz w:val="22"/>
          <w:szCs w:val="22"/>
        </w:rPr>
        <w:t>4 (</w:t>
      </w:r>
      <w:r w:rsidR="002D5F87" w:rsidRPr="002E496B">
        <w:rPr>
          <w:rFonts w:cs="Times New Roman"/>
          <w:sz w:val="22"/>
          <w:szCs w:val="22"/>
        </w:rPr>
        <w:t>h</w:t>
      </w:r>
      <w:r w:rsidR="00E7115C" w:rsidRPr="002E496B">
        <w:rPr>
          <w:rFonts w:cs="Times New Roman"/>
          <w:sz w:val="22"/>
          <w:szCs w:val="22"/>
        </w:rPr>
        <w:t>idden risk)</w:t>
      </w:r>
      <w:r w:rsidR="005C73CC" w:rsidRPr="002E496B">
        <w:rPr>
          <w:rFonts w:cs="Times New Roman"/>
          <w:sz w:val="22"/>
          <w:szCs w:val="22"/>
        </w:rPr>
        <w:t xml:space="preserve"> were not independently modeled because their small sample sizes limited the feasibility of </w:t>
      </w:r>
      <w:r w:rsidRPr="002E496B">
        <w:rPr>
          <w:rFonts w:eastAsia="游明朝" w:cs="Times New Roman"/>
          <w:sz w:val="22"/>
          <w:szCs w:val="22"/>
        </w:rPr>
        <w:t>the QSAR analysis.</w:t>
      </w:r>
      <w:r w:rsidR="005C73CC" w:rsidRPr="002E496B">
        <w:rPr>
          <w:rFonts w:cs="Times New Roman"/>
          <w:sz w:val="22"/>
          <w:szCs w:val="22"/>
        </w:rPr>
        <w:t xml:space="preserve"> </w:t>
      </w:r>
      <w:r w:rsidRPr="002E496B">
        <w:rPr>
          <w:rFonts w:cs="Times New Roman"/>
          <w:sz w:val="22"/>
          <w:szCs w:val="22"/>
        </w:rPr>
        <w:t>Two-dimensional molecular descriptors calculated using Mordred</w:t>
      </w:r>
      <w:r w:rsidRPr="002E496B">
        <w:rPr>
          <w:rFonts w:eastAsia="游明朝" w:cs="Times New Roman"/>
          <w:sz w:val="22"/>
          <w:szCs w:val="22"/>
        </w:rPr>
        <w:t>s were employed</w:t>
      </w:r>
      <w:r w:rsidRPr="002E496B">
        <w:rPr>
          <w:rFonts w:cs="Times New Roman"/>
          <w:sz w:val="22"/>
          <w:szCs w:val="22"/>
        </w:rPr>
        <w:t xml:space="preserve"> as explanatory variables consistent with those used in this analysis. Random Forest classifiers were used as the learning algorithm</w:t>
      </w:r>
      <w:r w:rsidRPr="002E496B">
        <w:rPr>
          <w:rFonts w:eastAsia="游明朝" w:cs="Times New Roman"/>
          <w:sz w:val="22"/>
          <w:szCs w:val="22"/>
        </w:rPr>
        <w:t>s</w:t>
      </w:r>
      <w:r w:rsidRPr="002E496B">
        <w:rPr>
          <w:rFonts w:cs="Times New Roman"/>
          <w:sz w:val="22"/>
          <w:szCs w:val="22"/>
        </w:rPr>
        <w:t xml:space="preserve"> with </w:t>
      </w:r>
      <w:r w:rsidR="00CA79FA" w:rsidRPr="002E496B">
        <w:rPr>
          <w:rFonts w:cs="Times New Roman"/>
          <w:sz w:val="22"/>
          <w:szCs w:val="22"/>
        </w:rPr>
        <w:lastRenderedPageBreak/>
        <w:t>a maximum tree depth of</w:t>
      </w:r>
      <w:r w:rsidRPr="002E496B">
        <w:rPr>
          <w:rFonts w:cs="Times New Roman"/>
          <w:sz w:val="22"/>
          <w:szCs w:val="22"/>
        </w:rPr>
        <w:t xml:space="preserve"> 8. Class weights were adjusted to account for class imbalance.</w:t>
      </w:r>
    </w:p>
    <w:p w14:paraId="3B81044E" w14:textId="6C23DD3D" w:rsidR="002A07D2" w:rsidRPr="002E496B" w:rsidRDefault="007E483E" w:rsidP="002626C1">
      <w:pPr>
        <w:spacing w:line="480" w:lineRule="auto"/>
        <w:jc w:val="left"/>
        <w:rPr>
          <w:rFonts w:cs="Times New Roman"/>
          <w:sz w:val="22"/>
          <w:szCs w:val="22"/>
        </w:rPr>
      </w:pPr>
      <w:r w:rsidRPr="002E496B">
        <w:rPr>
          <w:rFonts w:cs="Times New Roman"/>
          <w:sz w:val="22"/>
          <w:szCs w:val="22"/>
        </w:rPr>
        <w:t>The predictive performance was evaluated using stratified five-fold cross-validation</w:t>
      </w:r>
      <w:r w:rsidRPr="002E496B">
        <w:rPr>
          <w:rFonts w:eastAsia="游明朝" w:cs="Times New Roman"/>
          <w:sz w:val="22"/>
          <w:szCs w:val="22"/>
        </w:rPr>
        <w:t>, which was repeated five times, and the mean area under the receiver operating characteristic curve (AUC) was calculated for each condition. To assess whether the observed performance improvements were attributable to pattern-based stratification</w:t>
      </w:r>
      <w:r w:rsidRPr="002E496B">
        <w:rPr>
          <w:rFonts w:cs="Times New Roman"/>
          <w:sz w:val="22"/>
          <w:szCs w:val="22"/>
        </w:rPr>
        <w:t>, null distributions were constructed based on random sampling that ignored pattern information. Specifically, random compound sets preserving the original sample sizes and positive-to-negative ratios were generated and the same QSAR modeling procedure was applied.</w:t>
      </w:r>
    </w:p>
    <w:p w14:paraId="097DCFC2" w14:textId="7C4552F0" w:rsidR="002A07D2" w:rsidRPr="002E496B" w:rsidRDefault="007E483E" w:rsidP="002626C1">
      <w:pPr>
        <w:spacing w:line="480" w:lineRule="auto"/>
        <w:jc w:val="left"/>
        <w:rPr>
          <w:rFonts w:cs="Times New Roman"/>
          <w:sz w:val="22"/>
          <w:szCs w:val="22"/>
        </w:rPr>
      </w:pPr>
      <w:r w:rsidRPr="002E496B">
        <w:rPr>
          <w:rFonts w:cs="Times New Roman"/>
          <w:sz w:val="22"/>
          <w:szCs w:val="22"/>
        </w:rPr>
        <w:t xml:space="preserve">Differences in </w:t>
      </w:r>
      <w:r w:rsidRPr="002E496B">
        <w:rPr>
          <w:rFonts w:eastAsia="游明朝" w:cs="Times New Roman"/>
          <w:sz w:val="22"/>
          <w:szCs w:val="22"/>
        </w:rPr>
        <w:t xml:space="preserve">the </w:t>
      </w:r>
      <w:r w:rsidR="00852A94" w:rsidRPr="002E496B">
        <w:rPr>
          <w:rFonts w:cs="Times New Roman"/>
          <w:sz w:val="22"/>
          <w:szCs w:val="22"/>
        </w:rPr>
        <w:t>AUC</w:t>
      </w:r>
      <w:r w:rsidRPr="002E496B">
        <w:rPr>
          <w:rFonts w:cs="Times New Roman"/>
          <w:sz w:val="22"/>
          <w:szCs w:val="22"/>
        </w:rPr>
        <w:t xml:space="preserve"> between the pattern-stratified models and corresponding random baselines were evaluated using a randomization test with 999 iterations to estimate </w:t>
      </w:r>
      <w:r w:rsidRPr="002E496B">
        <w:rPr>
          <w:rFonts w:eastAsia="游明朝" w:cs="Times New Roman"/>
          <w:sz w:val="22"/>
          <w:szCs w:val="22"/>
        </w:rPr>
        <w:t>the empirical p-values. To account for multiple testing across patterns within each adverse event, p-values were adjusted using the Benjamini–Hochberg procedure. Given the exploratory nature of this analysis, a false discovery rate (q) threshold of 0.10 was adopted.</w:t>
      </w:r>
    </w:p>
    <w:p w14:paraId="3A9806F7" w14:textId="77777777" w:rsidR="002A07D2" w:rsidRPr="002E496B" w:rsidRDefault="002A07D2" w:rsidP="002626C1">
      <w:pPr>
        <w:spacing w:line="480" w:lineRule="auto"/>
        <w:jc w:val="left"/>
        <w:rPr>
          <w:rFonts w:cs="Times New Roman"/>
          <w:sz w:val="22"/>
          <w:szCs w:val="22"/>
        </w:rPr>
      </w:pPr>
    </w:p>
    <w:p w14:paraId="75500220" w14:textId="77777777" w:rsidR="002A07D2" w:rsidRPr="002E496B" w:rsidRDefault="007E483E" w:rsidP="002626C1">
      <w:pPr>
        <w:pStyle w:val="2"/>
        <w:spacing w:line="480" w:lineRule="auto"/>
        <w:jc w:val="left"/>
        <w:rPr>
          <w:rFonts w:ascii="Times New Roman" w:hAnsi="Times New Roman" w:cs="Times New Roman"/>
          <w:b/>
          <w:bCs/>
          <w:sz w:val="22"/>
          <w:szCs w:val="22"/>
        </w:rPr>
      </w:pPr>
      <w:r w:rsidRPr="002E496B">
        <w:rPr>
          <w:rFonts w:ascii="Times New Roman" w:hAnsi="Times New Roman" w:cs="Times New Roman"/>
          <w:b/>
          <w:bCs/>
          <w:sz w:val="22"/>
          <w:szCs w:val="22"/>
        </w:rPr>
        <w:t>Results and Discussion</w:t>
      </w:r>
    </w:p>
    <w:p w14:paraId="3F7E4E49" w14:textId="5BB3933E" w:rsidR="002A07D2" w:rsidRPr="002E496B" w:rsidRDefault="007E483E" w:rsidP="002626C1">
      <w:pPr>
        <w:spacing w:line="480" w:lineRule="auto"/>
        <w:jc w:val="left"/>
        <w:rPr>
          <w:rFonts w:cs="Times New Roman"/>
          <w:sz w:val="22"/>
          <w:szCs w:val="22"/>
        </w:rPr>
      </w:pPr>
      <w:r w:rsidRPr="002E496B">
        <w:rPr>
          <w:rFonts w:cs="Times New Roman"/>
          <w:sz w:val="22"/>
          <w:szCs w:val="22"/>
        </w:rPr>
        <w:t xml:space="preserve">When the predictive performance (AUC) of </w:t>
      </w:r>
      <w:r w:rsidRPr="002E496B">
        <w:rPr>
          <w:rFonts w:eastAsia="游明朝" w:cs="Times New Roman"/>
          <w:sz w:val="22"/>
          <w:szCs w:val="22"/>
        </w:rPr>
        <w:t xml:space="preserve">the QSAR models trained on pattern-stratified compound sets was compared with the null distributions derived from random sampling of equal size, significant improvements in classification performance were observed for three of </w:t>
      </w:r>
      <w:r w:rsidRPr="002E496B">
        <w:rPr>
          <w:rFonts w:eastAsia="游明朝" w:cs="Times New Roman"/>
          <w:sz w:val="22"/>
          <w:szCs w:val="22"/>
        </w:rPr>
        <w:lastRenderedPageBreak/>
        <w:t>the four adverse events examined (</w:t>
      </w:r>
      <w:r w:rsidR="0063479B" w:rsidRPr="002E496B">
        <w:rPr>
          <w:rFonts w:cs="Times New Roman"/>
          <w:sz w:val="22"/>
          <w:szCs w:val="22"/>
        </w:rPr>
        <w:t xml:space="preserve">Supplementary Table </w:t>
      </w:r>
      <w:r w:rsidR="00B9084F" w:rsidRPr="002E496B">
        <w:rPr>
          <w:rFonts w:cs="Times New Roman" w:hint="eastAsia"/>
          <w:sz w:val="22"/>
          <w:szCs w:val="22"/>
        </w:rPr>
        <w:t>7</w:t>
      </w:r>
      <w:r w:rsidRPr="002E496B">
        <w:rPr>
          <w:rFonts w:cs="Times New Roman"/>
          <w:sz w:val="22"/>
          <w:szCs w:val="22"/>
        </w:rPr>
        <w:t>).</w:t>
      </w:r>
    </w:p>
    <w:p w14:paraId="436B7E66" w14:textId="46797D06" w:rsidR="002A07D2" w:rsidRPr="002E496B" w:rsidRDefault="007E483E" w:rsidP="002626C1">
      <w:pPr>
        <w:spacing w:line="480" w:lineRule="auto"/>
        <w:jc w:val="left"/>
        <w:rPr>
          <w:rFonts w:cs="Times New Roman"/>
          <w:sz w:val="22"/>
          <w:szCs w:val="22"/>
        </w:rPr>
      </w:pPr>
      <w:r w:rsidRPr="002E496B">
        <w:rPr>
          <w:rFonts w:cs="Times New Roman"/>
          <w:sz w:val="22"/>
          <w:szCs w:val="22"/>
        </w:rPr>
        <w:t>Specifically, for AKI and AMI, compounds classified as Pattern 1 showed higher predictive performance, with mean AUC values of 0.92 (Δ = 0.17) and 0.</w:t>
      </w:r>
      <w:r w:rsidR="00942636" w:rsidRPr="002E496B">
        <w:rPr>
          <w:rFonts w:cs="Times New Roman"/>
          <w:sz w:val="22"/>
          <w:szCs w:val="22"/>
        </w:rPr>
        <w:t xml:space="preserve">77 </w:t>
      </w:r>
      <w:r w:rsidRPr="002E496B">
        <w:rPr>
          <w:rFonts w:cs="Times New Roman"/>
          <w:sz w:val="22"/>
          <w:szCs w:val="22"/>
        </w:rPr>
        <w:t>(Δ = 0.</w:t>
      </w:r>
      <w:r w:rsidR="00942636" w:rsidRPr="002E496B">
        <w:rPr>
          <w:rFonts w:cs="Times New Roman"/>
          <w:sz w:val="22"/>
          <w:szCs w:val="22"/>
        </w:rPr>
        <w:t>25</w:t>
      </w:r>
      <w:r w:rsidRPr="002E496B">
        <w:rPr>
          <w:rFonts w:cs="Times New Roman"/>
          <w:sz w:val="22"/>
          <w:szCs w:val="22"/>
        </w:rPr>
        <w:t>), respectively. In contrast, for GI bleeding, the highest predictive performance was observed for compounds classified as Pattern 2, with a mean AUC of 0.</w:t>
      </w:r>
      <w:r w:rsidR="00942636" w:rsidRPr="002E496B">
        <w:rPr>
          <w:rFonts w:cs="Times New Roman"/>
          <w:sz w:val="22"/>
          <w:szCs w:val="22"/>
        </w:rPr>
        <w:t xml:space="preserve">91 </w:t>
      </w:r>
      <w:r w:rsidRPr="002E496B">
        <w:rPr>
          <w:rFonts w:cs="Times New Roman"/>
          <w:sz w:val="22"/>
          <w:szCs w:val="22"/>
        </w:rPr>
        <w:t>(Δ = 0.22).</w:t>
      </w:r>
    </w:p>
    <w:p w14:paraId="70B115E9" w14:textId="7726A777" w:rsidR="002A07D2" w:rsidRPr="002E496B" w:rsidRDefault="007E483E" w:rsidP="002626C1">
      <w:pPr>
        <w:spacing w:line="480" w:lineRule="auto"/>
        <w:jc w:val="left"/>
        <w:rPr>
          <w:rFonts w:cs="Times New Roman"/>
          <w:sz w:val="22"/>
          <w:szCs w:val="22"/>
        </w:rPr>
      </w:pPr>
      <w:r w:rsidRPr="002E496B">
        <w:rPr>
          <w:rFonts w:cs="Times New Roman"/>
          <w:sz w:val="22"/>
          <w:szCs w:val="22"/>
        </w:rPr>
        <w:t>For these three conditions (AKI Pattern 1, AMI Pattern 1, and GI bleed</w:t>
      </w:r>
      <w:r w:rsidRPr="002E496B">
        <w:rPr>
          <w:rFonts w:eastAsia="游明朝" w:cs="Times New Roman"/>
          <w:sz w:val="22"/>
          <w:szCs w:val="22"/>
        </w:rPr>
        <w:t xml:space="preserve">ing </w:t>
      </w:r>
      <w:r w:rsidRPr="002E496B">
        <w:rPr>
          <w:rFonts w:cs="Times New Roman"/>
          <w:sz w:val="22"/>
          <w:szCs w:val="22"/>
        </w:rPr>
        <w:t xml:space="preserve">pattern 2), </w:t>
      </w:r>
      <w:r w:rsidRPr="002E496B">
        <w:rPr>
          <w:rFonts w:eastAsia="游明朝" w:cs="Times New Roman"/>
          <w:sz w:val="22"/>
          <w:szCs w:val="22"/>
        </w:rPr>
        <w:t>the unadjusted p-values were approximately 0.03, and the corresponding Benjamini–Hochberg–adjusted q-values were 0.</w:t>
      </w:r>
      <w:r w:rsidR="008B6B24" w:rsidRPr="002E496B">
        <w:rPr>
          <w:rFonts w:cs="Times New Roman"/>
          <w:sz w:val="22"/>
          <w:szCs w:val="22"/>
        </w:rPr>
        <w:t>09</w:t>
      </w:r>
      <w:r w:rsidRPr="002E496B">
        <w:rPr>
          <w:rFonts w:cs="Times New Roman"/>
          <w:sz w:val="22"/>
          <w:szCs w:val="22"/>
        </w:rPr>
        <w:t>. All values were below the predefined exploratory significance threshold (q &lt; 0.10), indicating that QSAR models trained on selected safety-pattern–stratified compound sets tended to achieve improved predictive performance compared with models trained without stratification.</w:t>
      </w:r>
    </w:p>
    <w:p w14:paraId="787A70FE" w14:textId="3343BF7F" w:rsidR="002A07D2" w:rsidRPr="002E496B" w:rsidRDefault="007E483E" w:rsidP="002626C1">
      <w:pPr>
        <w:spacing w:line="480" w:lineRule="auto"/>
        <w:jc w:val="left"/>
        <w:rPr>
          <w:rFonts w:cs="Times New Roman"/>
          <w:sz w:val="22"/>
          <w:szCs w:val="22"/>
        </w:rPr>
      </w:pPr>
      <w:r w:rsidRPr="002E496B">
        <w:rPr>
          <w:rFonts w:cs="Times New Roman"/>
          <w:sz w:val="22"/>
          <w:szCs w:val="22"/>
        </w:rPr>
        <w:t xml:space="preserve">The observed increase in AUC following pattern-based stratification suggests that separating drugs according to shared safety characteristics may reduce noise arising from a mixture of heterogeneous mechanisms of action and toxicity, thereby improving </w:t>
      </w:r>
      <w:r w:rsidRPr="002E496B">
        <w:rPr>
          <w:rFonts w:eastAsia="游明朝" w:cs="Times New Roman"/>
          <w:sz w:val="22"/>
          <w:szCs w:val="22"/>
        </w:rPr>
        <w:t xml:space="preserve">the QSAR model performance. In particular, the strong performance observed for </w:t>
      </w:r>
      <w:r w:rsidRPr="002E496B">
        <w:rPr>
          <w:rFonts w:cs="Times New Roman"/>
          <w:sz w:val="22"/>
          <w:szCs w:val="22"/>
        </w:rPr>
        <w:t xml:space="preserve">pattern 1 compounds </w:t>
      </w:r>
      <w:r w:rsidRPr="002E496B">
        <w:rPr>
          <w:rFonts w:eastAsia="游明朝" w:cs="Times New Roman"/>
          <w:sz w:val="22"/>
          <w:szCs w:val="22"/>
        </w:rPr>
        <w:t xml:space="preserve">against AKI and AMI supports the hypothesis that these drug groups share relatively consistent structural features </w:t>
      </w:r>
      <w:r w:rsidRPr="002E496B">
        <w:rPr>
          <w:rFonts w:cs="Times New Roman"/>
          <w:sz w:val="22"/>
          <w:szCs w:val="22"/>
        </w:rPr>
        <w:t xml:space="preserve">and physicochemical properties associated with their toxicity profiles. These characteristics may be useful in identifying high-risk compounds in </w:t>
      </w:r>
      <w:r w:rsidRPr="002E496B">
        <w:rPr>
          <w:rFonts w:eastAsia="游明朝" w:cs="Times New Roman"/>
          <w:sz w:val="22"/>
          <w:szCs w:val="22"/>
        </w:rPr>
        <w:t xml:space="preserve">the early stages of drug </w:t>
      </w:r>
      <w:r w:rsidRPr="002E496B">
        <w:rPr>
          <w:rFonts w:eastAsia="游明朝" w:cs="Times New Roman"/>
          <w:sz w:val="22"/>
          <w:szCs w:val="22"/>
        </w:rPr>
        <w:lastRenderedPageBreak/>
        <w:t>discovery.</w:t>
      </w:r>
    </w:p>
    <w:p w14:paraId="1D8A7DBF" w14:textId="36D7B2EF" w:rsidR="002A07D2" w:rsidRPr="002E496B" w:rsidRDefault="007E483E" w:rsidP="002626C1">
      <w:pPr>
        <w:spacing w:line="480" w:lineRule="auto"/>
        <w:jc w:val="left"/>
        <w:rPr>
          <w:rFonts w:cs="Times New Roman"/>
          <w:sz w:val="22"/>
          <w:szCs w:val="22"/>
        </w:rPr>
      </w:pPr>
      <w:r w:rsidRPr="002E496B">
        <w:rPr>
          <w:rFonts w:cs="Times New Roman"/>
          <w:sz w:val="22"/>
          <w:szCs w:val="22"/>
        </w:rPr>
        <w:t xml:space="preserve">In contrast, for GI bleeding, a marked improvement in predictive performance was observed only for compounds classified as pattern 2. Although GI bleeding is generally considered a clinically heterogeneous outcome and </w:t>
      </w:r>
      <w:r w:rsidRPr="002E496B">
        <w:rPr>
          <w:rFonts w:eastAsia="游明朝" w:cs="Times New Roman"/>
          <w:sz w:val="22"/>
          <w:szCs w:val="22"/>
        </w:rPr>
        <w:t>is difficult to predict</w:t>
      </w:r>
      <w:r w:rsidRPr="002E496B">
        <w:rPr>
          <w:rFonts w:cs="Times New Roman"/>
          <w:sz w:val="22"/>
          <w:szCs w:val="22"/>
        </w:rPr>
        <w:t>, this result suggests that within specific subsets of drugs associated with individual biology–driven risk</w:t>
      </w:r>
      <w:r w:rsidRPr="002E496B">
        <w:rPr>
          <w:rFonts w:eastAsia="游明朝" w:cs="Times New Roman"/>
          <w:sz w:val="22"/>
          <w:szCs w:val="22"/>
        </w:rPr>
        <w:t xml:space="preserve">s, common structural features reflecting more predictable biological pathways may remain detectable. This finding highlights the importance of evaluating the effectiveness of stratification on an </w:t>
      </w:r>
      <w:r w:rsidRPr="002E496B">
        <w:rPr>
          <w:rFonts w:cs="Times New Roman"/>
          <w:sz w:val="22"/>
          <w:szCs w:val="22"/>
        </w:rPr>
        <w:t>AE-specific basis.</w:t>
      </w:r>
    </w:p>
    <w:p w14:paraId="4EFA381A" w14:textId="1B42D9F4" w:rsidR="002A07D2" w:rsidRPr="002E496B" w:rsidRDefault="007E483E" w:rsidP="002626C1">
      <w:pPr>
        <w:spacing w:line="480" w:lineRule="auto"/>
        <w:jc w:val="left"/>
        <w:rPr>
          <w:rFonts w:cs="Times New Roman"/>
          <w:sz w:val="22"/>
          <w:szCs w:val="22"/>
        </w:rPr>
      </w:pPr>
      <w:r w:rsidRPr="002E496B">
        <w:rPr>
          <w:rFonts w:cs="Times New Roman"/>
          <w:sz w:val="22"/>
          <w:szCs w:val="22"/>
        </w:rPr>
        <w:t>In comparison, no significant improvement in predictive performance was observed for acute liver injury (ALI) in either pattern. This may reflect the complex and multifactorial nature of ALI, which may not have been adequately captured by a single pattern-based stratification scheme. Addition</w:t>
      </w:r>
      <w:r w:rsidRPr="002E496B">
        <w:rPr>
          <w:rFonts w:eastAsia="游明朝" w:cs="Times New Roman"/>
          <w:sz w:val="22"/>
          <w:szCs w:val="22"/>
        </w:rPr>
        <w:t xml:space="preserve">ally, the </w:t>
      </w:r>
      <w:r w:rsidRPr="002E496B">
        <w:rPr>
          <w:rFonts w:cs="Times New Roman"/>
          <w:sz w:val="22"/>
          <w:szCs w:val="22"/>
        </w:rPr>
        <w:t>relatively limited sample size available for this outcome may have resulted in insufficient statistical power to detect subtle effects.</w:t>
      </w:r>
    </w:p>
    <w:p w14:paraId="5B3E7BE1" w14:textId="6AC559C1" w:rsidR="00385A49" w:rsidRPr="002E496B" w:rsidRDefault="007E483E" w:rsidP="002626C1">
      <w:pPr>
        <w:spacing w:line="480" w:lineRule="auto"/>
        <w:jc w:val="left"/>
        <w:rPr>
          <w:rFonts w:cs="Times New Roman"/>
          <w:sz w:val="22"/>
          <w:szCs w:val="22"/>
        </w:rPr>
      </w:pPr>
      <w:r w:rsidRPr="002E496B">
        <w:rPr>
          <w:rFonts w:cs="Times New Roman"/>
          <w:sz w:val="22"/>
          <w:szCs w:val="22"/>
        </w:rPr>
        <w:t xml:space="preserve">Nevertheless, the observation that pattern-based stratification improved </w:t>
      </w:r>
      <w:r w:rsidRPr="002E496B">
        <w:rPr>
          <w:rFonts w:eastAsia="游明朝" w:cs="Times New Roman"/>
          <w:sz w:val="22"/>
          <w:szCs w:val="22"/>
        </w:rPr>
        <w:t>the predictive performance for three of the four major adverse events examined supports the utility of the proposed safety-pattern framework. By focusing on groups of compounds with shared safety characteristics, this approach may enable the construction of more robust and interpretable QSAR models</w:t>
      </w:r>
      <w:r w:rsidR="008A0E99" w:rsidRPr="002E496B">
        <w:rPr>
          <w:rFonts w:eastAsia="游明朝" w:cs="Times New Roman"/>
          <w:sz w:val="22"/>
          <w:szCs w:val="22"/>
        </w:rPr>
        <w:t>,</w:t>
      </w:r>
      <w:r w:rsidRPr="002E496B">
        <w:rPr>
          <w:rFonts w:eastAsia="游明朝" w:cs="Times New Roman"/>
          <w:sz w:val="22"/>
          <w:szCs w:val="22"/>
        </w:rPr>
        <w:t xml:space="preserve"> and providing a </w:t>
      </w:r>
      <w:r w:rsidRPr="002E496B">
        <w:rPr>
          <w:rFonts w:cs="Times New Roman"/>
          <w:sz w:val="22"/>
          <w:szCs w:val="22"/>
        </w:rPr>
        <w:t>foundation for more precise toxicity assessment</w:t>
      </w:r>
      <w:r w:rsidRPr="002E496B">
        <w:rPr>
          <w:rFonts w:eastAsia="游明朝" w:cs="Times New Roman"/>
          <w:sz w:val="22"/>
          <w:szCs w:val="22"/>
        </w:rPr>
        <w:t>s.</w:t>
      </w:r>
    </w:p>
    <w:p w14:paraId="487CF9FC" w14:textId="40F2CBAB" w:rsidR="002216A7" w:rsidRPr="002E496B" w:rsidRDefault="007E483E" w:rsidP="002626C1">
      <w:pPr>
        <w:widowControl/>
        <w:spacing w:line="480" w:lineRule="auto"/>
        <w:jc w:val="left"/>
        <w:rPr>
          <w:rFonts w:cs="Times New Roman"/>
          <w:sz w:val="22"/>
          <w:szCs w:val="22"/>
        </w:rPr>
      </w:pPr>
      <w:r w:rsidRPr="002E496B">
        <w:rPr>
          <w:rFonts w:cs="Times New Roman"/>
          <w:sz w:val="22"/>
          <w:szCs w:val="22"/>
        </w:rPr>
        <w:lastRenderedPageBreak/>
        <w:br w:type="page"/>
      </w:r>
    </w:p>
    <w:p w14:paraId="3D7C2C73" w14:textId="2A6E59A0" w:rsidR="00C52B88" w:rsidRPr="002E496B" w:rsidRDefault="007E483E" w:rsidP="002626C1">
      <w:pPr>
        <w:spacing w:line="480" w:lineRule="auto"/>
        <w:jc w:val="left"/>
        <w:rPr>
          <w:rFonts w:cs="Times New Roman"/>
          <w:sz w:val="22"/>
          <w:szCs w:val="22"/>
        </w:rPr>
      </w:pPr>
      <w:r w:rsidRPr="002E496B">
        <w:rPr>
          <w:rFonts w:cs="Times New Roman"/>
          <w:b/>
          <w:bCs/>
          <w:sz w:val="22"/>
          <w:szCs w:val="22"/>
        </w:rPr>
        <w:lastRenderedPageBreak/>
        <w:t xml:space="preserve">Supplementary </w:t>
      </w:r>
      <w:r w:rsidR="00580A90" w:rsidRPr="002E496B">
        <w:rPr>
          <w:rFonts w:cs="Times New Roman"/>
          <w:b/>
          <w:bCs/>
          <w:sz w:val="22"/>
          <w:szCs w:val="22"/>
        </w:rPr>
        <w:t xml:space="preserve">Table </w:t>
      </w:r>
      <w:r w:rsidR="00B9084F" w:rsidRPr="002E496B">
        <w:rPr>
          <w:rFonts w:cs="Times New Roman" w:hint="eastAsia"/>
          <w:b/>
          <w:bCs/>
          <w:sz w:val="22"/>
          <w:szCs w:val="22"/>
        </w:rPr>
        <w:t>7</w:t>
      </w:r>
      <w:r w:rsidR="00580A90" w:rsidRPr="002E496B">
        <w:rPr>
          <w:rFonts w:cs="Times New Roman"/>
          <w:b/>
          <w:bCs/>
          <w:sz w:val="22"/>
          <w:szCs w:val="22"/>
        </w:rPr>
        <w:t>.</w:t>
      </w:r>
      <w:r w:rsidR="00580A90" w:rsidRPr="002E496B">
        <w:rPr>
          <w:rFonts w:cs="Times New Roman"/>
          <w:sz w:val="22"/>
          <w:szCs w:val="22"/>
        </w:rPr>
        <w:t xml:space="preserve"> QSAR performance in pattern-stratified subsets and matched random baselines.</w:t>
      </w:r>
    </w:p>
    <w:tbl>
      <w:tblPr>
        <w:tblW w:w="9899" w:type="dxa"/>
        <w:tblInd w:w="-118" w:type="dxa"/>
        <w:tblLayout w:type="fixed"/>
        <w:tblLook w:val="0000" w:firstRow="0" w:lastRow="0" w:firstColumn="0" w:lastColumn="0" w:noHBand="0" w:noVBand="0"/>
      </w:tblPr>
      <w:tblGrid>
        <w:gridCol w:w="1111"/>
        <w:gridCol w:w="1134"/>
        <w:gridCol w:w="992"/>
        <w:gridCol w:w="567"/>
        <w:gridCol w:w="567"/>
        <w:gridCol w:w="1134"/>
        <w:gridCol w:w="992"/>
        <w:gridCol w:w="851"/>
        <w:gridCol w:w="1134"/>
        <w:gridCol w:w="1417"/>
      </w:tblGrid>
      <w:tr w:rsidR="0010735D" w:rsidRPr="002E496B" w14:paraId="078DA20D" w14:textId="77777777" w:rsidTr="000B1E8B">
        <w:trPr>
          <w:trHeight w:val="1045"/>
        </w:trPr>
        <w:tc>
          <w:tcPr>
            <w:tcW w:w="1111" w:type="dxa"/>
            <w:tcBorders>
              <w:top w:val="single" w:sz="4" w:space="0" w:color="auto"/>
              <w:bottom w:val="single" w:sz="4" w:space="0" w:color="auto"/>
            </w:tcBorders>
            <w:vAlign w:val="center"/>
          </w:tcPr>
          <w:p w14:paraId="6852EB07" w14:textId="77777777"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Algorithm</w:t>
            </w:r>
          </w:p>
        </w:tc>
        <w:tc>
          <w:tcPr>
            <w:tcW w:w="1134" w:type="dxa"/>
            <w:tcBorders>
              <w:top w:val="single" w:sz="4" w:space="0" w:color="auto"/>
              <w:bottom w:val="single" w:sz="4" w:space="0" w:color="auto"/>
            </w:tcBorders>
            <w:vAlign w:val="center"/>
          </w:tcPr>
          <w:p w14:paraId="500F4C93" w14:textId="77777777"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Outcome</w:t>
            </w:r>
          </w:p>
        </w:tc>
        <w:tc>
          <w:tcPr>
            <w:tcW w:w="992" w:type="dxa"/>
            <w:tcBorders>
              <w:top w:val="single" w:sz="4" w:space="0" w:color="auto"/>
              <w:bottom w:val="single" w:sz="4" w:space="0" w:color="auto"/>
            </w:tcBorders>
            <w:vAlign w:val="center"/>
          </w:tcPr>
          <w:p w14:paraId="75F985DB" w14:textId="77777777"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Pattern</w:t>
            </w:r>
          </w:p>
        </w:tc>
        <w:tc>
          <w:tcPr>
            <w:tcW w:w="567" w:type="dxa"/>
            <w:tcBorders>
              <w:top w:val="single" w:sz="4" w:space="0" w:color="auto"/>
              <w:bottom w:val="single" w:sz="4" w:space="0" w:color="auto"/>
            </w:tcBorders>
            <w:vAlign w:val="center"/>
          </w:tcPr>
          <w:p w14:paraId="2B4A0501" w14:textId="100D3056" w:rsidR="00C52B88" w:rsidRPr="002E496B" w:rsidRDefault="007E483E" w:rsidP="002626C1">
            <w:pPr>
              <w:autoSpaceDE w:val="0"/>
              <w:autoSpaceDN w:val="0"/>
              <w:adjustRightInd w:val="0"/>
              <w:spacing w:line="480" w:lineRule="auto"/>
              <w:jc w:val="left"/>
              <w:rPr>
                <w:rFonts w:cs="Times New Roman"/>
                <w:kern w:val="0"/>
                <w:sz w:val="20"/>
                <w:szCs w:val="20"/>
              </w:rPr>
            </w:pPr>
            <w:r w:rsidRPr="002E496B">
              <w:rPr>
                <w:rFonts w:cs="Times New Roman"/>
                <w:b/>
                <w:bCs/>
                <w:kern w:val="0"/>
                <w:sz w:val="20"/>
                <w:szCs w:val="20"/>
              </w:rPr>
              <w:t>N</w:t>
            </w:r>
            <w:r w:rsidR="003D714F" w:rsidRPr="002E496B">
              <w:rPr>
                <w:rFonts w:cs="Times New Roman"/>
                <w:b/>
                <w:bCs/>
                <w:kern w:val="0"/>
                <w:sz w:val="20"/>
                <w:szCs w:val="20"/>
                <w:vertAlign w:val="superscript"/>
              </w:rPr>
              <w:t>a</w:t>
            </w:r>
          </w:p>
        </w:tc>
        <w:tc>
          <w:tcPr>
            <w:tcW w:w="567" w:type="dxa"/>
            <w:tcBorders>
              <w:top w:val="single" w:sz="4" w:space="0" w:color="auto"/>
              <w:bottom w:val="single" w:sz="4" w:space="0" w:color="auto"/>
            </w:tcBorders>
            <w:vAlign w:val="center"/>
          </w:tcPr>
          <w:p w14:paraId="3561D03B" w14:textId="377126B8"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n</w:t>
            </w:r>
            <w:r w:rsidRPr="002E496B">
              <w:rPr>
                <w:rFonts w:cs="Times New Roman"/>
                <w:b/>
                <w:bCs/>
                <w:kern w:val="0"/>
                <w:sz w:val="20"/>
                <w:szCs w:val="20"/>
                <w:vertAlign w:val="subscript"/>
              </w:rPr>
              <w:t>pos</w:t>
            </w:r>
          </w:p>
        </w:tc>
        <w:tc>
          <w:tcPr>
            <w:tcW w:w="1134" w:type="dxa"/>
            <w:tcBorders>
              <w:top w:val="single" w:sz="4" w:space="0" w:color="auto"/>
              <w:bottom w:val="single" w:sz="4" w:space="0" w:color="auto"/>
            </w:tcBorders>
            <w:vAlign w:val="center"/>
          </w:tcPr>
          <w:p w14:paraId="047E3C68" w14:textId="77777777"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Observed AUC</w:t>
            </w:r>
          </w:p>
        </w:tc>
        <w:tc>
          <w:tcPr>
            <w:tcW w:w="992" w:type="dxa"/>
            <w:tcBorders>
              <w:top w:val="single" w:sz="4" w:space="0" w:color="auto"/>
              <w:bottom w:val="single" w:sz="4" w:space="0" w:color="auto"/>
            </w:tcBorders>
            <w:vAlign w:val="center"/>
          </w:tcPr>
          <w:p w14:paraId="79E01481" w14:textId="00E5F893"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 xml:space="preserve">Random-baseline AUC </w:t>
            </w:r>
          </w:p>
        </w:tc>
        <w:tc>
          <w:tcPr>
            <w:tcW w:w="851" w:type="dxa"/>
            <w:tcBorders>
              <w:top w:val="single" w:sz="4" w:space="0" w:color="auto"/>
              <w:bottom w:val="single" w:sz="4" w:space="0" w:color="auto"/>
            </w:tcBorders>
            <w:vAlign w:val="center"/>
          </w:tcPr>
          <w:p w14:paraId="449413DD" w14:textId="77777777" w:rsidR="00C52B88" w:rsidRPr="002E496B" w:rsidRDefault="007E483E" w:rsidP="002626C1">
            <w:pPr>
              <w:autoSpaceDE w:val="0"/>
              <w:autoSpaceDN w:val="0"/>
              <w:adjustRightInd w:val="0"/>
              <w:spacing w:line="480" w:lineRule="auto"/>
              <w:jc w:val="left"/>
              <w:rPr>
                <w:rFonts w:cs="Times New Roman"/>
                <w:b/>
                <w:bCs/>
                <w:kern w:val="0"/>
                <w:sz w:val="20"/>
                <w:szCs w:val="20"/>
              </w:rPr>
            </w:pPr>
            <w:r w:rsidRPr="002E496B">
              <w:rPr>
                <w:rFonts w:cs="Times New Roman"/>
                <w:b/>
                <w:bCs/>
                <w:kern w:val="0"/>
                <w:sz w:val="20"/>
                <w:szCs w:val="20"/>
              </w:rPr>
              <w:t>Δ AUC</w:t>
            </w:r>
          </w:p>
        </w:tc>
        <w:tc>
          <w:tcPr>
            <w:tcW w:w="1134" w:type="dxa"/>
            <w:tcBorders>
              <w:top w:val="single" w:sz="4" w:space="0" w:color="auto"/>
              <w:bottom w:val="single" w:sz="4" w:space="0" w:color="auto"/>
            </w:tcBorders>
            <w:vAlign w:val="center"/>
          </w:tcPr>
          <w:p w14:paraId="44448897" w14:textId="468CFF23" w:rsidR="00C52B88" w:rsidRPr="002E496B" w:rsidRDefault="007E483E" w:rsidP="002626C1">
            <w:pPr>
              <w:autoSpaceDE w:val="0"/>
              <w:autoSpaceDN w:val="0"/>
              <w:adjustRightInd w:val="0"/>
              <w:spacing w:line="480" w:lineRule="auto"/>
              <w:jc w:val="left"/>
              <w:rPr>
                <w:rFonts w:cs="Times New Roman"/>
                <w:kern w:val="0"/>
                <w:sz w:val="20"/>
                <w:szCs w:val="20"/>
              </w:rPr>
            </w:pPr>
            <w:r w:rsidRPr="002E496B">
              <w:rPr>
                <w:rFonts w:cs="Times New Roman"/>
                <w:b/>
                <w:bCs/>
                <w:kern w:val="0"/>
                <w:sz w:val="20"/>
                <w:szCs w:val="20"/>
              </w:rPr>
              <w:t>Empirical</w:t>
            </w:r>
            <w:r w:rsidR="005F2720" w:rsidRPr="002E496B">
              <w:rPr>
                <w:rFonts w:cs="Times New Roman"/>
                <w:kern w:val="0"/>
                <w:sz w:val="20"/>
                <w:szCs w:val="20"/>
              </w:rPr>
              <w:t xml:space="preserve"> </w:t>
            </w:r>
            <w:r w:rsidRPr="002E496B">
              <w:rPr>
                <w:rFonts w:cs="Times New Roman"/>
                <w:b/>
                <w:bCs/>
                <w:kern w:val="0"/>
                <w:sz w:val="20"/>
                <w:szCs w:val="20"/>
              </w:rPr>
              <w:t>p</w:t>
            </w:r>
            <w:r w:rsidR="00F5609C" w:rsidRPr="002E496B">
              <w:rPr>
                <w:rFonts w:cs="Times New Roman"/>
                <w:b/>
                <w:bCs/>
                <w:kern w:val="0"/>
                <w:sz w:val="20"/>
                <w:szCs w:val="20"/>
              </w:rPr>
              <w:t>-</w:t>
            </w:r>
            <w:r w:rsidRPr="002E496B">
              <w:rPr>
                <w:rFonts w:cs="Times New Roman"/>
                <w:b/>
                <w:bCs/>
                <w:kern w:val="0"/>
                <w:sz w:val="20"/>
                <w:szCs w:val="20"/>
              </w:rPr>
              <w:t>value</w:t>
            </w:r>
          </w:p>
        </w:tc>
        <w:tc>
          <w:tcPr>
            <w:tcW w:w="1417" w:type="dxa"/>
            <w:tcBorders>
              <w:top w:val="single" w:sz="4" w:space="0" w:color="auto"/>
              <w:bottom w:val="single" w:sz="4" w:space="0" w:color="auto"/>
            </w:tcBorders>
            <w:vAlign w:val="center"/>
          </w:tcPr>
          <w:p w14:paraId="3059FEB8" w14:textId="09F6F67D" w:rsidR="00C52B88" w:rsidRPr="002E496B" w:rsidRDefault="007E483E" w:rsidP="002626C1">
            <w:pPr>
              <w:autoSpaceDE w:val="0"/>
              <w:autoSpaceDN w:val="0"/>
              <w:adjustRightInd w:val="0"/>
              <w:spacing w:line="480" w:lineRule="auto"/>
              <w:jc w:val="left"/>
              <w:rPr>
                <w:rFonts w:cs="Times New Roman"/>
                <w:kern w:val="0"/>
                <w:sz w:val="20"/>
                <w:szCs w:val="20"/>
              </w:rPr>
            </w:pPr>
            <w:r w:rsidRPr="002E496B">
              <w:rPr>
                <w:rFonts w:cs="Times New Roman"/>
                <w:b/>
                <w:bCs/>
                <w:kern w:val="0"/>
                <w:sz w:val="20"/>
                <w:szCs w:val="20"/>
              </w:rPr>
              <w:t>BH-adjusted</w:t>
            </w:r>
            <w:r w:rsidR="005F2720" w:rsidRPr="002E496B">
              <w:rPr>
                <w:rFonts w:cs="Times New Roman"/>
                <w:kern w:val="0"/>
                <w:sz w:val="20"/>
                <w:szCs w:val="20"/>
              </w:rPr>
              <w:t xml:space="preserve"> </w:t>
            </w:r>
            <w:r w:rsidRPr="002E496B">
              <w:rPr>
                <w:rFonts w:cs="Times New Roman"/>
                <w:b/>
                <w:bCs/>
                <w:kern w:val="0"/>
                <w:sz w:val="20"/>
                <w:szCs w:val="20"/>
              </w:rPr>
              <w:t>q</w:t>
            </w:r>
            <w:r w:rsidR="00F5609C" w:rsidRPr="002E496B">
              <w:rPr>
                <w:rFonts w:cs="Times New Roman"/>
                <w:b/>
                <w:bCs/>
                <w:kern w:val="0"/>
                <w:sz w:val="20"/>
                <w:szCs w:val="20"/>
              </w:rPr>
              <w:t>-</w:t>
            </w:r>
            <w:r w:rsidRPr="002E496B">
              <w:rPr>
                <w:rFonts w:cs="Times New Roman"/>
                <w:b/>
                <w:bCs/>
                <w:kern w:val="0"/>
                <w:sz w:val="20"/>
                <w:szCs w:val="20"/>
              </w:rPr>
              <w:t>value</w:t>
            </w:r>
          </w:p>
        </w:tc>
      </w:tr>
      <w:tr w:rsidR="0010735D" w:rsidRPr="002E496B" w14:paraId="1DE0F8F9" w14:textId="77777777" w:rsidTr="00CB26C6">
        <w:trPr>
          <w:trHeight w:val="568"/>
        </w:trPr>
        <w:tc>
          <w:tcPr>
            <w:tcW w:w="1111" w:type="dxa"/>
            <w:tcBorders>
              <w:top w:val="single" w:sz="4" w:space="0" w:color="auto"/>
            </w:tcBorders>
            <w:vAlign w:val="center"/>
          </w:tcPr>
          <w:p w14:paraId="5F8E91F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tcBorders>
              <w:top w:val="single" w:sz="4" w:space="0" w:color="auto"/>
            </w:tcBorders>
            <w:vAlign w:val="center"/>
          </w:tcPr>
          <w:p w14:paraId="7B82378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Acute kidney injury</w:t>
            </w:r>
          </w:p>
        </w:tc>
        <w:tc>
          <w:tcPr>
            <w:tcW w:w="992" w:type="dxa"/>
            <w:tcBorders>
              <w:top w:val="single" w:sz="4" w:space="0" w:color="auto"/>
            </w:tcBorders>
            <w:vAlign w:val="center"/>
          </w:tcPr>
          <w:p w14:paraId="4D99E40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1</w:t>
            </w:r>
          </w:p>
        </w:tc>
        <w:tc>
          <w:tcPr>
            <w:tcW w:w="567" w:type="dxa"/>
            <w:tcBorders>
              <w:top w:val="single" w:sz="4" w:space="0" w:color="auto"/>
            </w:tcBorders>
            <w:vAlign w:val="center"/>
          </w:tcPr>
          <w:p w14:paraId="23CCD4A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29</w:t>
            </w:r>
          </w:p>
        </w:tc>
        <w:tc>
          <w:tcPr>
            <w:tcW w:w="567" w:type="dxa"/>
            <w:tcBorders>
              <w:top w:val="single" w:sz="4" w:space="0" w:color="auto"/>
            </w:tcBorders>
            <w:vAlign w:val="center"/>
          </w:tcPr>
          <w:p w14:paraId="0406DFC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8</w:t>
            </w:r>
          </w:p>
        </w:tc>
        <w:tc>
          <w:tcPr>
            <w:tcW w:w="1134" w:type="dxa"/>
            <w:tcBorders>
              <w:top w:val="single" w:sz="4" w:space="0" w:color="auto"/>
            </w:tcBorders>
            <w:vAlign w:val="center"/>
          </w:tcPr>
          <w:p w14:paraId="16C4090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0.9235</w:t>
            </w:r>
          </w:p>
        </w:tc>
        <w:tc>
          <w:tcPr>
            <w:tcW w:w="992" w:type="dxa"/>
            <w:tcBorders>
              <w:top w:val="single" w:sz="4" w:space="0" w:color="auto"/>
            </w:tcBorders>
            <w:vAlign w:val="center"/>
          </w:tcPr>
          <w:p w14:paraId="799BE1D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0.7489</w:t>
            </w:r>
          </w:p>
        </w:tc>
        <w:tc>
          <w:tcPr>
            <w:tcW w:w="851" w:type="dxa"/>
            <w:tcBorders>
              <w:top w:val="single" w:sz="4" w:space="0" w:color="auto"/>
            </w:tcBorders>
            <w:vAlign w:val="center"/>
          </w:tcPr>
          <w:p w14:paraId="6C33855D"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0.1746</w:t>
            </w:r>
          </w:p>
        </w:tc>
        <w:tc>
          <w:tcPr>
            <w:tcW w:w="1134" w:type="dxa"/>
            <w:tcBorders>
              <w:top w:val="single" w:sz="4" w:space="0" w:color="auto"/>
            </w:tcBorders>
            <w:vAlign w:val="center"/>
          </w:tcPr>
          <w:p w14:paraId="0F902AA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0.032</w:t>
            </w:r>
          </w:p>
        </w:tc>
        <w:tc>
          <w:tcPr>
            <w:tcW w:w="1417" w:type="dxa"/>
            <w:tcBorders>
              <w:top w:val="single" w:sz="4" w:space="0" w:color="auto"/>
            </w:tcBorders>
            <w:vAlign w:val="center"/>
          </w:tcPr>
          <w:p w14:paraId="28C16233"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0.088</w:t>
            </w:r>
          </w:p>
        </w:tc>
      </w:tr>
      <w:tr w:rsidR="0010735D" w:rsidRPr="002E496B" w14:paraId="6A6A72B5" w14:textId="77777777" w:rsidTr="00CB26C6">
        <w:trPr>
          <w:trHeight w:val="568"/>
        </w:trPr>
        <w:tc>
          <w:tcPr>
            <w:tcW w:w="1111" w:type="dxa"/>
            <w:vAlign w:val="center"/>
          </w:tcPr>
          <w:p w14:paraId="5ABC360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vAlign w:val="center"/>
          </w:tcPr>
          <w:p w14:paraId="0170C47F"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Acute kidney injury</w:t>
            </w:r>
          </w:p>
        </w:tc>
        <w:tc>
          <w:tcPr>
            <w:tcW w:w="992" w:type="dxa"/>
            <w:vAlign w:val="center"/>
          </w:tcPr>
          <w:p w14:paraId="5E2EE07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2</w:t>
            </w:r>
          </w:p>
        </w:tc>
        <w:tc>
          <w:tcPr>
            <w:tcW w:w="567" w:type="dxa"/>
            <w:vAlign w:val="center"/>
          </w:tcPr>
          <w:p w14:paraId="476685D5"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32</w:t>
            </w:r>
          </w:p>
        </w:tc>
        <w:tc>
          <w:tcPr>
            <w:tcW w:w="567" w:type="dxa"/>
            <w:vAlign w:val="center"/>
          </w:tcPr>
          <w:p w14:paraId="432915B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9</w:t>
            </w:r>
          </w:p>
        </w:tc>
        <w:tc>
          <w:tcPr>
            <w:tcW w:w="1134" w:type="dxa"/>
            <w:vAlign w:val="center"/>
          </w:tcPr>
          <w:p w14:paraId="1A3214E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0.6565</w:t>
            </w:r>
          </w:p>
        </w:tc>
        <w:tc>
          <w:tcPr>
            <w:tcW w:w="992" w:type="dxa"/>
            <w:vAlign w:val="center"/>
          </w:tcPr>
          <w:p w14:paraId="0E59719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0.7619</w:t>
            </w:r>
          </w:p>
        </w:tc>
        <w:tc>
          <w:tcPr>
            <w:tcW w:w="851" w:type="dxa"/>
            <w:vAlign w:val="center"/>
          </w:tcPr>
          <w:p w14:paraId="1868394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-0.1054</w:t>
            </w:r>
          </w:p>
        </w:tc>
        <w:tc>
          <w:tcPr>
            <w:tcW w:w="1134" w:type="dxa"/>
            <w:vAlign w:val="center"/>
          </w:tcPr>
          <w:p w14:paraId="716A16D5"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0.891</w:t>
            </w:r>
          </w:p>
        </w:tc>
        <w:tc>
          <w:tcPr>
            <w:tcW w:w="1417" w:type="dxa"/>
            <w:vAlign w:val="center"/>
          </w:tcPr>
          <w:p w14:paraId="0DFAD28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1.000</w:t>
            </w:r>
          </w:p>
        </w:tc>
      </w:tr>
      <w:tr w:rsidR="0010735D" w:rsidRPr="002E496B" w14:paraId="3B47B824" w14:textId="77777777" w:rsidTr="00CB26C6">
        <w:trPr>
          <w:trHeight w:val="568"/>
        </w:trPr>
        <w:tc>
          <w:tcPr>
            <w:tcW w:w="1111" w:type="dxa"/>
            <w:vAlign w:val="center"/>
          </w:tcPr>
          <w:p w14:paraId="10BF6D69"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vAlign w:val="center"/>
          </w:tcPr>
          <w:p w14:paraId="1AD51EF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Acute liver injury</w:t>
            </w:r>
          </w:p>
        </w:tc>
        <w:tc>
          <w:tcPr>
            <w:tcW w:w="992" w:type="dxa"/>
            <w:vAlign w:val="center"/>
          </w:tcPr>
          <w:p w14:paraId="7D1126E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1</w:t>
            </w:r>
          </w:p>
        </w:tc>
        <w:tc>
          <w:tcPr>
            <w:tcW w:w="567" w:type="dxa"/>
            <w:vAlign w:val="center"/>
          </w:tcPr>
          <w:p w14:paraId="160DF82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41</w:t>
            </w:r>
          </w:p>
        </w:tc>
        <w:tc>
          <w:tcPr>
            <w:tcW w:w="567" w:type="dxa"/>
            <w:vAlign w:val="center"/>
          </w:tcPr>
          <w:p w14:paraId="30F4FB35"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30</w:t>
            </w:r>
          </w:p>
        </w:tc>
        <w:tc>
          <w:tcPr>
            <w:tcW w:w="1134" w:type="dxa"/>
            <w:vAlign w:val="center"/>
          </w:tcPr>
          <w:p w14:paraId="4155E55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0.6150</w:t>
            </w:r>
          </w:p>
        </w:tc>
        <w:tc>
          <w:tcPr>
            <w:tcW w:w="992" w:type="dxa"/>
            <w:vAlign w:val="center"/>
          </w:tcPr>
          <w:p w14:paraId="174C003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0.6404</w:t>
            </w:r>
          </w:p>
        </w:tc>
        <w:tc>
          <w:tcPr>
            <w:tcW w:w="851" w:type="dxa"/>
            <w:vAlign w:val="center"/>
          </w:tcPr>
          <w:p w14:paraId="59B10E0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-0.0254</w:t>
            </w:r>
          </w:p>
        </w:tc>
        <w:tc>
          <w:tcPr>
            <w:tcW w:w="1134" w:type="dxa"/>
            <w:vAlign w:val="center"/>
          </w:tcPr>
          <w:p w14:paraId="787315E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0.610</w:t>
            </w:r>
          </w:p>
        </w:tc>
        <w:tc>
          <w:tcPr>
            <w:tcW w:w="1417" w:type="dxa"/>
            <w:vAlign w:val="center"/>
          </w:tcPr>
          <w:p w14:paraId="721C1B1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0.8307</w:t>
            </w:r>
          </w:p>
        </w:tc>
      </w:tr>
      <w:tr w:rsidR="0010735D" w:rsidRPr="002E496B" w14:paraId="05939B3F" w14:textId="77777777" w:rsidTr="00CB26C6">
        <w:trPr>
          <w:trHeight w:val="568"/>
        </w:trPr>
        <w:tc>
          <w:tcPr>
            <w:tcW w:w="1111" w:type="dxa"/>
            <w:vAlign w:val="center"/>
          </w:tcPr>
          <w:p w14:paraId="497009E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vAlign w:val="center"/>
          </w:tcPr>
          <w:p w14:paraId="6A37DD8B"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Acute liver injury</w:t>
            </w:r>
          </w:p>
        </w:tc>
        <w:tc>
          <w:tcPr>
            <w:tcW w:w="992" w:type="dxa"/>
            <w:vAlign w:val="center"/>
          </w:tcPr>
          <w:p w14:paraId="7C3B1168"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2</w:t>
            </w:r>
          </w:p>
        </w:tc>
        <w:tc>
          <w:tcPr>
            <w:tcW w:w="567" w:type="dxa"/>
            <w:vAlign w:val="center"/>
          </w:tcPr>
          <w:p w14:paraId="0117C2E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39</w:t>
            </w:r>
          </w:p>
        </w:tc>
        <w:tc>
          <w:tcPr>
            <w:tcW w:w="567" w:type="dxa"/>
            <w:vAlign w:val="center"/>
          </w:tcPr>
          <w:p w14:paraId="079D2F5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31</w:t>
            </w:r>
          </w:p>
        </w:tc>
        <w:tc>
          <w:tcPr>
            <w:tcW w:w="1134" w:type="dxa"/>
            <w:vAlign w:val="center"/>
          </w:tcPr>
          <w:p w14:paraId="342E46D8"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0.1264</w:t>
            </w:r>
          </w:p>
        </w:tc>
        <w:tc>
          <w:tcPr>
            <w:tcW w:w="992" w:type="dxa"/>
            <w:vAlign w:val="center"/>
          </w:tcPr>
          <w:p w14:paraId="6E60A5D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0.6310</w:t>
            </w:r>
          </w:p>
        </w:tc>
        <w:tc>
          <w:tcPr>
            <w:tcW w:w="851" w:type="dxa"/>
            <w:vAlign w:val="center"/>
          </w:tcPr>
          <w:p w14:paraId="0CC6473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-0.5046</w:t>
            </w:r>
          </w:p>
        </w:tc>
        <w:tc>
          <w:tcPr>
            <w:tcW w:w="1134" w:type="dxa"/>
            <w:vAlign w:val="center"/>
          </w:tcPr>
          <w:p w14:paraId="2DA6C3A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1.000</w:t>
            </w:r>
          </w:p>
        </w:tc>
        <w:tc>
          <w:tcPr>
            <w:tcW w:w="1417" w:type="dxa"/>
            <w:vAlign w:val="center"/>
          </w:tcPr>
          <w:p w14:paraId="71AC99C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1.000</w:t>
            </w:r>
          </w:p>
        </w:tc>
      </w:tr>
      <w:tr w:rsidR="0010735D" w:rsidRPr="002E496B" w14:paraId="6698880A" w14:textId="77777777" w:rsidTr="00CB26C6">
        <w:trPr>
          <w:trHeight w:val="568"/>
        </w:trPr>
        <w:tc>
          <w:tcPr>
            <w:tcW w:w="1111" w:type="dxa"/>
            <w:vAlign w:val="center"/>
          </w:tcPr>
          <w:p w14:paraId="0AB7656E"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 xml:space="preserve">Random </w:t>
            </w:r>
            <w:r w:rsidRPr="002E496B">
              <w:rPr>
                <w:rFonts w:cs="Times New Roman"/>
                <w:kern w:val="0"/>
                <w:sz w:val="22"/>
                <w:szCs w:val="22"/>
              </w:rPr>
              <w:lastRenderedPageBreak/>
              <w:t>forest</w:t>
            </w:r>
          </w:p>
        </w:tc>
        <w:tc>
          <w:tcPr>
            <w:tcW w:w="1134" w:type="dxa"/>
            <w:vAlign w:val="center"/>
          </w:tcPr>
          <w:p w14:paraId="38BAE083"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lastRenderedPageBreak/>
              <w:t xml:space="preserve">Acute </w:t>
            </w:r>
            <w:r w:rsidRPr="002E496B">
              <w:rPr>
                <w:rFonts w:cs="Times New Roman"/>
                <w:kern w:val="0"/>
                <w:sz w:val="22"/>
                <w:szCs w:val="22"/>
              </w:rPr>
              <w:lastRenderedPageBreak/>
              <w:t>myocardial infarction</w:t>
            </w:r>
          </w:p>
        </w:tc>
        <w:tc>
          <w:tcPr>
            <w:tcW w:w="992" w:type="dxa"/>
            <w:vAlign w:val="center"/>
          </w:tcPr>
          <w:p w14:paraId="7443DA3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lastRenderedPageBreak/>
              <w:t xml:space="preserve">Pattern </w:t>
            </w:r>
            <w:r w:rsidRPr="002E496B">
              <w:rPr>
                <w:rFonts w:cs="Times New Roman"/>
                <w:kern w:val="0"/>
                <w:sz w:val="22"/>
                <w:szCs w:val="22"/>
              </w:rPr>
              <w:lastRenderedPageBreak/>
              <w:t>1</w:t>
            </w:r>
          </w:p>
        </w:tc>
        <w:tc>
          <w:tcPr>
            <w:tcW w:w="567" w:type="dxa"/>
            <w:vAlign w:val="center"/>
          </w:tcPr>
          <w:p w14:paraId="6A17DEB3"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lastRenderedPageBreak/>
              <w:t>31</w:t>
            </w:r>
          </w:p>
        </w:tc>
        <w:tc>
          <w:tcPr>
            <w:tcW w:w="567" w:type="dxa"/>
            <w:vAlign w:val="center"/>
          </w:tcPr>
          <w:p w14:paraId="30C76DFE"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11</w:t>
            </w:r>
          </w:p>
        </w:tc>
        <w:tc>
          <w:tcPr>
            <w:tcW w:w="1134" w:type="dxa"/>
            <w:vAlign w:val="center"/>
          </w:tcPr>
          <w:p w14:paraId="6DD37180"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0.7667</w:t>
            </w:r>
          </w:p>
        </w:tc>
        <w:tc>
          <w:tcPr>
            <w:tcW w:w="992" w:type="dxa"/>
            <w:vAlign w:val="center"/>
          </w:tcPr>
          <w:p w14:paraId="63B63F99"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0.5202</w:t>
            </w:r>
          </w:p>
        </w:tc>
        <w:tc>
          <w:tcPr>
            <w:tcW w:w="851" w:type="dxa"/>
            <w:vAlign w:val="center"/>
          </w:tcPr>
          <w:p w14:paraId="61B2B369"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0.2465</w:t>
            </w:r>
          </w:p>
        </w:tc>
        <w:tc>
          <w:tcPr>
            <w:tcW w:w="1134" w:type="dxa"/>
            <w:vAlign w:val="center"/>
          </w:tcPr>
          <w:p w14:paraId="1F99B36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0.031</w:t>
            </w:r>
          </w:p>
        </w:tc>
        <w:tc>
          <w:tcPr>
            <w:tcW w:w="1417" w:type="dxa"/>
            <w:vAlign w:val="center"/>
          </w:tcPr>
          <w:p w14:paraId="6683BA8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0.088</w:t>
            </w:r>
          </w:p>
        </w:tc>
      </w:tr>
      <w:tr w:rsidR="0010735D" w:rsidRPr="002E496B" w14:paraId="479DAE9C" w14:textId="77777777" w:rsidTr="00CB26C6">
        <w:trPr>
          <w:trHeight w:val="568"/>
        </w:trPr>
        <w:tc>
          <w:tcPr>
            <w:tcW w:w="1111" w:type="dxa"/>
            <w:vAlign w:val="center"/>
          </w:tcPr>
          <w:p w14:paraId="04A7D92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vAlign w:val="center"/>
          </w:tcPr>
          <w:p w14:paraId="364267C3"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Acute myocardial infarction</w:t>
            </w:r>
          </w:p>
        </w:tc>
        <w:tc>
          <w:tcPr>
            <w:tcW w:w="992" w:type="dxa"/>
            <w:vAlign w:val="center"/>
          </w:tcPr>
          <w:p w14:paraId="2C937F54"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2</w:t>
            </w:r>
          </w:p>
        </w:tc>
        <w:tc>
          <w:tcPr>
            <w:tcW w:w="567" w:type="dxa"/>
            <w:vAlign w:val="center"/>
          </w:tcPr>
          <w:p w14:paraId="31888B0A"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35</w:t>
            </w:r>
          </w:p>
        </w:tc>
        <w:tc>
          <w:tcPr>
            <w:tcW w:w="567" w:type="dxa"/>
            <w:vAlign w:val="center"/>
          </w:tcPr>
          <w:p w14:paraId="5E4ACA1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15</w:t>
            </w:r>
          </w:p>
        </w:tc>
        <w:tc>
          <w:tcPr>
            <w:tcW w:w="1134" w:type="dxa"/>
            <w:vAlign w:val="center"/>
          </w:tcPr>
          <w:p w14:paraId="76378475"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0.5500</w:t>
            </w:r>
          </w:p>
        </w:tc>
        <w:tc>
          <w:tcPr>
            <w:tcW w:w="992" w:type="dxa"/>
            <w:vAlign w:val="center"/>
          </w:tcPr>
          <w:p w14:paraId="4AE16DDF"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0.5413</w:t>
            </w:r>
          </w:p>
        </w:tc>
        <w:tc>
          <w:tcPr>
            <w:tcW w:w="851" w:type="dxa"/>
            <w:vAlign w:val="center"/>
          </w:tcPr>
          <w:p w14:paraId="4540D71B"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0.0087</w:t>
            </w:r>
          </w:p>
        </w:tc>
        <w:tc>
          <w:tcPr>
            <w:tcW w:w="1134" w:type="dxa"/>
            <w:vAlign w:val="center"/>
          </w:tcPr>
          <w:p w14:paraId="6389118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0.466</w:t>
            </w:r>
          </w:p>
        </w:tc>
        <w:tc>
          <w:tcPr>
            <w:tcW w:w="1417" w:type="dxa"/>
            <w:vAlign w:val="center"/>
          </w:tcPr>
          <w:p w14:paraId="1C7174E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0.8307</w:t>
            </w:r>
          </w:p>
        </w:tc>
      </w:tr>
      <w:tr w:rsidR="0010735D" w:rsidRPr="002E496B" w14:paraId="27728A16" w14:textId="77777777" w:rsidTr="00CB26C6">
        <w:trPr>
          <w:trHeight w:val="568"/>
        </w:trPr>
        <w:tc>
          <w:tcPr>
            <w:tcW w:w="1111" w:type="dxa"/>
            <w:vAlign w:val="center"/>
          </w:tcPr>
          <w:p w14:paraId="07406C78"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vAlign w:val="center"/>
          </w:tcPr>
          <w:p w14:paraId="4D8DEA3F"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Upper gastrointestinal bleeding</w:t>
            </w:r>
          </w:p>
        </w:tc>
        <w:tc>
          <w:tcPr>
            <w:tcW w:w="992" w:type="dxa"/>
            <w:vAlign w:val="center"/>
          </w:tcPr>
          <w:p w14:paraId="586044A2"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1</w:t>
            </w:r>
          </w:p>
        </w:tc>
        <w:tc>
          <w:tcPr>
            <w:tcW w:w="567" w:type="dxa"/>
            <w:vAlign w:val="center"/>
          </w:tcPr>
          <w:p w14:paraId="0035DB3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34</w:t>
            </w:r>
          </w:p>
        </w:tc>
        <w:tc>
          <w:tcPr>
            <w:tcW w:w="567" w:type="dxa"/>
            <w:vAlign w:val="center"/>
          </w:tcPr>
          <w:p w14:paraId="2D2770B9"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9</w:t>
            </w:r>
          </w:p>
        </w:tc>
        <w:tc>
          <w:tcPr>
            <w:tcW w:w="1134" w:type="dxa"/>
            <w:vAlign w:val="center"/>
          </w:tcPr>
          <w:p w14:paraId="5D1C355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0.6580</w:t>
            </w:r>
          </w:p>
        </w:tc>
        <w:tc>
          <w:tcPr>
            <w:tcW w:w="992" w:type="dxa"/>
            <w:vAlign w:val="center"/>
          </w:tcPr>
          <w:p w14:paraId="1E36FB1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0.6909</w:t>
            </w:r>
          </w:p>
        </w:tc>
        <w:tc>
          <w:tcPr>
            <w:tcW w:w="851" w:type="dxa"/>
            <w:vAlign w:val="center"/>
          </w:tcPr>
          <w:p w14:paraId="3E4B4279"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-0.0329</w:t>
            </w:r>
          </w:p>
        </w:tc>
        <w:tc>
          <w:tcPr>
            <w:tcW w:w="1134" w:type="dxa"/>
            <w:vAlign w:val="center"/>
          </w:tcPr>
          <w:p w14:paraId="684200BC"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0.623</w:t>
            </w:r>
          </w:p>
        </w:tc>
        <w:tc>
          <w:tcPr>
            <w:tcW w:w="1417" w:type="dxa"/>
            <w:vAlign w:val="center"/>
          </w:tcPr>
          <w:p w14:paraId="472311E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0.8307</w:t>
            </w:r>
          </w:p>
        </w:tc>
      </w:tr>
      <w:tr w:rsidR="0010735D" w:rsidRPr="002E496B" w14:paraId="5A1DBA3D" w14:textId="77777777" w:rsidTr="00CB26C6">
        <w:trPr>
          <w:trHeight w:val="568"/>
        </w:trPr>
        <w:tc>
          <w:tcPr>
            <w:tcW w:w="1111" w:type="dxa"/>
            <w:tcBorders>
              <w:bottom w:val="single" w:sz="4" w:space="0" w:color="auto"/>
            </w:tcBorders>
            <w:vAlign w:val="center"/>
          </w:tcPr>
          <w:p w14:paraId="70282630"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Random forest</w:t>
            </w:r>
          </w:p>
        </w:tc>
        <w:tc>
          <w:tcPr>
            <w:tcW w:w="1134" w:type="dxa"/>
            <w:tcBorders>
              <w:bottom w:val="single" w:sz="4" w:space="0" w:color="auto"/>
            </w:tcBorders>
            <w:vAlign w:val="center"/>
          </w:tcPr>
          <w:p w14:paraId="4F4DE21E"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Upper gastrointestinal bleeding</w:t>
            </w:r>
          </w:p>
        </w:tc>
        <w:tc>
          <w:tcPr>
            <w:tcW w:w="992" w:type="dxa"/>
            <w:tcBorders>
              <w:bottom w:val="single" w:sz="4" w:space="0" w:color="auto"/>
            </w:tcBorders>
            <w:vAlign w:val="center"/>
          </w:tcPr>
          <w:p w14:paraId="79E87B47"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Pattern 2</w:t>
            </w:r>
          </w:p>
        </w:tc>
        <w:tc>
          <w:tcPr>
            <w:tcW w:w="567" w:type="dxa"/>
            <w:tcBorders>
              <w:bottom w:val="single" w:sz="4" w:space="0" w:color="auto"/>
            </w:tcBorders>
            <w:vAlign w:val="center"/>
          </w:tcPr>
          <w:p w14:paraId="66CE3F96"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26</w:t>
            </w:r>
          </w:p>
        </w:tc>
        <w:tc>
          <w:tcPr>
            <w:tcW w:w="567" w:type="dxa"/>
            <w:tcBorders>
              <w:bottom w:val="single" w:sz="4" w:space="0" w:color="auto"/>
            </w:tcBorders>
            <w:vAlign w:val="center"/>
          </w:tcPr>
          <w:p w14:paraId="116A53CF"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9</w:t>
            </w:r>
          </w:p>
        </w:tc>
        <w:tc>
          <w:tcPr>
            <w:tcW w:w="1134" w:type="dxa"/>
            <w:tcBorders>
              <w:bottom w:val="single" w:sz="4" w:space="0" w:color="auto"/>
            </w:tcBorders>
            <w:vAlign w:val="center"/>
          </w:tcPr>
          <w:p w14:paraId="371DD868"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0.9083</w:t>
            </w:r>
          </w:p>
        </w:tc>
        <w:tc>
          <w:tcPr>
            <w:tcW w:w="992" w:type="dxa"/>
            <w:tcBorders>
              <w:bottom w:val="single" w:sz="4" w:space="0" w:color="auto"/>
            </w:tcBorders>
            <w:vAlign w:val="center"/>
          </w:tcPr>
          <w:p w14:paraId="0F03EE11"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0.6844</w:t>
            </w:r>
          </w:p>
        </w:tc>
        <w:tc>
          <w:tcPr>
            <w:tcW w:w="851" w:type="dxa"/>
            <w:tcBorders>
              <w:bottom w:val="single" w:sz="4" w:space="0" w:color="auto"/>
            </w:tcBorders>
            <w:vAlign w:val="center"/>
          </w:tcPr>
          <w:p w14:paraId="24D0C550"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0.2239</w:t>
            </w:r>
          </w:p>
        </w:tc>
        <w:tc>
          <w:tcPr>
            <w:tcW w:w="1134" w:type="dxa"/>
            <w:tcBorders>
              <w:bottom w:val="single" w:sz="4" w:space="0" w:color="auto"/>
            </w:tcBorders>
            <w:vAlign w:val="center"/>
          </w:tcPr>
          <w:p w14:paraId="782E5E4F"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0.033</w:t>
            </w:r>
          </w:p>
        </w:tc>
        <w:tc>
          <w:tcPr>
            <w:tcW w:w="1417" w:type="dxa"/>
            <w:tcBorders>
              <w:bottom w:val="single" w:sz="4" w:space="0" w:color="auto"/>
            </w:tcBorders>
            <w:vAlign w:val="center"/>
          </w:tcPr>
          <w:p w14:paraId="25E4EB25" w14:textId="77777777" w:rsidR="00C52B88" w:rsidRPr="002E496B" w:rsidRDefault="007E483E" w:rsidP="002626C1">
            <w:pPr>
              <w:autoSpaceDE w:val="0"/>
              <w:autoSpaceDN w:val="0"/>
              <w:adjustRightInd w:val="0"/>
              <w:spacing w:line="480" w:lineRule="auto"/>
              <w:jc w:val="left"/>
              <w:rPr>
                <w:rFonts w:cs="Times New Roman"/>
                <w:kern w:val="0"/>
                <w:sz w:val="22"/>
                <w:szCs w:val="22"/>
              </w:rPr>
            </w:pPr>
            <w:r w:rsidRPr="002E496B">
              <w:rPr>
                <w:rFonts w:cs="Times New Roman"/>
                <w:kern w:val="0"/>
                <w:sz w:val="22"/>
                <w:szCs w:val="22"/>
              </w:rPr>
              <w:t>0.088</w:t>
            </w:r>
          </w:p>
        </w:tc>
      </w:tr>
    </w:tbl>
    <w:p w14:paraId="7487B438" w14:textId="280F4496" w:rsidR="00C52B88" w:rsidRPr="002E496B" w:rsidRDefault="007E483E" w:rsidP="002626C1">
      <w:pPr>
        <w:spacing w:line="480" w:lineRule="auto"/>
        <w:jc w:val="left"/>
        <w:rPr>
          <w:rFonts w:cs="Times New Roman"/>
          <w:sz w:val="22"/>
          <w:szCs w:val="22"/>
        </w:rPr>
      </w:pPr>
      <w:r w:rsidRPr="002E496B">
        <w:rPr>
          <w:rFonts w:cs="Times New Roman"/>
          <w:sz w:val="22"/>
          <w:szCs w:val="22"/>
          <w:vertAlign w:val="superscript"/>
        </w:rPr>
        <w:t>a</w:t>
      </w:r>
      <w:r w:rsidR="003D714F" w:rsidRPr="002E496B">
        <w:rPr>
          <w:rFonts w:cs="Times New Roman"/>
          <w:i/>
          <w:iCs/>
          <w:sz w:val="22"/>
          <w:szCs w:val="22"/>
        </w:rPr>
        <w:t>N</w:t>
      </w:r>
      <w:r w:rsidR="003D714F" w:rsidRPr="002E496B">
        <w:rPr>
          <w:rFonts w:cs="Times New Roman"/>
          <w:sz w:val="22"/>
          <w:szCs w:val="22"/>
        </w:rPr>
        <w:t xml:space="preserve"> denotes the number of compounds in each pattern-defined subset and </w:t>
      </w:r>
      <w:r w:rsidR="003D714F" w:rsidRPr="002E496B">
        <w:rPr>
          <w:rFonts w:cs="Times New Roman"/>
          <w:i/>
          <w:iCs/>
          <w:sz w:val="22"/>
          <w:szCs w:val="22"/>
        </w:rPr>
        <w:t>n</w:t>
      </w:r>
      <w:r w:rsidR="003D714F" w:rsidRPr="002E496B">
        <w:rPr>
          <w:rFonts w:cs="Times New Roman"/>
          <w:i/>
          <w:iCs/>
          <w:sz w:val="22"/>
          <w:szCs w:val="22"/>
          <w:vertAlign w:val="subscript"/>
        </w:rPr>
        <w:t>pos</w:t>
      </w:r>
      <w:r w:rsidR="00B11A28" w:rsidRPr="002E496B">
        <w:rPr>
          <w:rFonts w:cs="Times New Roman"/>
          <w:sz w:val="22"/>
          <w:szCs w:val="22"/>
        </w:rPr>
        <w:t xml:space="preserve"> </w:t>
      </w:r>
      <w:r w:rsidR="003D714F" w:rsidRPr="002E496B">
        <w:rPr>
          <w:rFonts w:cs="Times New Roman"/>
          <w:sz w:val="22"/>
          <w:szCs w:val="22"/>
        </w:rPr>
        <w:t xml:space="preserve">denotes the number of positive compounds. “Random-baseline AUC (pooled)” indicates the mean AUC from randomly sampled compound sets matched for </w:t>
      </w:r>
      <w:r w:rsidR="003D714F" w:rsidRPr="002E496B">
        <w:rPr>
          <w:rFonts w:cs="Times New Roman"/>
          <w:i/>
          <w:iCs/>
          <w:sz w:val="22"/>
          <w:szCs w:val="22"/>
        </w:rPr>
        <w:t>N</w:t>
      </w:r>
      <w:r w:rsidR="003D714F" w:rsidRPr="002E496B">
        <w:rPr>
          <w:rFonts w:cs="Times New Roman"/>
          <w:sz w:val="22"/>
          <w:szCs w:val="22"/>
        </w:rPr>
        <w:t xml:space="preserve"> and class balance.</w:t>
      </w:r>
      <w:r w:rsidR="003D714F" w:rsidRPr="002E496B">
        <w:rPr>
          <w:rFonts w:cs="Times New Roman"/>
          <w:i/>
          <w:iCs/>
          <w:sz w:val="22"/>
          <w:szCs w:val="22"/>
        </w:rPr>
        <w:t>Δ</w:t>
      </w:r>
      <w:r w:rsidR="003D714F" w:rsidRPr="002E496B">
        <w:rPr>
          <w:rFonts w:cs="Times New Roman"/>
          <w:sz w:val="22"/>
          <w:szCs w:val="22"/>
        </w:rPr>
        <w:t xml:space="preserve">AUC was calculated as </w:t>
      </w:r>
      <w:r w:rsidR="003D714F" w:rsidRPr="002E496B">
        <w:rPr>
          <w:rFonts w:cs="Times New Roman"/>
          <w:sz w:val="22"/>
          <w:szCs w:val="22"/>
        </w:rPr>
        <w:lastRenderedPageBreak/>
        <w:t>observed AUC minus pooled random-baseline AUC. Empirical</w:t>
      </w:r>
      <w:r w:rsidR="008B50EE" w:rsidRPr="002E496B">
        <w:rPr>
          <w:rFonts w:cs="Times New Roman"/>
          <w:sz w:val="22"/>
          <w:szCs w:val="22"/>
        </w:rPr>
        <w:t xml:space="preserve"> </w:t>
      </w:r>
      <w:r w:rsidR="003D714F" w:rsidRPr="002E496B">
        <w:rPr>
          <w:rFonts w:cs="Times New Roman"/>
          <w:sz w:val="22"/>
          <w:szCs w:val="22"/>
        </w:rPr>
        <w:t>p</w:t>
      </w:r>
      <w:r w:rsidR="008B50EE" w:rsidRPr="002E496B">
        <w:rPr>
          <w:rFonts w:cs="Times New Roman"/>
          <w:sz w:val="22"/>
          <w:szCs w:val="22"/>
        </w:rPr>
        <w:t>-</w:t>
      </w:r>
      <w:r w:rsidR="003D714F" w:rsidRPr="002E496B">
        <w:rPr>
          <w:rFonts w:cs="Times New Roman"/>
          <w:sz w:val="22"/>
          <w:szCs w:val="22"/>
        </w:rPr>
        <w:t>values were obtained from a permutation test with 999 iterations, and q</w:t>
      </w:r>
      <w:r w:rsidR="008B50EE" w:rsidRPr="002E496B">
        <w:rPr>
          <w:rFonts w:cs="Times New Roman"/>
          <w:sz w:val="22"/>
          <w:szCs w:val="22"/>
        </w:rPr>
        <w:t>-</w:t>
      </w:r>
      <w:r w:rsidR="003D714F" w:rsidRPr="002E496B">
        <w:rPr>
          <w:rFonts w:cs="Times New Roman"/>
          <w:sz w:val="22"/>
          <w:szCs w:val="22"/>
        </w:rPr>
        <w:t>values were adjusted using the Benjamini–Hochberg procedure.</w:t>
      </w:r>
    </w:p>
    <w:p w14:paraId="6CC7094E" w14:textId="77777777" w:rsidR="00413771" w:rsidRPr="002E496B" w:rsidRDefault="00413771">
      <w:pPr>
        <w:widowControl/>
        <w:jc w:val="left"/>
        <w:rPr>
          <w:rFonts w:cs="Times New Roman"/>
          <w:sz w:val="22"/>
          <w:szCs w:val="22"/>
        </w:rPr>
      </w:pPr>
      <w:r w:rsidRPr="002E496B">
        <w:rPr>
          <w:rFonts w:cs="Times New Roman"/>
          <w:sz w:val="22"/>
          <w:szCs w:val="22"/>
        </w:rPr>
        <w:br w:type="page"/>
      </w:r>
    </w:p>
    <w:p w14:paraId="7243E8A5" w14:textId="4AD50997" w:rsidR="00BE29BB" w:rsidRPr="002E496B" w:rsidRDefault="00BE29BB" w:rsidP="00BD7673">
      <w:pPr>
        <w:pStyle w:val="1"/>
        <w:rPr>
          <w:rFonts w:cs="Times New Roman"/>
          <w:b/>
          <w:bCs/>
          <w:sz w:val="22"/>
          <w:szCs w:val="22"/>
        </w:rPr>
      </w:pPr>
      <w:r w:rsidRPr="002E496B">
        <w:rPr>
          <w:rFonts w:ascii="Times New Roman" w:hAnsi="Times New Roman" w:cs="Times New Roman"/>
          <w:b/>
          <w:bCs/>
          <w:sz w:val="22"/>
          <w:szCs w:val="22"/>
        </w:rPr>
        <w:lastRenderedPageBreak/>
        <w:t>Supplementary Note 3. Efficiency of Pattern-Based Candidate Stratification for Literature-Supported Drug Repositioning</w:t>
      </w:r>
    </w:p>
    <w:p w14:paraId="71F17F3D" w14:textId="0AAFEB33" w:rsidR="0015006E" w:rsidRPr="002E496B" w:rsidRDefault="0015006E" w:rsidP="00BD7673">
      <w:pPr>
        <w:pStyle w:val="Web"/>
        <w:spacing w:line="480" w:lineRule="auto"/>
        <w:rPr>
          <w:rFonts w:ascii="Times New Roman" w:hAnsi="Times New Roman" w:cs="Times New Roman"/>
          <w:sz w:val="22"/>
          <w:szCs w:val="22"/>
        </w:rPr>
      </w:pPr>
      <w:r w:rsidRPr="002E496B">
        <w:rPr>
          <w:rFonts w:ascii="Times New Roman" w:hAnsi="Times New Roman" w:cs="Times New Roman"/>
          <w:sz w:val="22"/>
          <w:szCs w:val="22"/>
        </w:rPr>
        <w:t xml:space="preserve">Drug repositioning (DR) is a promising approach in drug development, but evaluating all approved drugs is impractical due to time and resource constraints. Therefore, it is important to identify subsets of drugs </w:t>
      </w:r>
      <w:r w:rsidR="009F164B" w:rsidRPr="002E496B">
        <w:rPr>
          <w:rFonts w:ascii="Times New Roman" w:hAnsi="Times New Roman" w:cs="Times New Roman"/>
          <w:sz w:val="22"/>
          <w:szCs w:val="22"/>
        </w:rPr>
        <w:t xml:space="preserve">for prioritized </w:t>
      </w:r>
      <w:r w:rsidRPr="002E496B">
        <w:rPr>
          <w:rFonts w:ascii="Times New Roman" w:hAnsi="Times New Roman" w:cs="Times New Roman"/>
          <w:sz w:val="22"/>
          <w:szCs w:val="22"/>
        </w:rPr>
        <w:t xml:space="preserve">evaluation. </w:t>
      </w:r>
      <w:r w:rsidR="00CC703F" w:rsidRPr="002E496B">
        <w:rPr>
          <w:rFonts w:ascii="Times New Roman" w:hAnsi="Times New Roman" w:cs="Times New Roman"/>
          <w:sz w:val="22"/>
          <w:szCs w:val="22"/>
        </w:rPr>
        <w:t xml:space="preserve">Candidate groups can be prioritized if they show both </w:t>
      </w:r>
      <w:r w:rsidR="009F164B" w:rsidRPr="002E496B">
        <w:rPr>
          <w:rFonts w:ascii="Times New Roman" w:hAnsi="Times New Roman" w:cs="Times New Roman"/>
          <w:sz w:val="22"/>
          <w:szCs w:val="22"/>
        </w:rPr>
        <w:t xml:space="preserve">broad coverage of therapeutic areas and hit rates comparable to or higher </w:t>
      </w:r>
      <w:r w:rsidR="00CC703F" w:rsidRPr="002E496B">
        <w:rPr>
          <w:rFonts w:ascii="Times New Roman" w:hAnsi="Times New Roman" w:cs="Times New Roman"/>
          <w:sz w:val="22"/>
          <w:szCs w:val="22"/>
        </w:rPr>
        <w:t>than the overall set.</w:t>
      </w:r>
    </w:p>
    <w:p w14:paraId="51108174" w14:textId="2046DD3E" w:rsidR="000D00BA" w:rsidRPr="002E496B" w:rsidRDefault="00CC67C5" w:rsidP="00CC67C5">
      <w:pPr>
        <w:pStyle w:val="Web"/>
        <w:spacing w:line="480" w:lineRule="auto"/>
        <w:rPr>
          <w:rFonts w:ascii="Times New Roman" w:hAnsi="Times New Roman" w:cs="Times New Roman"/>
          <w:sz w:val="22"/>
          <w:szCs w:val="22"/>
        </w:rPr>
      </w:pPr>
      <w:r w:rsidRPr="002E496B">
        <w:rPr>
          <w:rFonts w:ascii="Times New Roman" w:hAnsi="Times New Roman" w:cs="Times New Roman"/>
          <w:sz w:val="22"/>
          <w:szCs w:val="22"/>
        </w:rPr>
        <w:t>We assessed approved drug groups using two metrics: the diversity of disease areas indicated in the literature and the hit rate derived from literature-supported drug repositioning (DR) evidence.</w:t>
      </w:r>
      <w:r w:rsidR="000D00BA" w:rsidRPr="002E496B">
        <w:rPr>
          <w:rFonts w:ascii="Times New Roman" w:hAnsi="Times New Roman" w:cs="Times New Roman" w:hint="eastAsia"/>
          <w:sz w:val="22"/>
          <w:szCs w:val="22"/>
        </w:rPr>
        <w:t xml:space="preserve"> </w:t>
      </w:r>
      <w:r w:rsidRPr="002E496B">
        <w:rPr>
          <w:rFonts w:ascii="Times New Roman" w:hAnsi="Times New Roman" w:cs="Times New Roman"/>
          <w:sz w:val="22"/>
          <w:szCs w:val="22"/>
        </w:rPr>
        <w:t>Using an established four-pattern risk framework, we classified approved drugs and focused our analysis on Pattern 2,</w:t>
      </w:r>
      <w:r w:rsidR="000D00BA" w:rsidRPr="002E496B">
        <w:t xml:space="preserve"> </w:t>
      </w:r>
      <w:r w:rsidR="000D00BA" w:rsidRPr="002E496B">
        <w:rPr>
          <w:rFonts w:ascii="Times New Roman" w:hAnsi="Times New Roman" w:cs="Times New Roman"/>
          <w:sz w:val="22"/>
          <w:szCs w:val="22"/>
        </w:rPr>
        <w:t>which may reflect host-related biological influences</w:t>
      </w:r>
      <w:r w:rsidRPr="002E496B">
        <w:rPr>
          <w:rFonts w:ascii="Times New Roman" w:hAnsi="Times New Roman" w:cs="Times New Roman"/>
          <w:sz w:val="22"/>
          <w:szCs w:val="22"/>
        </w:rPr>
        <w:t>. The performance of this group was then compared with that of the non-stratified global drug set.</w:t>
      </w:r>
    </w:p>
    <w:p w14:paraId="6F821697" w14:textId="77777777" w:rsidR="00BE29BB" w:rsidRPr="002E496B" w:rsidRDefault="00BE29BB" w:rsidP="00BE29BB">
      <w:pPr>
        <w:spacing w:line="480" w:lineRule="auto"/>
        <w:jc w:val="left"/>
        <w:rPr>
          <w:rFonts w:cs="Times New Roman"/>
          <w:sz w:val="22"/>
          <w:szCs w:val="22"/>
        </w:rPr>
      </w:pPr>
    </w:p>
    <w:p w14:paraId="6CA99E28" w14:textId="77777777" w:rsidR="00BE29BB" w:rsidRPr="002E496B" w:rsidRDefault="00BE29BB" w:rsidP="006A2A8D">
      <w:pPr>
        <w:pStyle w:val="2"/>
        <w:rPr>
          <w:rFonts w:cs="Times New Roman"/>
          <w:b/>
          <w:bCs/>
          <w:sz w:val="22"/>
          <w:szCs w:val="22"/>
        </w:rPr>
      </w:pPr>
      <w:r w:rsidRPr="002E496B">
        <w:rPr>
          <w:rFonts w:ascii="Times New Roman" w:hAnsi="Times New Roman" w:cs="Times New Roman"/>
          <w:b/>
          <w:bCs/>
          <w:sz w:val="22"/>
          <w:szCs w:val="22"/>
        </w:rPr>
        <w:t>Methods</w:t>
      </w:r>
    </w:p>
    <w:p w14:paraId="422555C0" w14:textId="69017A53" w:rsidR="00BE29BB" w:rsidRPr="002E496B" w:rsidRDefault="001904EE" w:rsidP="00BE29BB">
      <w:pPr>
        <w:spacing w:line="480" w:lineRule="auto"/>
        <w:jc w:val="left"/>
        <w:rPr>
          <w:rFonts w:cs="Times New Roman"/>
          <w:sz w:val="22"/>
          <w:szCs w:val="22"/>
        </w:rPr>
      </w:pPr>
      <w:r w:rsidRPr="002E496B">
        <w:rPr>
          <w:sz w:val="22"/>
          <w:szCs w:val="22"/>
        </w:rPr>
        <w:t>The analysis used the Literature module of DrugRepoBank,</w:t>
      </w:r>
      <w:r w:rsidR="001D2130" w:rsidRPr="002E496B">
        <w:rPr>
          <w:sz w:val="22"/>
          <w:szCs w:val="22"/>
        </w:rPr>
        <w:fldChar w:fldCharType="begin"/>
      </w:r>
      <w:r w:rsidR="001D2130" w:rsidRPr="002E496B">
        <w:rPr>
          <w:sz w:val="22"/>
          <w:szCs w:val="22"/>
        </w:rPr>
        <w:instrText xml:space="preserve"> ADDIN ZOTERO_ITEM CSL_CITATION {"citationID":"egoasyZW","properties":{"formattedCitation":"\\super 13\\nosupersub{}","plainCitation":"13","noteIndex":0},"citationItems":[{"id":1466,"uris":["http://zotero.org/users/local/yGG8xmNw/items/HBQ6WXDS"],"itemData":{"id":1466,"type":"article-journal","abstract":"In recent years, drug repositioning has emerged as a promising alternative to the time-consuming, expensive and risky process of developing new drugs for diseases. However, the current database for drug repositioning faces several issues, including insufficient data volume, restricted data types, algorithm inaccuracies resulting from the neglect of multidimensional or heterogeneous data, a lack of systematic organization of literature data associated with drug repositioning, limited analytical capabilities and user-unfriendly webpage interfaces. Hence, we have established the first all-encompassing database called DrugRepoBank, consisting of two main modules: the 'Literature' module and the 'Prediction' module. The 'Literature' module serves as the largest repository of literature-supported drug repositioning data with experimental evidence, encompassing 169 repositioned drugs from 134 articles from 1 January 2000 to 1 July 2023. The 'Prediction' module employs 18 efficient algorithms, including similarity-based, artificial-intelligence-based, signature-based and network-based methods to predict repositioned drug candidates. The DrugRepoBank features an interactive and user-friendly web interface and offers comprehensive functionalities such as bioinformatics analysis of disease signatures. When users provide information about a drug, target or disease of interest, DrugRepoBank offers new indications and targets for the drug, proposes new drugs that bind to the target or suggests potential drugs for the queried disease. Additionally, it provides basic information about drugs, targets or diseases, along with supporting literature. We utilize three case studies to demonstrate the feasibility and effectiveness of predictively repositioned drugs within DrugRepoBank. The establishment of the DrugRepoBank database will significantly accelerate the pace of drug repositioning. Database URL:  https://awi.cuhk.edu.cn/DrugRepoBank.","container-title":"Database: The Journal of Biological Databases and Curation","DOI":"10.1093/database/baae051","ISSN":"1758-0463","journalAbbreviation":"Database (Oxford)","language":"eng","note":"PMID: 38994794\nPMCID: PMC11240114","page":"baae051","source":"PubMed","title":"DrugRepoBank: a comprehensive database and discovery platform for accelerating drug repositioning","title-short":"DrugRepoBank","volume":"2024","author":[{"family":"Huang","given":"Yixian"},{"family":"Dong","given":"Danhong"},{"family":"Zhang","given":"Wenyang"},{"family":"Wang","given":"Ruiting"},{"family":"Lin","given":"Yang-Chi-Dung"},{"family":"Zuo","given":"Huali"},{"family":"Huang","given":"Hsi-Yuan"},{"family":"Huang","given":"Hsien-Da"}],"issued":{"date-parts":[["2024",7]]}}}],"schema":"https://github.com/citation-style-language/schema/raw/master/csl-citation.json"} </w:instrText>
      </w:r>
      <w:r w:rsidR="001D2130" w:rsidRPr="002E496B">
        <w:rPr>
          <w:sz w:val="22"/>
          <w:szCs w:val="22"/>
        </w:rPr>
        <w:fldChar w:fldCharType="separate"/>
      </w:r>
      <w:r w:rsidR="001D2130" w:rsidRPr="002E496B">
        <w:rPr>
          <w:rFonts w:cs="Times New Roman"/>
          <w:kern w:val="0"/>
          <w:sz w:val="22"/>
          <w:vertAlign w:val="superscript"/>
        </w:rPr>
        <w:t>13</w:t>
      </w:r>
      <w:r w:rsidR="001D2130" w:rsidRPr="002E496B">
        <w:rPr>
          <w:sz w:val="22"/>
          <w:szCs w:val="22"/>
        </w:rPr>
        <w:fldChar w:fldCharType="end"/>
      </w:r>
      <w:r w:rsidRPr="002E496B">
        <w:rPr>
          <w:sz w:val="22"/>
          <w:szCs w:val="22"/>
        </w:rPr>
        <w:t xml:space="preserve"> a curated database comprising drugs with experimentally or analytically supported evidence for drug </w:t>
      </w:r>
      <w:r w:rsidR="00153BCC" w:rsidRPr="002E496B">
        <w:rPr>
          <w:sz w:val="22"/>
          <w:szCs w:val="22"/>
        </w:rPr>
        <w:t>repositioning.</w:t>
      </w:r>
      <w:r w:rsidR="00153BCC" w:rsidRPr="002E496B">
        <w:rPr>
          <w:rFonts w:cs="Times New Roman"/>
          <w:sz w:val="22"/>
          <w:szCs w:val="22"/>
        </w:rPr>
        <w:t xml:space="preserve"> The</w:t>
      </w:r>
      <w:r w:rsidR="00BE29BB" w:rsidRPr="002E496B">
        <w:rPr>
          <w:rFonts w:cs="Times New Roman"/>
          <w:sz w:val="22"/>
          <w:szCs w:val="22"/>
        </w:rPr>
        <w:t xml:space="preserve"> reference dataset comprised 169 drugs reported in 134 publications. Drug names were normalized and assigned to one of four risk patterns. For each DR case, the associated disease </w:t>
      </w:r>
      <w:r w:rsidR="00BE29BB" w:rsidRPr="002E496B">
        <w:rPr>
          <w:rFonts w:cs="Times New Roman"/>
          <w:sz w:val="22"/>
          <w:szCs w:val="22"/>
        </w:rPr>
        <w:lastRenderedPageBreak/>
        <w:t xml:space="preserve">area was classified using the first-level </w:t>
      </w:r>
      <w:r w:rsidR="00594B29" w:rsidRPr="002E496B">
        <w:rPr>
          <w:rFonts w:cs="Times New Roman"/>
          <w:sz w:val="22"/>
          <w:szCs w:val="22"/>
        </w:rPr>
        <w:t>a</w:t>
      </w:r>
      <w:r w:rsidR="00BE29BB" w:rsidRPr="002E496B">
        <w:rPr>
          <w:rFonts w:cs="Times New Roman" w:hint="eastAsia"/>
          <w:sz w:val="22"/>
          <w:szCs w:val="22"/>
        </w:rPr>
        <w:t>n</w:t>
      </w:r>
      <w:r w:rsidR="00BE29BB" w:rsidRPr="002E496B">
        <w:rPr>
          <w:rFonts w:cs="Times New Roman"/>
          <w:sz w:val="22"/>
          <w:szCs w:val="22"/>
        </w:rPr>
        <w:t xml:space="preserve">atomical </w:t>
      </w:r>
      <w:r w:rsidR="00594B29" w:rsidRPr="002E496B">
        <w:rPr>
          <w:rFonts w:cs="Times New Roman"/>
          <w:sz w:val="22"/>
          <w:szCs w:val="22"/>
        </w:rPr>
        <w:t>t</w:t>
      </w:r>
      <w:r w:rsidR="00BE29BB" w:rsidRPr="002E496B">
        <w:rPr>
          <w:rFonts w:cs="Times New Roman"/>
          <w:sz w:val="22"/>
          <w:szCs w:val="22"/>
        </w:rPr>
        <w:t xml:space="preserve">herapeutic </w:t>
      </w:r>
      <w:r w:rsidR="00594B29" w:rsidRPr="002E496B">
        <w:rPr>
          <w:rFonts w:cs="Times New Roman"/>
          <w:sz w:val="22"/>
          <w:szCs w:val="22"/>
        </w:rPr>
        <w:t>c</w:t>
      </w:r>
      <w:r w:rsidR="00BE29BB" w:rsidRPr="002E496B">
        <w:rPr>
          <w:rFonts w:cs="Times New Roman"/>
          <w:sz w:val="22"/>
          <w:szCs w:val="22"/>
        </w:rPr>
        <w:t>hemical (ATC) code.</w:t>
      </w:r>
    </w:p>
    <w:p w14:paraId="0DD3963A" w14:textId="77777777" w:rsidR="00BE29BB" w:rsidRPr="002E496B" w:rsidRDefault="00BE29BB" w:rsidP="00BE29BB">
      <w:pPr>
        <w:spacing w:line="480" w:lineRule="auto"/>
        <w:jc w:val="left"/>
        <w:rPr>
          <w:rFonts w:cs="Times New Roman"/>
          <w:sz w:val="22"/>
          <w:szCs w:val="22"/>
        </w:rPr>
      </w:pPr>
      <w:r w:rsidRPr="002E496B">
        <w:rPr>
          <w:rFonts w:cs="Times New Roman"/>
          <w:sz w:val="22"/>
          <w:szCs w:val="22"/>
        </w:rPr>
        <w:t>Therapeutic breadth was quantified by counting the number of distinct ATC classes covered by Pattern 2 drugs and comparing this coverage with that of the full dataset. Statistical significance was evaluated using a hypergeometric test to determine whether the observed coverage exceeded that expected by chance, given the size of the global drug set.</w:t>
      </w:r>
    </w:p>
    <w:p w14:paraId="17873E97" w14:textId="1A8CD80E" w:rsidR="00BE29BB" w:rsidRPr="002E496B" w:rsidRDefault="00BE29BB" w:rsidP="00BE29BB">
      <w:pPr>
        <w:spacing w:line="480" w:lineRule="auto"/>
        <w:jc w:val="left"/>
        <w:rPr>
          <w:rFonts w:cs="Times New Roman"/>
          <w:sz w:val="22"/>
          <w:szCs w:val="22"/>
        </w:rPr>
      </w:pPr>
      <w:r w:rsidRPr="002E496B">
        <w:rPr>
          <w:rFonts w:cs="Times New Roman"/>
          <w:sz w:val="22"/>
          <w:szCs w:val="22"/>
        </w:rPr>
        <w:t xml:space="preserve">As a secondary analysis, hit rates were evaluated. Let n denote the number of drugs </w:t>
      </w:r>
      <w:r w:rsidR="00E51324" w:rsidRPr="002E496B">
        <w:rPr>
          <w:rFonts w:cs="Times New Roman"/>
          <w:sz w:val="22"/>
          <w:szCs w:val="22"/>
        </w:rPr>
        <w:t>in each</w:t>
      </w:r>
      <w:r w:rsidRPr="002E496B">
        <w:rPr>
          <w:rFonts w:cs="Times New Roman"/>
          <w:sz w:val="22"/>
          <w:szCs w:val="22"/>
        </w:rPr>
        <w:t xml:space="preserve"> set and z the number with literature-supported DR evidence. The hit rate was modeled as a Bernoulli probability parameter θ. Assuming a Beta prior distribution,</w:t>
      </w:r>
    </w:p>
    <w:p w14:paraId="5DC7687F" w14:textId="0D364B61" w:rsidR="00693644" w:rsidRPr="002E496B" w:rsidRDefault="00081310" w:rsidP="00693644">
      <w:pPr>
        <w:rPr>
          <w:rFonts w:cs="Times New Roman"/>
          <w:sz w:val="22"/>
          <w:szCs w:val="22"/>
        </w:rPr>
      </w:pPr>
      <m:oMathPara>
        <m:oMath>
          <m:r>
            <w:rPr>
              <w:rFonts w:ascii="Cambria Math" w:hAnsi="Cambria Math" w:cs="Times New Roman"/>
              <w:sz w:val="22"/>
              <w:szCs w:val="22"/>
            </w:rPr>
            <m:t xml:space="preserve"> θ∼</m:t>
          </m:r>
          <m:r>
            <m:rPr>
              <m:sty m:val="p"/>
            </m:rPr>
            <w:rPr>
              <w:rFonts w:ascii="Cambria Math" w:hAnsi="Cambria Math" w:cs="Times New Roman"/>
              <w:sz w:val="22"/>
              <w:szCs w:val="22"/>
            </w:rPr>
            <m:t>Beta</m:t>
          </m:r>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m:rPr>
                  <m:nor/>
                </m:rPr>
                <w:rPr>
                  <w:rFonts w:cs="Times New Roman"/>
                  <w:sz w:val="22"/>
                  <w:szCs w:val="22"/>
                </w:rPr>
                <m:t>prior</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β</m:t>
              </m:r>
            </m:e>
            <m:sub>
              <m:r>
                <m:rPr>
                  <m:nor/>
                </m:rPr>
                <w:rPr>
                  <w:rFonts w:cs="Times New Roman"/>
                  <w:sz w:val="22"/>
                  <w:szCs w:val="22"/>
                </w:rPr>
                <m:t>prior</m:t>
              </m:r>
            </m:sub>
          </m:sSub>
          <m:r>
            <w:rPr>
              <w:rFonts w:ascii="Cambria Math" w:hAnsi="Cambria Math" w:cs="Times New Roman"/>
              <w:sz w:val="22"/>
              <w:szCs w:val="22"/>
            </w:rPr>
            <m:t>),</m:t>
          </m:r>
        </m:oMath>
      </m:oMathPara>
    </w:p>
    <w:p w14:paraId="492EC29F" w14:textId="77777777" w:rsidR="00BE29BB" w:rsidRPr="002E496B" w:rsidRDefault="00BE29BB" w:rsidP="00BE29BB">
      <w:pPr>
        <w:spacing w:line="480" w:lineRule="auto"/>
        <w:jc w:val="left"/>
        <w:rPr>
          <w:rFonts w:cs="Times New Roman"/>
          <w:sz w:val="22"/>
          <w:szCs w:val="22"/>
        </w:rPr>
      </w:pPr>
      <w:r w:rsidRPr="002E496B">
        <w:rPr>
          <w:rFonts w:cs="Times New Roman"/>
          <w:sz w:val="22"/>
          <w:szCs w:val="22"/>
        </w:rPr>
        <w:t>the posterior distribution after observing the data is given by</w:t>
      </w:r>
    </w:p>
    <w:p w14:paraId="4EBF9CBF" w14:textId="77777777" w:rsidR="00815640" w:rsidRPr="002E496B" w:rsidRDefault="00081310" w:rsidP="00815640">
      <w:pPr>
        <w:pStyle w:val="Web"/>
        <w:rPr>
          <w:rFonts w:ascii="Times New Roman" w:hAnsi="Times New Roman" w:cs="Times New Roman"/>
          <w:sz w:val="22"/>
          <w:szCs w:val="22"/>
        </w:rPr>
      </w:pPr>
      <m:oMathPara>
        <m:oMath>
          <m:r>
            <w:rPr>
              <w:rFonts w:ascii="Cambria Math" w:hAnsi="Cambria Math" w:cs="Times New Roman"/>
              <w:sz w:val="22"/>
              <w:szCs w:val="22"/>
            </w:rPr>
            <m:t>θ∣</m:t>
          </m:r>
          <m:r>
            <m:rPr>
              <m:nor/>
            </m:rPr>
            <w:rPr>
              <w:rFonts w:ascii="Times New Roman" w:hAnsi="Times New Roman" w:cs="Times New Roman"/>
              <w:sz w:val="22"/>
              <w:szCs w:val="22"/>
            </w:rPr>
            <m:t>data</m:t>
          </m:r>
          <m:r>
            <w:rPr>
              <w:rFonts w:ascii="Cambria Math" w:hAnsi="Cambria Math" w:cs="Times New Roman"/>
              <w:sz w:val="22"/>
              <w:szCs w:val="22"/>
            </w:rPr>
            <m:t>∼</m:t>
          </m:r>
          <m:r>
            <m:rPr>
              <m:sty m:val="p"/>
            </m:rPr>
            <w:rPr>
              <w:rFonts w:ascii="Cambria Math" w:hAnsi="Cambria Math" w:cs="Times New Roman"/>
              <w:sz w:val="22"/>
              <w:szCs w:val="22"/>
            </w:rPr>
            <m:t>Beta</m:t>
          </m:r>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m:rPr>
                  <m:nor/>
                </m:rPr>
                <w:rPr>
                  <w:rFonts w:ascii="Times New Roman" w:hAnsi="Times New Roman" w:cs="Times New Roman"/>
                  <w:sz w:val="22"/>
                  <w:szCs w:val="22"/>
                </w:rPr>
                <m:t>prior</m:t>
              </m:r>
            </m:sub>
          </m:sSub>
          <m:r>
            <w:rPr>
              <w:rFonts w:ascii="Cambria Math" w:hAnsi="Cambria Math" w:cs="Times New Roman"/>
              <w:sz w:val="22"/>
              <w:szCs w:val="22"/>
            </w:rPr>
            <m:t>+z,</m:t>
          </m:r>
          <m:r>
            <m:rPr>
              <m:nor/>
            </m:rPr>
            <w:rPr>
              <w:rFonts w:ascii="Times New Roman" w:hAnsi="Times New Roman" w:cs="Times New Roman"/>
              <w:sz w:val="22"/>
              <w:szCs w:val="22"/>
            </w:rPr>
            <m:t>  </m:t>
          </m:r>
          <m:sSub>
            <m:sSubPr>
              <m:ctrlPr>
                <w:rPr>
                  <w:rFonts w:ascii="Cambria Math" w:hAnsi="Cambria Math" w:cs="Times New Roman"/>
                  <w:sz w:val="22"/>
                  <w:szCs w:val="22"/>
                </w:rPr>
              </m:ctrlPr>
            </m:sSubPr>
            <m:e>
              <m:r>
                <w:rPr>
                  <w:rFonts w:ascii="Cambria Math" w:hAnsi="Cambria Math" w:cs="Times New Roman"/>
                  <w:sz w:val="22"/>
                  <w:szCs w:val="22"/>
                </w:rPr>
                <m:t>β</m:t>
              </m:r>
            </m:e>
            <m:sub>
              <m:r>
                <m:rPr>
                  <m:nor/>
                </m:rPr>
                <w:rPr>
                  <w:rFonts w:ascii="Times New Roman" w:hAnsi="Times New Roman" w:cs="Times New Roman"/>
                  <w:sz w:val="22"/>
                  <w:szCs w:val="22"/>
                </w:rPr>
                <m:t>prior</m:t>
              </m:r>
            </m:sub>
          </m:sSub>
          <m:r>
            <w:rPr>
              <w:rFonts w:ascii="Cambria Math" w:hAnsi="Cambria Math" w:cs="Times New Roman"/>
              <w:sz w:val="22"/>
              <w:szCs w:val="22"/>
            </w:rPr>
            <m:t>+n-z)</m:t>
          </m:r>
          <m:r>
            <m:rPr>
              <m:sty m:val="p"/>
            </m:rPr>
            <w:rPr>
              <w:rFonts w:ascii="Cambria Math" w:hAnsi="Cambria Math" w:cs="Times New Roman"/>
              <w:sz w:val="22"/>
              <w:szCs w:val="22"/>
            </w:rPr>
            <m:t>.</m:t>
          </m:r>
        </m:oMath>
      </m:oMathPara>
    </w:p>
    <w:p w14:paraId="7FE94B2F" w14:textId="1CBDA33C" w:rsidR="00BE29BB" w:rsidRPr="002E496B" w:rsidRDefault="00BE29BB" w:rsidP="00BE29BB">
      <w:pPr>
        <w:spacing w:line="480" w:lineRule="auto"/>
        <w:jc w:val="left"/>
        <w:rPr>
          <w:rFonts w:cs="Times New Roman"/>
          <w:sz w:val="22"/>
          <w:szCs w:val="22"/>
        </w:rPr>
      </w:pPr>
      <w:r w:rsidRPr="002E496B">
        <w:rPr>
          <w:rFonts w:cs="Times New Roman"/>
          <w:sz w:val="22"/>
          <w:szCs w:val="22"/>
        </w:rPr>
        <w:t>To assess sensitivity to prior assumptions, four priors were examined: a uniform prior, Jeffreys prior, a weakly informative prior, and a skeptical prior. Posterior distributions were estimated using 1,000,000 Monte Carlo samples. From these distributions, the posterior probability that the Pattern 2 hit rate exceeded the global hit rate was calculated, along with the posterior distribution of the hit-rate ratio</w:t>
      </w:r>
      <w:r w:rsidR="00554A2F" w:rsidRPr="002E496B">
        <w:rPr>
          <w:rFonts w:cs="Times New Roman"/>
          <w:sz w:val="22"/>
          <w:szCs w:val="22"/>
        </w:rPr>
        <w:t xml:space="preserve"> </w:t>
      </w:r>
      <m:oMath>
        <m:sSub>
          <m:sSubPr>
            <m:ctrlPr>
              <w:rPr>
                <w:rFonts w:ascii="Cambria Math" w:hAnsi="Cambria Math" w:cs="Times New Roman"/>
                <w:sz w:val="22"/>
                <w:szCs w:val="22"/>
              </w:rPr>
            </m:ctrlPr>
          </m:sSubPr>
          <m:e>
            <m:r>
              <w:rPr>
                <w:rFonts w:ascii="Cambria Math" w:hAnsi="Cambria Math" w:cs="Times New Roman"/>
                <w:sz w:val="22"/>
                <w:szCs w:val="22"/>
              </w:rPr>
              <m:t>θ</m:t>
            </m:r>
          </m:e>
          <m:sub>
            <m:r>
              <m:rPr>
                <m:nor/>
              </m:rPr>
              <w:rPr>
                <w:rFonts w:cs="Times New Roman"/>
                <w:sz w:val="22"/>
                <w:szCs w:val="22"/>
              </w:rPr>
              <m:t>Pattern2</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θ</m:t>
            </m:r>
          </m:e>
          <m:sub>
            <m:r>
              <m:rPr>
                <m:nor/>
              </m:rPr>
              <w:rPr>
                <w:rFonts w:cs="Times New Roman"/>
                <w:sz w:val="22"/>
                <w:szCs w:val="22"/>
              </w:rPr>
              <m:t>Global</m:t>
            </m:r>
          </m:sub>
        </m:sSub>
      </m:oMath>
      <w:r w:rsidR="00554A2F" w:rsidRPr="002E496B">
        <w:rPr>
          <w:rFonts w:cs="Times New Roman"/>
          <w:sz w:val="22"/>
          <w:szCs w:val="22"/>
        </w:rPr>
        <w:t>.</w:t>
      </w:r>
      <w:r w:rsidR="00D906FB" w:rsidRPr="002E496B">
        <w:rPr>
          <w:rFonts w:cs="Times New Roman"/>
          <w:sz w:val="22"/>
          <w:szCs w:val="22"/>
        </w:rPr>
        <w:t xml:space="preserve"> </w:t>
      </w:r>
    </w:p>
    <w:p w14:paraId="33F65332" w14:textId="77777777" w:rsidR="00BE29BB" w:rsidRPr="002E496B" w:rsidRDefault="00BE29BB" w:rsidP="00BE29BB">
      <w:pPr>
        <w:spacing w:line="480" w:lineRule="auto"/>
        <w:jc w:val="left"/>
        <w:rPr>
          <w:rFonts w:cs="Times New Roman"/>
          <w:sz w:val="22"/>
          <w:szCs w:val="22"/>
        </w:rPr>
      </w:pPr>
    </w:p>
    <w:p w14:paraId="0BE26814" w14:textId="77777777" w:rsidR="00BE29BB" w:rsidRPr="002E496B" w:rsidRDefault="00BE29BB" w:rsidP="006A2A8D">
      <w:pPr>
        <w:pStyle w:val="2"/>
        <w:rPr>
          <w:rFonts w:cs="Times New Roman"/>
          <w:b/>
          <w:bCs/>
          <w:sz w:val="22"/>
          <w:szCs w:val="22"/>
        </w:rPr>
      </w:pPr>
      <w:r w:rsidRPr="002E496B">
        <w:rPr>
          <w:rFonts w:ascii="Times New Roman" w:hAnsi="Times New Roman" w:cs="Times New Roman"/>
          <w:b/>
          <w:bCs/>
          <w:sz w:val="22"/>
          <w:szCs w:val="22"/>
        </w:rPr>
        <w:lastRenderedPageBreak/>
        <w:t>Results</w:t>
      </w:r>
    </w:p>
    <w:p w14:paraId="07BF829D" w14:textId="77777777" w:rsidR="00BE29BB" w:rsidRPr="002E496B" w:rsidRDefault="00BE29BB" w:rsidP="00BE29BB">
      <w:pPr>
        <w:spacing w:line="480" w:lineRule="auto"/>
        <w:jc w:val="left"/>
        <w:rPr>
          <w:rFonts w:cs="Times New Roman"/>
          <w:sz w:val="22"/>
          <w:szCs w:val="22"/>
        </w:rPr>
      </w:pPr>
      <w:r w:rsidRPr="002E496B">
        <w:rPr>
          <w:rFonts w:cs="Times New Roman"/>
          <w:sz w:val="22"/>
          <w:szCs w:val="22"/>
        </w:rPr>
        <w:t>Across the full dataset, 93 drugs were associated with DR evidence spanning 8 distinct ATC classes. Although Pattern 2 accounted for only 41% (30/74) of all drugs with reported DR evidence, it covered 75% (6/8) of the observed therapeutic classes. This degree of coverage was significantly greater than expected by chance (p = 0.035, hypergeometric test).</w:t>
      </w:r>
    </w:p>
    <w:p w14:paraId="59026F1D" w14:textId="77777777" w:rsidR="00BE29BB" w:rsidRPr="002E496B" w:rsidRDefault="00BE29BB" w:rsidP="00BE29BB">
      <w:pPr>
        <w:spacing w:line="480" w:lineRule="auto"/>
        <w:jc w:val="left"/>
        <w:rPr>
          <w:rFonts w:cs="Times New Roman"/>
          <w:sz w:val="22"/>
          <w:szCs w:val="22"/>
        </w:rPr>
      </w:pPr>
    </w:p>
    <w:p w14:paraId="4D6DA093" w14:textId="037C3EEC" w:rsidR="00BE29BB" w:rsidRPr="002E496B" w:rsidRDefault="00BE29BB" w:rsidP="00BE29BB">
      <w:pPr>
        <w:spacing w:line="480" w:lineRule="auto"/>
        <w:jc w:val="left"/>
        <w:rPr>
          <w:rFonts w:cs="Times New Roman"/>
          <w:sz w:val="22"/>
          <w:szCs w:val="22"/>
        </w:rPr>
      </w:pPr>
      <w:r w:rsidRPr="002E496B">
        <w:rPr>
          <w:rFonts w:cs="Times New Roman"/>
          <w:sz w:val="22"/>
          <w:szCs w:val="22"/>
        </w:rPr>
        <w:t>The hit rate</w:t>
      </w:r>
      <w:r w:rsidR="00D80598" w:rsidRPr="002E496B">
        <w:rPr>
          <w:rFonts w:cs="Times New Roman"/>
          <w:sz w:val="22"/>
          <w:szCs w:val="22"/>
        </w:rPr>
        <w:t xml:space="preserve"> of literature-supported DR</w:t>
      </w:r>
      <w:r w:rsidRPr="002E496B">
        <w:rPr>
          <w:rFonts w:cs="Times New Roman"/>
          <w:sz w:val="22"/>
          <w:szCs w:val="22"/>
        </w:rPr>
        <w:t xml:space="preserve"> for the global drug set was 8.46% (74/875), compared with 8.93% (30/336) for Pattern 2</w:t>
      </w:r>
      <w:r w:rsidR="00B1285A" w:rsidRPr="002E496B">
        <w:rPr>
          <w:rFonts w:cs="Times New Roman" w:hint="eastAsia"/>
          <w:sz w:val="22"/>
          <w:szCs w:val="22"/>
        </w:rPr>
        <w:t xml:space="preserve"> </w:t>
      </w:r>
      <w:r w:rsidR="00B1285A" w:rsidRPr="002E496B">
        <w:rPr>
          <w:rFonts w:eastAsia="游明朝" w:cs="Times New Roman"/>
          <w:sz w:val="22"/>
          <w:szCs w:val="22"/>
        </w:rPr>
        <w:t>(</w:t>
      </w:r>
      <w:r w:rsidR="00B1285A" w:rsidRPr="002E496B">
        <w:rPr>
          <w:rFonts w:cs="Times New Roman"/>
          <w:sz w:val="22"/>
          <w:szCs w:val="22"/>
        </w:rPr>
        <w:t xml:space="preserve">Supplementary Table </w:t>
      </w:r>
      <w:r w:rsidR="00B1285A" w:rsidRPr="002E496B">
        <w:rPr>
          <w:rFonts w:cs="Times New Roman" w:hint="eastAsia"/>
          <w:sz w:val="22"/>
          <w:szCs w:val="22"/>
        </w:rPr>
        <w:t>8</w:t>
      </w:r>
      <w:r w:rsidR="00B1285A" w:rsidRPr="002E496B">
        <w:rPr>
          <w:rFonts w:cs="Times New Roman"/>
          <w:sz w:val="22"/>
          <w:szCs w:val="22"/>
        </w:rPr>
        <w:t>)</w:t>
      </w:r>
      <w:r w:rsidRPr="002E496B">
        <w:rPr>
          <w:rFonts w:cs="Times New Roman"/>
          <w:sz w:val="22"/>
          <w:szCs w:val="22"/>
        </w:rPr>
        <w:t>. Bayesian analysis indicated that the posterior probability of the Pattern 2 hit rate exceeding the global rate ranged from 0.61 to 0.73 across all prior specifications. Although the 95% credible interval of the hit-rate ratio (posterior mean 1.09–1.15) included unity, both the direction and magnitude of the effect were consistent across prior assumptions.</w:t>
      </w:r>
    </w:p>
    <w:p w14:paraId="01B5F69B" w14:textId="77777777" w:rsidR="00BE29BB" w:rsidRPr="002E496B" w:rsidRDefault="00BE29BB" w:rsidP="00BE29BB">
      <w:pPr>
        <w:spacing w:line="480" w:lineRule="auto"/>
        <w:jc w:val="left"/>
        <w:rPr>
          <w:rFonts w:cs="Times New Roman"/>
          <w:sz w:val="22"/>
          <w:szCs w:val="22"/>
        </w:rPr>
      </w:pPr>
    </w:p>
    <w:p w14:paraId="3CC24B8F" w14:textId="77777777" w:rsidR="00BE29BB" w:rsidRPr="002E496B" w:rsidRDefault="00BE29BB" w:rsidP="006A2A8D">
      <w:pPr>
        <w:pStyle w:val="2"/>
        <w:rPr>
          <w:rFonts w:cs="Times New Roman"/>
          <w:b/>
          <w:bCs/>
          <w:sz w:val="22"/>
          <w:szCs w:val="22"/>
        </w:rPr>
      </w:pPr>
      <w:r w:rsidRPr="002E496B">
        <w:rPr>
          <w:rFonts w:ascii="Times New Roman" w:hAnsi="Times New Roman" w:cs="Times New Roman"/>
          <w:b/>
          <w:bCs/>
          <w:sz w:val="22"/>
          <w:szCs w:val="22"/>
        </w:rPr>
        <w:t>Discussion</w:t>
      </w:r>
    </w:p>
    <w:p w14:paraId="111C92D6" w14:textId="49278311" w:rsidR="008833B9" w:rsidRPr="002E496B" w:rsidRDefault="008833B9" w:rsidP="006A2A8D">
      <w:pPr>
        <w:pStyle w:val="Web"/>
        <w:spacing w:line="480" w:lineRule="auto"/>
        <w:rPr>
          <w:rFonts w:ascii="Times New Roman" w:hAnsi="Times New Roman" w:cs="Times New Roman"/>
          <w:sz w:val="22"/>
          <w:szCs w:val="22"/>
        </w:rPr>
      </w:pPr>
      <w:r w:rsidRPr="002E496B">
        <w:rPr>
          <w:rFonts w:ascii="Times New Roman" w:hAnsi="Times New Roman" w:cs="Times New Roman"/>
          <w:sz w:val="22"/>
          <w:szCs w:val="22"/>
        </w:rPr>
        <w:t xml:space="preserve">Pattern 2 represents a subset of approved drugs, yet it captures a substantial portion of the therapeutic diversity highlighted in literature-reported drug repositioning cases. This suggests that drugs identified through such a pattern are likely to include a relatively high proportion of candidates with repositioning potential, making Pattern 2 a practical starting point for </w:t>
      </w:r>
      <w:r w:rsidRPr="002E496B">
        <w:rPr>
          <w:rFonts w:ascii="Times New Roman" w:hAnsi="Times New Roman" w:cs="Times New Roman"/>
          <w:sz w:val="22"/>
          <w:szCs w:val="22"/>
        </w:rPr>
        <w:lastRenderedPageBreak/>
        <w:t>prioritization in early-stage DR, especially when resources are limited.</w:t>
      </w:r>
      <w:r w:rsidR="00E15EC2" w:rsidRPr="002E496B">
        <w:t xml:space="preserve"> </w:t>
      </w:r>
      <w:r w:rsidR="000D3EE7" w:rsidRPr="002E496B">
        <w:rPr>
          <w:rFonts w:ascii="Times New Roman" w:hAnsi="Times New Roman" w:cs="Times New Roman"/>
          <w:sz w:val="22"/>
          <w:szCs w:val="22"/>
        </w:rPr>
        <w:t>From a resource-allocation perspective, this finding suggests that restricting initial DR screening to Pattern 2 may reduce the number of candidate drugs while largely preserving therapeutic coverage, potentially improving search efficiency without markedly compromising domain diversity.</w:t>
      </w:r>
    </w:p>
    <w:p w14:paraId="1039C974" w14:textId="3DAA4449" w:rsidR="008833B9" w:rsidRPr="002E496B" w:rsidRDefault="008833B9" w:rsidP="006A2A8D">
      <w:pPr>
        <w:pStyle w:val="Web"/>
        <w:spacing w:line="480" w:lineRule="auto"/>
        <w:rPr>
          <w:rFonts w:ascii="Times New Roman" w:hAnsi="Times New Roman" w:cs="Times New Roman"/>
          <w:sz w:val="22"/>
          <w:szCs w:val="22"/>
        </w:rPr>
      </w:pPr>
      <w:r w:rsidRPr="002E496B">
        <w:rPr>
          <w:rFonts w:ascii="Times New Roman" w:hAnsi="Times New Roman" w:cs="Times New Roman"/>
          <w:sz w:val="22"/>
          <w:szCs w:val="22"/>
        </w:rPr>
        <w:t xml:space="preserve">Importantly, this pattern-based stratification does not compromise the hit rate. Across all prior assumptions, the hit rate for Pattern 2 was consistently </w:t>
      </w:r>
      <w:r w:rsidR="00867DAD" w:rsidRPr="002E496B">
        <w:rPr>
          <w:rFonts w:ascii="Times New Roman" w:hAnsi="Times New Roman" w:cs="Times New Roman"/>
          <w:sz w:val="22"/>
          <w:szCs w:val="22"/>
        </w:rPr>
        <w:t xml:space="preserve">or slightly higher than </w:t>
      </w:r>
      <w:r w:rsidRPr="002E496B">
        <w:rPr>
          <w:rFonts w:ascii="Times New Roman" w:hAnsi="Times New Roman" w:cs="Times New Roman"/>
          <w:sz w:val="22"/>
          <w:szCs w:val="22"/>
        </w:rPr>
        <w:t xml:space="preserve">that of the global drug set. Although this analysis is constrained by its reliance on curated literature and coarse disease classification based on first-level ATC codes, </w:t>
      </w:r>
      <w:r w:rsidR="00F46906" w:rsidRPr="002E496B">
        <w:rPr>
          <w:rFonts w:ascii="Times New Roman" w:hAnsi="Times New Roman" w:cs="Times New Roman"/>
          <w:sz w:val="22"/>
          <w:szCs w:val="22"/>
        </w:rPr>
        <w:t xml:space="preserve">it </w:t>
      </w:r>
      <w:r w:rsidR="00F46906" w:rsidRPr="002E496B">
        <w:rPr>
          <w:rStyle w:val="afd"/>
          <w:rFonts w:ascii="Times New Roman" w:hAnsi="Times New Roman" w:cs="Times New Roman"/>
          <w:b w:val="0"/>
          <w:bCs w:val="0"/>
          <w:sz w:val="22"/>
          <w:szCs w:val="22"/>
        </w:rPr>
        <w:t>provides exploratory support for the potential use of pattern-guided prioritization in early-stage DR research.</w:t>
      </w:r>
    </w:p>
    <w:p w14:paraId="54F93CF0" w14:textId="4BB55950" w:rsidR="00363AE7" w:rsidRPr="002E496B" w:rsidRDefault="00363AE7" w:rsidP="006A2A8D">
      <w:pPr>
        <w:widowControl/>
        <w:jc w:val="left"/>
        <w:rPr>
          <w:rFonts w:cs="Times New Roman"/>
          <w:sz w:val="22"/>
          <w:szCs w:val="22"/>
        </w:rPr>
      </w:pPr>
    </w:p>
    <w:p w14:paraId="378D40A1" w14:textId="3120DD88" w:rsidR="00363AE7" w:rsidRPr="002E496B" w:rsidRDefault="00363AE7" w:rsidP="00BE29BB">
      <w:pPr>
        <w:spacing w:line="480" w:lineRule="auto"/>
        <w:jc w:val="left"/>
        <w:rPr>
          <w:rFonts w:cs="Times New Roman"/>
          <w:sz w:val="22"/>
          <w:szCs w:val="22"/>
        </w:rPr>
      </w:pPr>
      <w:r w:rsidRPr="002E496B">
        <w:rPr>
          <w:b/>
          <w:bCs/>
          <w:sz w:val="22"/>
          <w:szCs w:val="22"/>
        </w:rPr>
        <w:t xml:space="preserve">Supplementary Table </w:t>
      </w:r>
      <w:r w:rsidR="00B1285A" w:rsidRPr="002E496B">
        <w:rPr>
          <w:rFonts w:hint="eastAsia"/>
          <w:b/>
          <w:bCs/>
          <w:sz w:val="22"/>
          <w:szCs w:val="22"/>
        </w:rPr>
        <w:t>8</w:t>
      </w:r>
      <w:r w:rsidRPr="002E496B">
        <w:rPr>
          <w:b/>
          <w:bCs/>
          <w:sz w:val="22"/>
          <w:szCs w:val="22"/>
        </w:rPr>
        <w:t>.</w:t>
      </w:r>
      <w:r w:rsidRPr="002E496B">
        <w:rPr>
          <w:sz w:val="22"/>
          <w:szCs w:val="22"/>
        </w:rPr>
        <w:t xml:space="preserve"> Prior sensitivity analysis of Bayesian comparison between Pattern 2 and the global drug set</w:t>
      </w:r>
    </w:p>
    <w:tbl>
      <w:tblPr>
        <w:tblW w:w="10494" w:type="dxa"/>
        <w:jc w:val="center"/>
        <w:tblCellSpacing w:w="15" w:type="dxa"/>
        <w:tblCellMar>
          <w:top w:w="15" w:type="dxa"/>
          <w:left w:w="15" w:type="dxa"/>
          <w:bottom w:w="15" w:type="dxa"/>
          <w:right w:w="15" w:type="dxa"/>
        </w:tblCellMar>
        <w:tblLook w:val="04A0" w:firstRow="1" w:lastRow="0" w:firstColumn="1" w:lastColumn="0" w:noHBand="0" w:noVBand="1"/>
      </w:tblPr>
      <w:tblGrid>
        <w:gridCol w:w="2727"/>
        <w:gridCol w:w="3517"/>
        <w:gridCol w:w="2365"/>
        <w:gridCol w:w="1885"/>
      </w:tblGrid>
      <w:tr w:rsidR="00431F10" w:rsidRPr="002E496B" w14:paraId="53A4B7D5" w14:textId="77777777" w:rsidTr="00A2563E">
        <w:trPr>
          <w:trHeight w:val="369"/>
          <w:tblHeader/>
          <w:tblCellSpacing w:w="15" w:type="dxa"/>
          <w:jc w:val="center"/>
        </w:trPr>
        <w:tc>
          <w:tcPr>
            <w:tcW w:w="2682" w:type="dxa"/>
            <w:tcBorders>
              <w:top w:val="single" w:sz="4" w:space="0" w:color="auto"/>
              <w:bottom w:val="single" w:sz="4" w:space="0" w:color="auto"/>
            </w:tcBorders>
            <w:vAlign w:val="center"/>
            <w:hideMark/>
          </w:tcPr>
          <w:p w14:paraId="1D378D22" w14:textId="77777777" w:rsidR="00431F10" w:rsidRPr="002E496B" w:rsidRDefault="00431F10" w:rsidP="00A2563E">
            <w:pPr>
              <w:widowControl/>
              <w:jc w:val="center"/>
              <w:rPr>
                <w:rFonts w:eastAsia="ＭＳ Ｐゴシック" w:cs="Times New Roman"/>
                <w:kern w:val="0"/>
                <w:sz w:val="20"/>
                <w:szCs w:val="20"/>
              </w:rPr>
            </w:pPr>
            <w:r w:rsidRPr="002E496B">
              <w:rPr>
                <w:rFonts w:cs="Times New Roman"/>
                <w:sz w:val="20"/>
                <w:szCs w:val="20"/>
              </w:rPr>
              <w:t>Prior distribution</w:t>
            </w:r>
          </w:p>
        </w:tc>
        <w:tc>
          <w:tcPr>
            <w:tcW w:w="3487" w:type="dxa"/>
            <w:tcBorders>
              <w:top w:val="single" w:sz="4" w:space="0" w:color="auto"/>
              <w:bottom w:val="single" w:sz="4" w:space="0" w:color="auto"/>
            </w:tcBorders>
            <w:vAlign w:val="center"/>
            <w:hideMark/>
          </w:tcPr>
          <w:p w14:paraId="772E1229" w14:textId="77777777" w:rsidR="00431F10" w:rsidRPr="002E496B" w:rsidRDefault="00431F10" w:rsidP="00A2563E">
            <w:pPr>
              <w:widowControl/>
              <w:jc w:val="center"/>
              <w:rPr>
                <w:rFonts w:eastAsia="ＭＳ Ｐゴシック" w:cs="Times New Roman"/>
                <w:kern w:val="0"/>
                <w:sz w:val="20"/>
                <w:szCs w:val="20"/>
              </w:rPr>
            </w:pPr>
            <w:r w:rsidRPr="002E496B">
              <w:rPr>
                <w:rFonts w:cs="Times New Roman"/>
                <w:sz w:val="20"/>
                <w:szCs w:val="20"/>
              </w:rPr>
              <w:t>Posterior probability that Pattern 2 outperforms the global set, P (</w:t>
            </w:r>
            <w:r w:rsidRPr="002E496B">
              <w:rPr>
                <w:rFonts w:cs="Times New Roman"/>
                <w:sz w:val="20"/>
                <w:szCs w:val="20"/>
                <w:vertAlign w:val="superscript"/>
              </w:rPr>
              <w:t>a</w:t>
            </w:r>
            <w:r w:rsidRPr="002E496B">
              <w:rPr>
                <w:rFonts w:cs="Times New Roman"/>
                <w:sz w:val="20"/>
                <w:szCs w:val="20"/>
              </w:rPr>
              <w:t xml:space="preserve">p₂ &gt; </w:t>
            </w:r>
            <w:r w:rsidRPr="002E496B">
              <w:rPr>
                <w:rFonts w:cs="Times New Roman"/>
                <w:sz w:val="20"/>
                <w:szCs w:val="20"/>
                <w:vertAlign w:val="superscript"/>
              </w:rPr>
              <w:t>b</w:t>
            </w:r>
            <w:r w:rsidRPr="002E496B">
              <w:rPr>
                <w:rFonts w:cs="Times New Roman"/>
                <w:sz w:val="20"/>
                <w:szCs w:val="20"/>
              </w:rPr>
              <w:t>p</w:t>
            </w:r>
            <w:r w:rsidRPr="002E496B">
              <w:rPr>
                <w:rFonts w:cs="Times New Roman"/>
                <w:sz w:val="20"/>
                <w:szCs w:val="20"/>
                <w:vertAlign w:val="subscript"/>
              </w:rPr>
              <w:t>all</w:t>
            </w:r>
            <w:r w:rsidRPr="002E496B">
              <w:rPr>
                <w:rFonts w:cs="Times New Roman"/>
                <w:sz w:val="20"/>
                <w:szCs w:val="20"/>
              </w:rPr>
              <w:t>)</w:t>
            </w:r>
          </w:p>
        </w:tc>
        <w:tc>
          <w:tcPr>
            <w:tcW w:w="2335" w:type="dxa"/>
            <w:tcBorders>
              <w:top w:val="single" w:sz="4" w:space="0" w:color="auto"/>
              <w:bottom w:val="single" w:sz="4" w:space="0" w:color="auto"/>
            </w:tcBorders>
            <w:vAlign w:val="center"/>
            <w:hideMark/>
          </w:tcPr>
          <w:p w14:paraId="3D7BB3AB" w14:textId="77777777" w:rsidR="00431F10" w:rsidRPr="002E496B" w:rsidRDefault="00431F10" w:rsidP="00A2563E">
            <w:pPr>
              <w:widowControl/>
              <w:jc w:val="center"/>
              <w:rPr>
                <w:rFonts w:eastAsia="ＭＳ Ｐゴシック" w:cs="Times New Roman"/>
                <w:kern w:val="0"/>
                <w:sz w:val="20"/>
                <w:szCs w:val="20"/>
              </w:rPr>
            </w:pPr>
            <w:r w:rsidRPr="002E496B">
              <w:rPr>
                <w:rFonts w:cs="Times New Roman"/>
                <w:sz w:val="20"/>
                <w:szCs w:val="20"/>
              </w:rPr>
              <w:t>Posterior mean of hit-rate ratio, E [p₂ / p</w:t>
            </w:r>
            <w:r w:rsidRPr="002E496B">
              <w:rPr>
                <w:rFonts w:cs="Times New Roman"/>
                <w:sz w:val="20"/>
                <w:szCs w:val="20"/>
                <w:vertAlign w:val="subscript"/>
              </w:rPr>
              <w:t>all</w:t>
            </w:r>
            <w:r w:rsidRPr="002E496B">
              <w:rPr>
                <w:rFonts w:cs="Times New Roman"/>
                <w:sz w:val="20"/>
                <w:szCs w:val="20"/>
              </w:rPr>
              <w:t>]</w:t>
            </w:r>
          </w:p>
        </w:tc>
        <w:tc>
          <w:tcPr>
            <w:tcW w:w="1840" w:type="dxa"/>
            <w:tcBorders>
              <w:top w:val="single" w:sz="4" w:space="0" w:color="auto"/>
              <w:bottom w:val="single" w:sz="4" w:space="0" w:color="auto"/>
            </w:tcBorders>
            <w:vAlign w:val="center"/>
            <w:hideMark/>
          </w:tcPr>
          <w:p w14:paraId="4DA87BDD" w14:textId="77777777" w:rsidR="00431F10" w:rsidRPr="002E496B" w:rsidRDefault="00431F10" w:rsidP="00A2563E">
            <w:pPr>
              <w:widowControl/>
              <w:jc w:val="center"/>
              <w:rPr>
                <w:rFonts w:eastAsia="ＭＳ Ｐゴシック" w:cs="Times New Roman"/>
                <w:kern w:val="0"/>
                <w:sz w:val="20"/>
                <w:szCs w:val="20"/>
              </w:rPr>
            </w:pPr>
            <w:r w:rsidRPr="002E496B">
              <w:rPr>
                <w:rFonts w:cs="Times New Roman"/>
                <w:sz w:val="20"/>
                <w:szCs w:val="20"/>
              </w:rPr>
              <w:t>95% credible interval (p₂ / p</w:t>
            </w:r>
            <w:r w:rsidRPr="002E496B">
              <w:rPr>
                <w:rFonts w:cs="Times New Roman"/>
                <w:sz w:val="20"/>
                <w:szCs w:val="20"/>
                <w:vertAlign w:val="subscript"/>
              </w:rPr>
              <w:t>all</w:t>
            </w:r>
            <w:r w:rsidRPr="002E496B">
              <w:rPr>
                <w:rFonts w:cs="Times New Roman"/>
                <w:sz w:val="20"/>
                <w:szCs w:val="20"/>
              </w:rPr>
              <w:t>)</w:t>
            </w:r>
          </w:p>
        </w:tc>
      </w:tr>
      <w:tr w:rsidR="00431F10" w:rsidRPr="002E496B" w14:paraId="005D55A4" w14:textId="77777777" w:rsidTr="00A2563E">
        <w:trPr>
          <w:trHeight w:val="59"/>
          <w:tblCellSpacing w:w="15" w:type="dxa"/>
          <w:jc w:val="center"/>
        </w:trPr>
        <w:tc>
          <w:tcPr>
            <w:tcW w:w="2682" w:type="dxa"/>
            <w:vAlign w:val="center"/>
            <w:hideMark/>
          </w:tcPr>
          <w:p w14:paraId="712D4B74"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Uniform Beta (1,1)</w:t>
            </w:r>
          </w:p>
        </w:tc>
        <w:tc>
          <w:tcPr>
            <w:tcW w:w="3487" w:type="dxa"/>
            <w:vAlign w:val="center"/>
            <w:hideMark/>
          </w:tcPr>
          <w:p w14:paraId="71B4A29D"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0.624</w:t>
            </w:r>
          </w:p>
        </w:tc>
        <w:tc>
          <w:tcPr>
            <w:tcW w:w="2335" w:type="dxa"/>
            <w:vAlign w:val="center"/>
            <w:hideMark/>
          </w:tcPr>
          <w:p w14:paraId="39CF5C71"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1.086</w:t>
            </w:r>
          </w:p>
        </w:tc>
        <w:tc>
          <w:tcPr>
            <w:tcW w:w="1840" w:type="dxa"/>
            <w:vAlign w:val="center"/>
            <w:hideMark/>
          </w:tcPr>
          <w:p w14:paraId="631A3B2F"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0.704–1.574</w:t>
            </w:r>
          </w:p>
        </w:tc>
      </w:tr>
      <w:tr w:rsidR="00431F10" w:rsidRPr="002E496B" w14:paraId="4ADD07FD" w14:textId="77777777" w:rsidTr="00A2563E">
        <w:trPr>
          <w:trHeight w:val="233"/>
          <w:tblCellSpacing w:w="15" w:type="dxa"/>
          <w:jc w:val="center"/>
        </w:trPr>
        <w:tc>
          <w:tcPr>
            <w:tcW w:w="2682" w:type="dxa"/>
            <w:vAlign w:val="center"/>
            <w:hideMark/>
          </w:tcPr>
          <w:p w14:paraId="17AB26B5"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Jeffreys Beta (0.5,0.5)</w:t>
            </w:r>
          </w:p>
        </w:tc>
        <w:tc>
          <w:tcPr>
            <w:tcW w:w="3487" w:type="dxa"/>
            <w:vAlign w:val="center"/>
            <w:hideMark/>
          </w:tcPr>
          <w:p w14:paraId="1BF8B517"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0.609</w:t>
            </w:r>
          </w:p>
        </w:tc>
        <w:tc>
          <w:tcPr>
            <w:tcW w:w="2335" w:type="dxa"/>
            <w:vAlign w:val="center"/>
            <w:hideMark/>
          </w:tcPr>
          <w:p w14:paraId="2F47F234"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1.078</w:t>
            </w:r>
          </w:p>
        </w:tc>
        <w:tc>
          <w:tcPr>
            <w:tcW w:w="1840" w:type="dxa"/>
            <w:vAlign w:val="center"/>
            <w:hideMark/>
          </w:tcPr>
          <w:p w14:paraId="76237F71"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0.696–1.565</w:t>
            </w:r>
          </w:p>
        </w:tc>
      </w:tr>
      <w:tr w:rsidR="00431F10" w:rsidRPr="002E496B" w14:paraId="2FE1C900" w14:textId="77777777" w:rsidTr="00A2563E">
        <w:trPr>
          <w:trHeight w:val="441"/>
          <w:tblCellSpacing w:w="15" w:type="dxa"/>
          <w:jc w:val="center"/>
        </w:trPr>
        <w:tc>
          <w:tcPr>
            <w:tcW w:w="2682" w:type="dxa"/>
            <w:vAlign w:val="center"/>
            <w:hideMark/>
          </w:tcPr>
          <w:p w14:paraId="1C884B01"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Weak Beta (2,2)</w:t>
            </w:r>
          </w:p>
        </w:tc>
        <w:tc>
          <w:tcPr>
            <w:tcW w:w="3487" w:type="dxa"/>
            <w:vAlign w:val="center"/>
            <w:hideMark/>
          </w:tcPr>
          <w:p w14:paraId="33B233E4"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0.653</w:t>
            </w:r>
          </w:p>
        </w:tc>
        <w:tc>
          <w:tcPr>
            <w:tcW w:w="2335" w:type="dxa"/>
            <w:vAlign w:val="center"/>
            <w:hideMark/>
          </w:tcPr>
          <w:p w14:paraId="567D7317"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1.102</w:t>
            </w:r>
          </w:p>
        </w:tc>
        <w:tc>
          <w:tcPr>
            <w:tcW w:w="1840" w:type="dxa"/>
            <w:vAlign w:val="center"/>
            <w:hideMark/>
          </w:tcPr>
          <w:p w14:paraId="25B51B37"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0.719–1.590</w:t>
            </w:r>
          </w:p>
        </w:tc>
      </w:tr>
      <w:tr w:rsidR="00431F10" w:rsidRPr="002E496B" w14:paraId="3CC0D8A8" w14:textId="77777777" w:rsidTr="00A2563E">
        <w:trPr>
          <w:trHeight w:val="118"/>
          <w:tblCellSpacing w:w="15" w:type="dxa"/>
          <w:jc w:val="center"/>
        </w:trPr>
        <w:tc>
          <w:tcPr>
            <w:tcW w:w="2682" w:type="dxa"/>
            <w:tcBorders>
              <w:bottom w:val="single" w:sz="4" w:space="0" w:color="auto"/>
            </w:tcBorders>
            <w:vAlign w:val="center"/>
            <w:hideMark/>
          </w:tcPr>
          <w:p w14:paraId="03E8CB70"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Skeptical Beta (5,5)</w:t>
            </w:r>
          </w:p>
        </w:tc>
        <w:tc>
          <w:tcPr>
            <w:tcW w:w="3487" w:type="dxa"/>
            <w:tcBorders>
              <w:bottom w:val="single" w:sz="4" w:space="0" w:color="auto"/>
            </w:tcBorders>
            <w:vAlign w:val="center"/>
            <w:hideMark/>
          </w:tcPr>
          <w:p w14:paraId="14D13147"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0.732</w:t>
            </w:r>
          </w:p>
        </w:tc>
        <w:tc>
          <w:tcPr>
            <w:tcW w:w="2335" w:type="dxa"/>
            <w:tcBorders>
              <w:bottom w:val="single" w:sz="4" w:space="0" w:color="auto"/>
            </w:tcBorders>
            <w:vAlign w:val="center"/>
            <w:hideMark/>
          </w:tcPr>
          <w:p w14:paraId="385C1D00"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1.146</w:t>
            </w:r>
          </w:p>
        </w:tc>
        <w:tc>
          <w:tcPr>
            <w:tcW w:w="1840" w:type="dxa"/>
            <w:tcBorders>
              <w:bottom w:val="single" w:sz="4" w:space="0" w:color="auto"/>
            </w:tcBorders>
            <w:vAlign w:val="center"/>
            <w:hideMark/>
          </w:tcPr>
          <w:p w14:paraId="40D16948" w14:textId="77777777" w:rsidR="00431F10" w:rsidRPr="002E496B" w:rsidRDefault="00431F10" w:rsidP="00A2563E">
            <w:pPr>
              <w:widowControl/>
              <w:jc w:val="right"/>
              <w:rPr>
                <w:rFonts w:eastAsia="ＭＳ Ｐゴシック" w:cs="Times New Roman"/>
                <w:kern w:val="0"/>
                <w:sz w:val="20"/>
                <w:szCs w:val="20"/>
              </w:rPr>
            </w:pPr>
            <w:r w:rsidRPr="002E496B">
              <w:rPr>
                <w:rFonts w:cs="Times New Roman"/>
                <w:sz w:val="20"/>
                <w:szCs w:val="20"/>
              </w:rPr>
              <w:t>0.762–1.632</w:t>
            </w:r>
          </w:p>
        </w:tc>
      </w:tr>
    </w:tbl>
    <w:p w14:paraId="4D447547" w14:textId="77777777" w:rsidR="00431F10" w:rsidRPr="002E496B" w:rsidRDefault="00431F10" w:rsidP="00431F10">
      <w:pPr>
        <w:widowControl/>
        <w:jc w:val="left"/>
        <w:rPr>
          <w:rFonts w:eastAsia="ＭＳ Ｐゴシック" w:cs="Times New Roman"/>
          <w:kern w:val="0"/>
          <w:sz w:val="20"/>
          <w:szCs w:val="20"/>
        </w:rPr>
      </w:pPr>
      <w:r w:rsidRPr="002E496B">
        <w:rPr>
          <w:rFonts w:eastAsia="ＭＳ Ｐゴシック" w:cs="Times New Roman"/>
          <w:kern w:val="0"/>
          <w:sz w:val="20"/>
          <w:szCs w:val="20"/>
          <w:vertAlign w:val="superscript"/>
        </w:rPr>
        <w:t>a</w:t>
      </w:r>
      <w:r w:rsidRPr="002E496B">
        <w:rPr>
          <w:rFonts w:eastAsia="ＭＳ Ｐゴシック" w:cs="Times New Roman"/>
          <w:kern w:val="0"/>
          <w:sz w:val="20"/>
          <w:szCs w:val="20"/>
        </w:rPr>
        <w:t xml:space="preserve"> p₂</w:t>
      </w:r>
      <w:r w:rsidRPr="002E496B">
        <w:rPr>
          <w:rFonts w:eastAsia="ＭＳ Ｐゴシック" w:cs="Times New Roman"/>
          <w:kern w:val="0"/>
          <w:sz w:val="20"/>
          <w:szCs w:val="20"/>
          <w:vertAlign w:val="superscript"/>
        </w:rPr>
        <w:t xml:space="preserve"> </w:t>
      </w:r>
      <w:r w:rsidRPr="002E496B">
        <w:rPr>
          <w:rFonts w:eastAsia="ＭＳ Ｐゴシック" w:cs="Times New Roman"/>
          <w:kern w:val="0"/>
          <w:sz w:val="20"/>
          <w:szCs w:val="20"/>
        </w:rPr>
        <w:t xml:space="preserve">,Pattern 2; </w:t>
      </w:r>
      <w:r w:rsidRPr="002E496B">
        <w:rPr>
          <w:rFonts w:eastAsia="ＭＳ Ｐゴシック" w:cs="Times New Roman"/>
          <w:kern w:val="0"/>
          <w:sz w:val="20"/>
          <w:szCs w:val="20"/>
          <w:vertAlign w:val="superscript"/>
        </w:rPr>
        <w:t>b</w:t>
      </w:r>
      <w:r w:rsidRPr="002E496B">
        <w:rPr>
          <w:rFonts w:eastAsia="ＭＳ Ｐゴシック" w:cs="Times New Roman"/>
          <w:kern w:val="0"/>
          <w:sz w:val="20"/>
          <w:szCs w:val="20"/>
        </w:rPr>
        <w:t xml:space="preserve"> p</w:t>
      </w:r>
      <w:r w:rsidRPr="002E496B">
        <w:rPr>
          <w:rFonts w:cs="Times New Roman"/>
          <w:sz w:val="20"/>
          <w:szCs w:val="20"/>
          <w:vertAlign w:val="subscript"/>
        </w:rPr>
        <w:t>all</w:t>
      </w:r>
      <w:r w:rsidRPr="002E496B">
        <w:rPr>
          <w:rFonts w:eastAsia="ＭＳ Ｐゴシック" w:cs="Times New Roman"/>
          <w:kern w:val="0"/>
          <w:sz w:val="20"/>
          <w:szCs w:val="20"/>
        </w:rPr>
        <w:t xml:space="preserve">, </w:t>
      </w:r>
      <w:r w:rsidRPr="002E496B">
        <w:rPr>
          <w:rFonts w:cs="Times New Roman"/>
          <w:sz w:val="20"/>
          <w:szCs w:val="20"/>
        </w:rPr>
        <w:t>global (unstratified) drug set</w:t>
      </w:r>
      <w:r w:rsidRPr="002E496B">
        <w:rPr>
          <w:rFonts w:eastAsia="ＭＳ Ｐゴシック" w:cs="Times New Roman"/>
          <w:kern w:val="0"/>
          <w:sz w:val="20"/>
          <w:szCs w:val="20"/>
        </w:rPr>
        <w:t>.</w:t>
      </w:r>
    </w:p>
    <w:p w14:paraId="36C84B43" w14:textId="77777777" w:rsidR="00431F10" w:rsidRPr="002E496B" w:rsidRDefault="00431F10" w:rsidP="00BE29BB">
      <w:pPr>
        <w:spacing w:line="480" w:lineRule="auto"/>
        <w:jc w:val="left"/>
        <w:rPr>
          <w:rFonts w:cs="Times New Roman"/>
          <w:sz w:val="22"/>
          <w:szCs w:val="22"/>
        </w:rPr>
      </w:pPr>
    </w:p>
    <w:p w14:paraId="24F1CEFB" w14:textId="77777777" w:rsidR="00385A49" w:rsidRPr="002E496B" w:rsidRDefault="007E483E" w:rsidP="002626C1">
      <w:pPr>
        <w:widowControl/>
        <w:spacing w:line="480" w:lineRule="auto"/>
        <w:jc w:val="left"/>
        <w:rPr>
          <w:rFonts w:cs="Times New Roman"/>
          <w:sz w:val="22"/>
          <w:szCs w:val="22"/>
        </w:rPr>
      </w:pPr>
      <w:r w:rsidRPr="002E496B">
        <w:rPr>
          <w:rFonts w:cs="Times New Roman"/>
          <w:sz w:val="22"/>
          <w:szCs w:val="22"/>
        </w:rPr>
        <w:br w:type="page"/>
      </w:r>
    </w:p>
    <w:p w14:paraId="7610F155" w14:textId="480A8254" w:rsidR="008E21CE" w:rsidRPr="002E496B" w:rsidRDefault="007E483E" w:rsidP="002626C1">
      <w:pPr>
        <w:pStyle w:val="1"/>
        <w:spacing w:line="480" w:lineRule="auto"/>
        <w:jc w:val="left"/>
        <w:rPr>
          <w:rFonts w:ascii="Times New Roman" w:hAnsi="Times New Roman" w:cs="Times New Roman"/>
          <w:b/>
          <w:bCs/>
          <w:sz w:val="22"/>
          <w:szCs w:val="22"/>
        </w:rPr>
      </w:pPr>
      <w:r w:rsidRPr="002E496B">
        <w:rPr>
          <w:rFonts w:ascii="Times New Roman" w:eastAsiaTheme="minorEastAsia" w:hAnsi="Times New Roman" w:cs="Times New Roman"/>
          <w:b/>
          <w:bCs/>
          <w:sz w:val="22"/>
          <w:szCs w:val="22"/>
        </w:rPr>
        <w:lastRenderedPageBreak/>
        <w:t xml:space="preserve">Supplementary </w:t>
      </w:r>
      <w:r w:rsidR="00B13A43" w:rsidRPr="002E496B">
        <w:rPr>
          <w:rFonts w:ascii="Times New Roman" w:eastAsiaTheme="minorEastAsia" w:hAnsi="Times New Roman" w:cs="Times New Roman"/>
          <w:b/>
          <w:bCs/>
          <w:sz w:val="22"/>
          <w:szCs w:val="22"/>
        </w:rPr>
        <w:t>Note</w:t>
      </w:r>
      <w:r w:rsidRPr="002E496B">
        <w:rPr>
          <w:rFonts w:ascii="Times New Roman" w:hAnsi="Times New Roman" w:cs="Times New Roman"/>
          <w:b/>
          <w:bCs/>
          <w:sz w:val="22"/>
          <w:szCs w:val="22"/>
        </w:rPr>
        <w:t xml:space="preserve"> </w:t>
      </w:r>
      <w:r w:rsidR="00413771" w:rsidRPr="002E496B">
        <w:rPr>
          <w:rFonts w:ascii="Times New Roman" w:eastAsiaTheme="minorEastAsia" w:hAnsi="Times New Roman" w:cs="Times New Roman"/>
          <w:b/>
          <w:bCs/>
          <w:sz w:val="22"/>
          <w:szCs w:val="22"/>
        </w:rPr>
        <w:t>4</w:t>
      </w:r>
      <w:r w:rsidRPr="002E496B">
        <w:rPr>
          <w:rFonts w:ascii="Times New Roman" w:hAnsi="Times New Roman" w:cs="Times New Roman"/>
          <w:b/>
          <w:bCs/>
          <w:sz w:val="22"/>
          <w:szCs w:val="22"/>
        </w:rPr>
        <w:t>.</w:t>
      </w:r>
      <w:r w:rsidRPr="002E496B">
        <w:rPr>
          <w:rFonts w:ascii="Times New Roman" w:hAnsi="Times New Roman" w:cs="Times New Roman"/>
          <w:sz w:val="22"/>
          <w:szCs w:val="22"/>
        </w:rPr>
        <w:t xml:space="preserve"> </w:t>
      </w:r>
      <w:r w:rsidR="00997B8C" w:rsidRPr="002E496B">
        <w:rPr>
          <w:rFonts w:ascii="Times New Roman" w:hAnsi="Times New Roman" w:cs="Times New Roman"/>
          <w:b/>
          <w:bCs/>
          <w:sz w:val="22"/>
          <w:szCs w:val="22"/>
        </w:rPr>
        <w:t>Considerations for Interpretation and Practical Use</w:t>
      </w:r>
    </w:p>
    <w:p w14:paraId="5CEDC67A" w14:textId="37D0A382" w:rsidR="00AC0648" w:rsidRPr="002E496B" w:rsidRDefault="007E483E" w:rsidP="002626C1">
      <w:pPr>
        <w:spacing w:line="480" w:lineRule="auto"/>
        <w:jc w:val="left"/>
        <w:rPr>
          <w:rFonts w:cs="Times New Roman"/>
          <w:sz w:val="22"/>
          <w:szCs w:val="22"/>
        </w:rPr>
      </w:pPr>
      <w:r w:rsidRPr="002E496B">
        <w:rPr>
          <w:rFonts w:cs="Times New Roman"/>
          <w:sz w:val="22"/>
          <w:szCs w:val="22"/>
        </w:rPr>
        <w:t>The AEST platform and the associated framework analyses are intended to support hypothesis generation regarding drug–adverse event relationships and the broader structure–side effect landscape. Simultaneously, several aspects related to data sources, representation choices, and validation strategies should be considered when interpreting the observed patterns and when applying the system in practice.</w:t>
      </w:r>
    </w:p>
    <w:p w14:paraId="51F073AF" w14:textId="2114FBA9" w:rsidR="00AC0648" w:rsidRPr="002E496B" w:rsidRDefault="007E483E" w:rsidP="002626C1">
      <w:pPr>
        <w:spacing w:line="480" w:lineRule="auto"/>
        <w:jc w:val="left"/>
        <w:rPr>
          <w:rFonts w:cs="Times New Roman"/>
          <w:sz w:val="22"/>
          <w:szCs w:val="22"/>
        </w:rPr>
      </w:pPr>
      <w:r w:rsidRPr="002E496B">
        <w:rPr>
          <w:rFonts w:cs="Times New Roman"/>
          <w:sz w:val="22"/>
          <w:szCs w:val="22"/>
        </w:rPr>
        <w:t xml:space="preserve">First, </w:t>
      </w:r>
      <w:r w:rsidR="00B60475" w:rsidRPr="002E496B">
        <w:rPr>
          <w:rFonts w:cs="Times New Roman"/>
          <w:sz w:val="22"/>
          <w:szCs w:val="22"/>
        </w:rPr>
        <w:t xml:space="preserve">as </w:t>
      </w:r>
      <w:r w:rsidRPr="002E496B">
        <w:rPr>
          <w:rFonts w:eastAsia="游明朝" w:cs="Times New Roman"/>
          <w:sz w:val="22"/>
          <w:szCs w:val="22"/>
        </w:rPr>
        <w:t xml:space="preserve">the </w:t>
      </w:r>
      <w:r w:rsidRPr="002E496B">
        <w:rPr>
          <w:rFonts w:cs="Times New Roman"/>
          <w:sz w:val="22"/>
          <w:szCs w:val="22"/>
        </w:rPr>
        <w:t>FAERS is a spontaneous reporting database, the signals identified in this study should be interpreted as statistical associations rather than direct evidence of causality. Even when disproportionality metrics indicate elevated reporting, residual confound</w:t>
      </w:r>
      <w:r w:rsidRPr="002E496B">
        <w:rPr>
          <w:rFonts w:eastAsia="游明朝" w:cs="Times New Roman"/>
          <w:sz w:val="22"/>
          <w:szCs w:val="22"/>
        </w:rPr>
        <w:t xml:space="preserve">ers owing </w:t>
      </w:r>
      <w:r w:rsidRPr="002E496B">
        <w:rPr>
          <w:rFonts w:cs="Times New Roman"/>
          <w:sz w:val="22"/>
          <w:szCs w:val="22"/>
        </w:rPr>
        <w:t xml:space="preserve">to concomitant medications, comorbidities, disease severity, and other patient-level factors may persist. This consideration is particularly important in settings where reported adverse events may overlap with the natural clinical course of the treated condition itself and may also contribute to </w:t>
      </w:r>
      <w:r w:rsidRPr="002E496B">
        <w:rPr>
          <w:rFonts w:eastAsia="游明朝" w:cs="Times New Roman"/>
          <w:sz w:val="22"/>
          <w:szCs w:val="22"/>
        </w:rPr>
        <w:t>an apparently higher divergence in therapeutic areas characterized by complex symptoms and reporting behaviors, such as neurological and psychiatric disorders.</w:t>
      </w:r>
    </w:p>
    <w:p w14:paraId="6E925201" w14:textId="32EEA94B" w:rsidR="00AC0648" w:rsidRPr="002E496B" w:rsidRDefault="007E483E" w:rsidP="002626C1">
      <w:pPr>
        <w:spacing w:line="480" w:lineRule="auto"/>
        <w:jc w:val="left"/>
        <w:rPr>
          <w:rFonts w:cs="Times New Roman"/>
          <w:sz w:val="22"/>
          <w:szCs w:val="22"/>
        </w:rPr>
      </w:pPr>
      <w:r w:rsidRPr="002E496B">
        <w:rPr>
          <w:rFonts w:cs="Times New Roman"/>
          <w:sz w:val="22"/>
          <w:szCs w:val="22"/>
        </w:rPr>
        <w:t>Second, clinical and prescription context</w:t>
      </w:r>
      <w:r w:rsidRPr="002E496B">
        <w:rPr>
          <w:rFonts w:eastAsia="游明朝" w:cs="Times New Roman"/>
          <w:sz w:val="22"/>
          <w:szCs w:val="22"/>
        </w:rPr>
        <w:t xml:space="preserve">s can shape safety profiles in ways that are not fully captured by chemical structure similarity alone. Indication bias and </w:t>
      </w:r>
      <w:r w:rsidRPr="002E496B">
        <w:rPr>
          <w:rFonts w:cs="Times New Roman"/>
          <w:sz w:val="22"/>
          <w:szCs w:val="22"/>
        </w:rPr>
        <w:t>prescription patterns may differ substantially even within the same therapeutic class; for example</w:t>
      </w:r>
      <w:r w:rsidRPr="002E496B">
        <w:rPr>
          <w:rFonts w:eastAsia="游明朝" w:cs="Times New Roman"/>
          <w:sz w:val="22"/>
          <w:szCs w:val="22"/>
        </w:rPr>
        <w:t xml:space="preserve">, when later-line therapies are preferentially prescribed to patients with more severe or treatment-resistant </w:t>
      </w:r>
      <w:r w:rsidRPr="002E496B">
        <w:rPr>
          <w:rFonts w:eastAsia="游明朝" w:cs="Times New Roman"/>
          <w:sz w:val="22"/>
          <w:szCs w:val="22"/>
        </w:rPr>
        <w:lastRenderedPageBreak/>
        <w:t>diseases. Consequently, when structurally similar drugs exhibit different adverse event profiles, these differences may reflect not only intrinsic pharmacological properties, but also systematic differences in patient populations and treatment contexts.</w:t>
      </w:r>
    </w:p>
    <w:p w14:paraId="638D2F60" w14:textId="413231CC" w:rsidR="00AC0648" w:rsidRPr="002E496B" w:rsidRDefault="007E483E" w:rsidP="002626C1">
      <w:pPr>
        <w:spacing w:line="480" w:lineRule="auto"/>
        <w:jc w:val="left"/>
        <w:rPr>
          <w:rFonts w:cs="Times New Roman"/>
          <w:sz w:val="22"/>
          <w:szCs w:val="22"/>
        </w:rPr>
      </w:pPr>
      <w:r w:rsidRPr="002E496B">
        <w:rPr>
          <w:rFonts w:cs="Times New Roman"/>
          <w:sz w:val="22"/>
          <w:szCs w:val="22"/>
        </w:rPr>
        <w:t xml:space="preserve">Third, </w:t>
      </w:r>
      <w:r w:rsidRPr="002E496B">
        <w:rPr>
          <w:rFonts w:eastAsia="游明朝" w:cs="Times New Roman"/>
          <w:sz w:val="22"/>
          <w:szCs w:val="22"/>
        </w:rPr>
        <w:t xml:space="preserve">the generalizability across regions should be approached with caution. The FAERS is largely centered on the United States, and reporting practices, healthcare systems, and population characteristics vary internationally. In addition, population-level differences in the prevalence of functional polymorphisms in drug-metabolizing enzymes, such as CYP2C19 and CYP2D6, may further influence drug exposure and </w:t>
      </w:r>
      <w:r w:rsidRPr="002E496B">
        <w:rPr>
          <w:rFonts w:cs="Times New Roman"/>
          <w:sz w:val="22"/>
          <w:szCs w:val="22"/>
        </w:rPr>
        <w:t xml:space="preserve">the risk of adverse events. Extending this analytical framework to additional pharmacovigilance resources, including JADER, EudraVigilance, and VigiBase, is important for assessing the consistency and robustness of </w:t>
      </w:r>
      <w:r w:rsidRPr="002E496B">
        <w:rPr>
          <w:rFonts w:eastAsia="游明朝" w:cs="Times New Roman"/>
          <w:sz w:val="22"/>
          <w:szCs w:val="22"/>
        </w:rPr>
        <w:t>the observed patterns across settings.</w:t>
      </w:r>
    </w:p>
    <w:p w14:paraId="785C104D" w14:textId="2C4CCCB0" w:rsidR="00AC0648" w:rsidRPr="002E496B" w:rsidRDefault="007E483E" w:rsidP="002626C1">
      <w:pPr>
        <w:spacing w:line="480" w:lineRule="auto"/>
        <w:jc w:val="left"/>
        <w:rPr>
          <w:rFonts w:cs="Times New Roman"/>
          <w:sz w:val="22"/>
          <w:szCs w:val="22"/>
        </w:rPr>
      </w:pPr>
      <w:r w:rsidRPr="002E496B">
        <w:rPr>
          <w:rFonts w:cs="Times New Roman"/>
          <w:sz w:val="22"/>
          <w:szCs w:val="22"/>
        </w:rPr>
        <w:t xml:space="preserve">From a methodological perspective, dimensionality reduction provides an interpretable representation of high-dimensional data but inevitably involves information compression. The trustworthiness of the two-dimensional projections indicates that local neighborhood relationships are not perfectly preserved, and </w:t>
      </w:r>
      <w:r w:rsidRPr="002E496B">
        <w:rPr>
          <w:rFonts w:eastAsia="游明朝" w:cs="Times New Roman"/>
          <w:sz w:val="22"/>
          <w:szCs w:val="22"/>
        </w:rPr>
        <w:t>the interpretation of relative distances</w:t>
      </w:r>
      <w:r w:rsidRPr="002E496B">
        <w:rPr>
          <w:rFonts w:cs="Times New Roman"/>
          <w:sz w:val="22"/>
          <w:szCs w:val="22"/>
        </w:rPr>
        <w:t>, particularly for drugs located near apparent boundaries in the embedded space, should therefore remain conservative. Future studies may explore alternative embedding strategies or parameterizations that better balance interpretability while preserving the local structure.</w:t>
      </w:r>
    </w:p>
    <w:p w14:paraId="7EEA4EC8" w14:textId="77777777" w:rsidR="00AC0648" w:rsidRPr="002E496B" w:rsidRDefault="00AC0648" w:rsidP="002626C1">
      <w:pPr>
        <w:spacing w:line="480" w:lineRule="auto"/>
        <w:jc w:val="left"/>
        <w:rPr>
          <w:rFonts w:cs="Times New Roman"/>
          <w:sz w:val="22"/>
          <w:szCs w:val="22"/>
        </w:rPr>
      </w:pPr>
    </w:p>
    <w:p w14:paraId="22B2ECC9" w14:textId="77777777" w:rsidR="00AC0648" w:rsidRPr="002E496B" w:rsidRDefault="007E483E" w:rsidP="002626C1">
      <w:pPr>
        <w:spacing w:line="480" w:lineRule="auto"/>
        <w:jc w:val="left"/>
        <w:rPr>
          <w:rFonts w:cs="Times New Roman"/>
          <w:sz w:val="22"/>
          <w:szCs w:val="22"/>
        </w:rPr>
      </w:pPr>
      <w:r w:rsidRPr="002E496B">
        <w:rPr>
          <w:rFonts w:cs="Times New Roman"/>
          <w:sz w:val="22"/>
          <w:szCs w:val="22"/>
        </w:rPr>
        <w:t>In addition, the use of two-dimensional chemical descriptors enables broad compound coverage and computational scalability</w:t>
      </w:r>
      <w:r w:rsidRPr="002E496B">
        <w:rPr>
          <w:rFonts w:eastAsia="游明朝" w:cs="Times New Roman"/>
          <w:sz w:val="22"/>
          <w:szCs w:val="22"/>
        </w:rPr>
        <w:t>, but does not capture stereochemistry, conformational flexibility, or dynamic molecular behavior that may be relevant to toxicity. Accordingly, some instances of structure–side effect divergence may reflect limitations of representation rather than true biological dissociation, motivating the future integration of three-dimensional descriptors or complementary molecular representations where feasible.</w:t>
      </w:r>
    </w:p>
    <w:p w14:paraId="1E25C251" w14:textId="3A0A09AD" w:rsidR="00AC0648" w:rsidRPr="002E496B" w:rsidRDefault="007E483E" w:rsidP="002626C1">
      <w:pPr>
        <w:spacing w:line="480" w:lineRule="auto"/>
        <w:jc w:val="left"/>
        <w:rPr>
          <w:rFonts w:cs="Times New Roman"/>
          <w:sz w:val="22"/>
          <w:szCs w:val="22"/>
        </w:rPr>
      </w:pPr>
      <w:r w:rsidRPr="002E496B">
        <w:rPr>
          <w:rFonts w:cs="Times New Roman"/>
          <w:sz w:val="22"/>
          <w:szCs w:val="22"/>
        </w:rPr>
        <w:t xml:space="preserve">Finally, external benchmarking of label-derived resources </w:t>
      </w:r>
      <w:r w:rsidR="006E1514" w:rsidRPr="002E496B">
        <w:rPr>
          <w:rFonts w:cs="Times New Roman"/>
          <w:sz w:val="22"/>
          <w:szCs w:val="22"/>
        </w:rPr>
        <w:t>require</w:t>
      </w:r>
      <w:r w:rsidRPr="002E496B">
        <w:rPr>
          <w:rFonts w:cs="Times New Roman"/>
          <w:sz w:val="22"/>
          <w:szCs w:val="22"/>
        </w:rPr>
        <w:t xml:space="preserve"> careful framing. Although OnSIDES provides standardized mappings based on regulatory documents, it does not necessarily reflect the full reasoning underlying regulatory decisions, nor does it always capture the most up-to-date labeling information. Therefore, limited concordance with label-derived references should not be interpreted solely as a high false positive rate; it may also reflect the identification of emerging, incompletely characterized, or context-dependent risks.</w:t>
      </w:r>
    </w:p>
    <w:p w14:paraId="79A2709C" w14:textId="45D9857A" w:rsidR="000D21A4" w:rsidRPr="002E496B" w:rsidRDefault="007E483E" w:rsidP="00D53987">
      <w:pPr>
        <w:spacing w:line="480" w:lineRule="auto"/>
        <w:jc w:val="left"/>
        <w:rPr>
          <w:rFonts w:eastAsia="游明朝" w:cs="Times New Roman"/>
          <w:sz w:val="22"/>
          <w:szCs w:val="22"/>
        </w:rPr>
      </w:pPr>
      <w:r w:rsidRPr="002E496B">
        <w:rPr>
          <w:rFonts w:cs="Times New Roman"/>
          <w:sz w:val="22"/>
          <w:szCs w:val="22"/>
        </w:rPr>
        <w:t>More broadly, AEST is positioned as a hypothesis generation tool for drug safety research and pharmaceutical development. Its outputs should be interpreted independent of regulatory decision-making processes and spontaneous reporting systems, and any clinical or regulatory conclusions should be drawn in conjunction with expert review</w:t>
      </w:r>
      <w:r w:rsidRPr="002E496B">
        <w:rPr>
          <w:rFonts w:eastAsia="游明朝" w:cs="Times New Roman"/>
          <w:sz w:val="22"/>
          <w:szCs w:val="22"/>
        </w:rPr>
        <w:t>s and additional lines of evidence.</w:t>
      </w:r>
      <w:r w:rsidRPr="002E496B">
        <w:rPr>
          <w:rFonts w:eastAsia="游明朝" w:cs="Times New Roman"/>
          <w:sz w:val="22"/>
          <w:szCs w:val="22"/>
        </w:rPr>
        <w:br w:type="page"/>
      </w:r>
    </w:p>
    <w:p w14:paraId="3AB61AE9" w14:textId="47C9F7C0" w:rsidR="00D90DF4" w:rsidRPr="002E496B" w:rsidRDefault="007E483E" w:rsidP="00B1726F">
      <w:pPr>
        <w:widowControl/>
        <w:spacing w:line="480" w:lineRule="auto"/>
        <w:jc w:val="left"/>
        <w:rPr>
          <w:rFonts w:asciiTheme="majorHAnsi" w:eastAsiaTheme="minorHAnsi" w:hAnsiTheme="majorHAnsi" w:cs="Times New Roman"/>
          <w:b/>
          <w:bCs/>
          <w:sz w:val="22"/>
          <w:szCs w:val="22"/>
        </w:rPr>
      </w:pPr>
      <w:r w:rsidRPr="002E496B">
        <w:rPr>
          <w:rFonts w:eastAsiaTheme="minorHAnsi" w:cs="Times New Roman"/>
          <w:b/>
          <w:bCs/>
          <w:sz w:val="22"/>
          <w:szCs w:val="22"/>
        </w:rPr>
        <w:lastRenderedPageBreak/>
        <w:t>Supplementa</w:t>
      </w:r>
      <w:r w:rsidR="00EE4B49" w:rsidRPr="002E496B">
        <w:rPr>
          <w:rFonts w:eastAsiaTheme="minorHAnsi" w:cs="Times New Roman"/>
          <w:b/>
          <w:bCs/>
          <w:sz w:val="22"/>
          <w:szCs w:val="22"/>
        </w:rPr>
        <w:t xml:space="preserve">ry </w:t>
      </w:r>
      <w:r w:rsidRPr="002E496B">
        <w:rPr>
          <w:rFonts w:eastAsiaTheme="minorHAnsi" w:cs="Times New Roman"/>
          <w:b/>
          <w:bCs/>
          <w:sz w:val="22"/>
          <w:szCs w:val="22"/>
        </w:rPr>
        <w:t>Reference</w:t>
      </w:r>
      <w:r w:rsidR="00035147" w:rsidRPr="002E496B">
        <w:rPr>
          <w:rFonts w:eastAsiaTheme="minorHAnsi" w:cs="Times New Roman"/>
          <w:b/>
          <w:bCs/>
          <w:sz w:val="22"/>
          <w:szCs w:val="22"/>
        </w:rPr>
        <w:t>s</w:t>
      </w:r>
    </w:p>
    <w:p w14:paraId="4ACA872A" w14:textId="77777777" w:rsidR="001D2130" w:rsidRPr="002E496B" w:rsidRDefault="007E483E" w:rsidP="006A2A8D">
      <w:pPr>
        <w:pStyle w:val="af0"/>
        <w:jc w:val="left"/>
        <w:rPr>
          <w:rFonts w:cs="Times New Roman"/>
          <w:sz w:val="22"/>
        </w:rPr>
      </w:pPr>
      <w:r w:rsidRPr="002E496B">
        <w:rPr>
          <w:rFonts w:eastAsiaTheme="minorHAnsi"/>
          <w:sz w:val="22"/>
          <w:szCs w:val="22"/>
        </w:rPr>
        <w:fldChar w:fldCharType="begin"/>
      </w:r>
      <w:r w:rsidR="001D2130" w:rsidRPr="002E496B">
        <w:rPr>
          <w:rFonts w:eastAsiaTheme="minorHAnsi"/>
          <w:sz w:val="22"/>
          <w:szCs w:val="22"/>
        </w:rPr>
        <w:instrText xml:space="preserve"> ADDIN ZOTERO_BIBL {"uncited":[],"omitted":[],"custom":[]} CSL_BIBLIOGRAPHY </w:instrText>
      </w:r>
      <w:r w:rsidRPr="002E496B">
        <w:rPr>
          <w:rFonts w:eastAsiaTheme="minorHAnsi"/>
          <w:sz w:val="22"/>
          <w:szCs w:val="22"/>
        </w:rPr>
        <w:fldChar w:fldCharType="separate"/>
      </w:r>
      <w:r w:rsidR="001D2130" w:rsidRPr="002E496B">
        <w:rPr>
          <w:rFonts w:cs="Times New Roman"/>
          <w:sz w:val="22"/>
        </w:rPr>
        <w:t>1.</w:t>
      </w:r>
      <w:r w:rsidR="001D2130" w:rsidRPr="002E496B">
        <w:rPr>
          <w:rFonts w:cs="Times New Roman"/>
          <w:sz w:val="22"/>
        </w:rPr>
        <w:tab/>
        <w:t xml:space="preserve">FDA Adverse Event Reporting System (FAERS): Latest Quarterly Data Files. </w:t>
      </w:r>
      <w:r w:rsidR="001D2130" w:rsidRPr="002E496B">
        <w:rPr>
          <w:rFonts w:cs="Times New Roman"/>
          <w:i/>
          <w:iCs/>
          <w:sz w:val="22"/>
        </w:rPr>
        <w:t>FDA</w:t>
      </w:r>
      <w:r w:rsidR="001D2130" w:rsidRPr="002E496B">
        <w:rPr>
          <w:rFonts w:cs="Times New Roman"/>
          <w:sz w:val="22"/>
        </w:rPr>
        <w:t xml:space="preserve"> (2019) https://www.fda.gov/drugs/fdas-adverse-event-reporting-system-faers/fda-adverse-event-reporting-system-faers-latest-quarterly-data-files.</w:t>
      </w:r>
    </w:p>
    <w:p w14:paraId="56B02621" w14:textId="77777777" w:rsidR="001D2130" w:rsidRPr="002E496B" w:rsidRDefault="001D2130" w:rsidP="006A2A8D">
      <w:pPr>
        <w:pStyle w:val="af0"/>
        <w:jc w:val="left"/>
        <w:rPr>
          <w:rFonts w:cs="Times New Roman"/>
          <w:sz w:val="22"/>
        </w:rPr>
      </w:pPr>
      <w:r w:rsidRPr="002E496B">
        <w:rPr>
          <w:rFonts w:cs="Times New Roman"/>
          <w:sz w:val="22"/>
        </w:rPr>
        <w:t>2.</w:t>
      </w:r>
      <w:r w:rsidRPr="002E496B">
        <w:rPr>
          <w:rFonts w:cs="Times New Roman"/>
          <w:sz w:val="22"/>
        </w:rPr>
        <w:tab/>
        <w:t>Streamlit • A faster way to build and share data apps. (2021) https://streamlit.io/.</w:t>
      </w:r>
    </w:p>
    <w:p w14:paraId="3EB3B1F4" w14:textId="77777777" w:rsidR="001D2130" w:rsidRPr="002E496B" w:rsidRDefault="001D2130" w:rsidP="006A2A8D">
      <w:pPr>
        <w:pStyle w:val="af0"/>
        <w:jc w:val="left"/>
        <w:rPr>
          <w:rFonts w:cs="Times New Roman"/>
          <w:sz w:val="22"/>
        </w:rPr>
      </w:pPr>
      <w:r w:rsidRPr="002E496B">
        <w:rPr>
          <w:rFonts w:cs="Times New Roman"/>
          <w:sz w:val="22"/>
        </w:rPr>
        <w:t>3.</w:t>
      </w:r>
      <w:r w:rsidRPr="002E496B">
        <w:rPr>
          <w:rFonts w:cs="Times New Roman"/>
          <w:sz w:val="22"/>
        </w:rPr>
        <w:tab/>
        <w:t xml:space="preserve">Moritz, P. </w:t>
      </w:r>
      <w:r w:rsidRPr="002E496B">
        <w:rPr>
          <w:rFonts w:cs="Times New Roman"/>
          <w:i/>
          <w:iCs/>
          <w:sz w:val="22"/>
        </w:rPr>
        <w:t>et al.</w:t>
      </w:r>
      <w:r w:rsidRPr="002E496B">
        <w:rPr>
          <w:rFonts w:cs="Times New Roman"/>
          <w:sz w:val="22"/>
        </w:rPr>
        <w:t xml:space="preserve"> Ray: a distributed framework for emerging AI applications. in </w:t>
      </w:r>
      <w:r w:rsidRPr="002E496B">
        <w:rPr>
          <w:rFonts w:cs="Times New Roman"/>
          <w:i/>
          <w:iCs/>
          <w:sz w:val="22"/>
        </w:rPr>
        <w:t>Proceedings of the 13th USENIX conference on Operating Systems Design and Implementation</w:t>
      </w:r>
      <w:r w:rsidRPr="002E496B">
        <w:rPr>
          <w:rFonts w:cs="Times New Roman"/>
          <w:sz w:val="22"/>
        </w:rPr>
        <w:t xml:space="preserve"> 561–577 (USENIX Association, USA, 2018).</w:t>
      </w:r>
    </w:p>
    <w:p w14:paraId="0EBEC20C" w14:textId="77777777" w:rsidR="001D2130" w:rsidRPr="002E496B" w:rsidRDefault="001D2130" w:rsidP="006A2A8D">
      <w:pPr>
        <w:pStyle w:val="af0"/>
        <w:jc w:val="left"/>
        <w:rPr>
          <w:rFonts w:cs="Times New Roman"/>
          <w:sz w:val="22"/>
        </w:rPr>
      </w:pPr>
      <w:r w:rsidRPr="002E496B">
        <w:rPr>
          <w:rFonts w:cs="Times New Roman"/>
          <w:sz w:val="22"/>
        </w:rPr>
        <w:t>4.</w:t>
      </w:r>
      <w:r w:rsidRPr="002E496B">
        <w:rPr>
          <w:rFonts w:cs="Times New Roman"/>
          <w:sz w:val="22"/>
        </w:rPr>
        <w:tab/>
        <w:t xml:space="preserve">Senger, C., Kaltschmidt, J., Schmitt, S. P. W., Pruszydlo, M. G. &amp; Haefeli, W. E. Misspellings in drug information system queries: characteristics of drug name spelling errors and strategies for their prevention. </w:t>
      </w:r>
      <w:r w:rsidRPr="002E496B">
        <w:rPr>
          <w:rFonts w:cs="Times New Roman"/>
          <w:i/>
          <w:iCs/>
          <w:sz w:val="22"/>
        </w:rPr>
        <w:t>Int J Med Inform</w:t>
      </w:r>
      <w:r w:rsidRPr="002E496B">
        <w:rPr>
          <w:rFonts w:cs="Times New Roman"/>
          <w:sz w:val="22"/>
        </w:rPr>
        <w:t xml:space="preserve"> </w:t>
      </w:r>
      <w:r w:rsidRPr="002E496B">
        <w:rPr>
          <w:rFonts w:cs="Times New Roman"/>
          <w:b/>
          <w:bCs/>
          <w:sz w:val="22"/>
        </w:rPr>
        <w:t>79</w:t>
      </w:r>
      <w:r w:rsidRPr="002E496B">
        <w:rPr>
          <w:rFonts w:cs="Times New Roman"/>
          <w:sz w:val="22"/>
        </w:rPr>
        <w:t>, 832–839 (2010) https://doi.org/10.1016/j.ijmedinf.2010.09.005.</w:t>
      </w:r>
    </w:p>
    <w:p w14:paraId="4727091F" w14:textId="77777777" w:rsidR="001D2130" w:rsidRPr="002E496B" w:rsidRDefault="001D2130" w:rsidP="006A2A8D">
      <w:pPr>
        <w:pStyle w:val="af0"/>
        <w:jc w:val="left"/>
        <w:rPr>
          <w:rFonts w:cs="Times New Roman"/>
          <w:sz w:val="22"/>
        </w:rPr>
      </w:pPr>
      <w:r w:rsidRPr="002E496B">
        <w:rPr>
          <w:rFonts w:cs="Times New Roman"/>
          <w:sz w:val="22"/>
        </w:rPr>
        <w:t>5.</w:t>
      </w:r>
      <w:r w:rsidRPr="002E496B">
        <w:rPr>
          <w:rFonts w:cs="Times New Roman"/>
          <w:sz w:val="22"/>
        </w:rPr>
        <w:tab/>
        <w:t xml:space="preserve">Waruru, A. </w:t>
      </w:r>
      <w:r w:rsidRPr="002E496B">
        <w:rPr>
          <w:rFonts w:cs="Times New Roman"/>
          <w:i/>
          <w:iCs/>
          <w:sz w:val="22"/>
        </w:rPr>
        <w:t>et al.</w:t>
      </w:r>
      <w:r w:rsidRPr="002E496B">
        <w:rPr>
          <w:rFonts w:cs="Times New Roman"/>
          <w:sz w:val="22"/>
        </w:rPr>
        <w:t xml:space="preserve"> Where No Universal Health Care Identifier Exists: Comparison and Determination of the Utility of Score-Based Persons Matching Algorithms Using Demographic Data. </w:t>
      </w:r>
      <w:r w:rsidRPr="002E496B">
        <w:rPr>
          <w:rFonts w:cs="Times New Roman"/>
          <w:i/>
          <w:iCs/>
          <w:sz w:val="22"/>
        </w:rPr>
        <w:t>JMIR Public Health and Surveillance</w:t>
      </w:r>
      <w:r w:rsidRPr="002E496B">
        <w:rPr>
          <w:rFonts w:cs="Times New Roman"/>
          <w:sz w:val="22"/>
        </w:rPr>
        <w:t xml:space="preserve"> </w:t>
      </w:r>
      <w:r w:rsidRPr="002E496B">
        <w:rPr>
          <w:rFonts w:cs="Times New Roman"/>
          <w:b/>
          <w:bCs/>
          <w:sz w:val="22"/>
        </w:rPr>
        <w:t>4</w:t>
      </w:r>
      <w:r w:rsidRPr="002E496B">
        <w:rPr>
          <w:rFonts w:cs="Times New Roman"/>
          <w:sz w:val="22"/>
        </w:rPr>
        <w:t>, e10436 (2018) https://doi.org/10.2196/10436.</w:t>
      </w:r>
    </w:p>
    <w:p w14:paraId="3F95BE08" w14:textId="77777777" w:rsidR="001D2130" w:rsidRPr="002E496B" w:rsidRDefault="001D2130" w:rsidP="006A2A8D">
      <w:pPr>
        <w:pStyle w:val="af0"/>
        <w:jc w:val="left"/>
        <w:rPr>
          <w:rFonts w:cs="Times New Roman"/>
          <w:sz w:val="22"/>
        </w:rPr>
      </w:pPr>
      <w:r w:rsidRPr="002E496B">
        <w:rPr>
          <w:rFonts w:cs="Times New Roman"/>
          <w:sz w:val="22"/>
        </w:rPr>
        <w:t>6.</w:t>
      </w:r>
      <w:r w:rsidRPr="002E496B">
        <w:rPr>
          <w:rFonts w:cs="Times New Roman"/>
          <w:sz w:val="22"/>
        </w:rPr>
        <w:tab/>
        <w:t>Ma, E. makcedward/nlpaug. (2026).</w:t>
      </w:r>
    </w:p>
    <w:p w14:paraId="6EA81597" w14:textId="77777777" w:rsidR="001D2130" w:rsidRPr="002E496B" w:rsidRDefault="001D2130" w:rsidP="006A2A8D">
      <w:pPr>
        <w:pStyle w:val="af0"/>
        <w:jc w:val="left"/>
        <w:rPr>
          <w:rFonts w:cs="Times New Roman"/>
          <w:sz w:val="22"/>
        </w:rPr>
      </w:pPr>
      <w:r w:rsidRPr="002E496B">
        <w:rPr>
          <w:rFonts w:cs="Times New Roman"/>
          <w:sz w:val="22"/>
        </w:rPr>
        <w:t>7.</w:t>
      </w:r>
      <w:r w:rsidRPr="002E496B">
        <w:rPr>
          <w:rFonts w:cs="Times New Roman"/>
          <w:sz w:val="22"/>
        </w:rPr>
        <w:tab/>
        <w:t xml:space="preserve">Fast and reliable end-to-end testing for modern web apps | Playwright. </w:t>
      </w:r>
      <w:r w:rsidRPr="002E496B">
        <w:rPr>
          <w:rFonts w:cs="Times New Roman"/>
          <w:sz w:val="22"/>
        </w:rPr>
        <w:lastRenderedPageBreak/>
        <w:t>https://playwright.dev/.</w:t>
      </w:r>
    </w:p>
    <w:p w14:paraId="41513625" w14:textId="77777777" w:rsidR="001D2130" w:rsidRPr="002E496B" w:rsidRDefault="001D2130" w:rsidP="006A2A8D">
      <w:pPr>
        <w:pStyle w:val="af0"/>
        <w:jc w:val="left"/>
        <w:rPr>
          <w:rFonts w:cs="Times New Roman"/>
          <w:sz w:val="22"/>
        </w:rPr>
      </w:pPr>
      <w:r w:rsidRPr="002E496B">
        <w:rPr>
          <w:rFonts w:cs="Times New Roman"/>
          <w:sz w:val="22"/>
        </w:rPr>
        <w:t>8.</w:t>
      </w:r>
      <w:r w:rsidRPr="002E496B">
        <w:rPr>
          <w:rFonts w:cs="Times New Roman"/>
          <w:sz w:val="22"/>
        </w:rPr>
        <w:tab/>
        <w:t>Search FDA FAERS and MAUDE databases (drug and medical-device adverse events). https://www.fdable.com/.</w:t>
      </w:r>
    </w:p>
    <w:p w14:paraId="6396FFAF" w14:textId="77777777" w:rsidR="001D2130" w:rsidRPr="002E496B" w:rsidRDefault="001D2130" w:rsidP="006A2A8D">
      <w:pPr>
        <w:pStyle w:val="af0"/>
        <w:jc w:val="left"/>
        <w:rPr>
          <w:rFonts w:cs="Times New Roman"/>
          <w:sz w:val="22"/>
        </w:rPr>
      </w:pPr>
      <w:r w:rsidRPr="002E496B">
        <w:rPr>
          <w:rFonts w:cs="Times New Roman"/>
          <w:sz w:val="22"/>
        </w:rPr>
        <w:t>9.</w:t>
      </w:r>
      <w:r w:rsidRPr="002E496B">
        <w:rPr>
          <w:rFonts w:cs="Times New Roman"/>
          <w:sz w:val="22"/>
        </w:rPr>
        <w:tab/>
        <w:t xml:space="preserve">Grigoriev, I., zu Castell, W., Tsvetkov, P. &amp; Antonov, A. V. AERS spider: an online interactive tool to mine statistical associations in Adverse Event Reporting System. </w:t>
      </w:r>
      <w:r w:rsidRPr="002E496B">
        <w:rPr>
          <w:rFonts w:cs="Times New Roman"/>
          <w:i/>
          <w:iCs/>
          <w:sz w:val="22"/>
        </w:rPr>
        <w:t>Pharmacoepidemiology and Drug Safety</w:t>
      </w:r>
      <w:r w:rsidRPr="002E496B">
        <w:rPr>
          <w:rFonts w:cs="Times New Roman"/>
          <w:sz w:val="22"/>
        </w:rPr>
        <w:t xml:space="preserve"> </w:t>
      </w:r>
      <w:r w:rsidRPr="002E496B">
        <w:rPr>
          <w:rFonts w:cs="Times New Roman"/>
          <w:b/>
          <w:bCs/>
          <w:sz w:val="22"/>
        </w:rPr>
        <w:t>23</w:t>
      </w:r>
      <w:r w:rsidRPr="002E496B">
        <w:rPr>
          <w:rFonts w:cs="Times New Roman"/>
          <w:sz w:val="22"/>
        </w:rPr>
        <w:t>, 795–801 (2014) https://doi.org/10.1002/pds.3561.</w:t>
      </w:r>
    </w:p>
    <w:p w14:paraId="32DBB909" w14:textId="77777777" w:rsidR="001D2130" w:rsidRPr="002E496B" w:rsidRDefault="001D2130" w:rsidP="006A2A8D">
      <w:pPr>
        <w:pStyle w:val="af0"/>
        <w:jc w:val="left"/>
        <w:rPr>
          <w:rFonts w:cs="Times New Roman"/>
          <w:sz w:val="22"/>
        </w:rPr>
      </w:pPr>
      <w:r w:rsidRPr="002E496B">
        <w:rPr>
          <w:rFonts w:cs="Times New Roman"/>
          <w:sz w:val="22"/>
        </w:rPr>
        <w:t>10.</w:t>
      </w:r>
      <w:r w:rsidRPr="002E496B">
        <w:rPr>
          <w:rFonts w:cs="Times New Roman"/>
          <w:sz w:val="22"/>
        </w:rPr>
        <w:tab/>
        <w:t xml:space="preserve">Böhm, R. </w:t>
      </w:r>
      <w:r w:rsidRPr="002E496B">
        <w:rPr>
          <w:rFonts w:cs="Times New Roman"/>
          <w:i/>
          <w:iCs/>
          <w:sz w:val="22"/>
        </w:rPr>
        <w:t>et al.</w:t>
      </w:r>
      <w:r w:rsidRPr="002E496B">
        <w:rPr>
          <w:rFonts w:cs="Times New Roman"/>
          <w:sz w:val="22"/>
        </w:rPr>
        <w:t xml:space="preserve"> OpenVigil FDA - Inspection of U.S. American Adverse Drug Events Pharmacovigilance Data and Novel Clinical Applications. </w:t>
      </w:r>
      <w:r w:rsidRPr="002E496B">
        <w:rPr>
          <w:rFonts w:cs="Times New Roman"/>
          <w:i/>
          <w:iCs/>
          <w:sz w:val="22"/>
        </w:rPr>
        <w:t>PLoS One</w:t>
      </w:r>
      <w:r w:rsidRPr="002E496B">
        <w:rPr>
          <w:rFonts w:cs="Times New Roman"/>
          <w:sz w:val="22"/>
        </w:rPr>
        <w:t xml:space="preserve"> </w:t>
      </w:r>
      <w:r w:rsidRPr="002E496B">
        <w:rPr>
          <w:rFonts w:cs="Times New Roman"/>
          <w:b/>
          <w:bCs/>
          <w:sz w:val="22"/>
        </w:rPr>
        <w:t>11</w:t>
      </w:r>
      <w:r w:rsidRPr="002E496B">
        <w:rPr>
          <w:rFonts w:cs="Times New Roman"/>
          <w:sz w:val="22"/>
        </w:rPr>
        <w:t>, e0157753 (2016) https://doi.org/10.1371/journal.pone.0157753.</w:t>
      </w:r>
    </w:p>
    <w:p w14:paraId="32566DA8" w14:textId="77777777" w:rsidR="001D2130" w:rsidRPr="002E496B" w:rsidRDefault="001D2130" w:rsidP="006A2A8D">
      <w:pPr>
        <w:pStyle w:val="af0"/>
        <w:jc w:val="left"/>
        <w:rPr>
          <w:rFonts w:cs="Times New Roman"/>
          <w:sz w:val="22"/>
        </w:rPr>
      </w:pPr>
      <w:r w:rsidRPr="002E496B">
        <w:rPr>
          <w:rFonts w:cs="Times New Roman"/>
          <w:sz w:val="22"/>
        </w:rPr>
        <w:t>11.</w:t>
      </w:r>
      <w:r w:rsidRPr="002E496B">
        <w:rPr>
          <w:rFonts w:cs="Times New Roman"/>
          <w:sz w:val="22"/>
        </w:rPr>
        <w:tab/>
        <w:t xml:space="preserve">Sarangdhar, M. </w:t>
      </w:r>
      <w:r w:rsidRPr="002E496B">
        <w:rPr>
          <w:rFonts w:cs="Times New Roman"/>
          <w:i/>
          <w:iCs/>
          <w:sz w:val="22"/>
        </w:rPr>
        <w:t>et al.</w:t>
      </w:r>
      <w:r w:rsidRPr="002E496B">
        <w:rPr>
          <w:rFonts w:cs="Times New Roman"/>
          <w:sz w:val="22"/>
        </w:rPr>
        <w:t xml:space="preserve"> Data mining differential clinical outcomes associated with drug regimens using adverse event reporting data. </w:t>
      </w:r>
      <w:r w:rsidRPr="002E496B">
        <w:rPr>
          <w:rFonts w:cs="Times New Roman"/>
          <w:i/>
          <w:iCs/>
          <w:sz w:val="22"/>
        </w:rPr>
        <w:t>Nat Biotechnol</w:t>
      </w:r>
      <w:r w:rsidRPr="002E496B">
        <w:rPr>
          <w:rFonts w:cs="Times New Roman"/>
          <w:sz w:val="22"/>
        </w:rPr>
        <w:t xml:space="preserve"> </w:t>
      </w:r>
      <w:r w:rsidRPr="002E496B">
        <w:rPr>
          <w:rFonts w:cs="Times New Roman"/>
          <w:b/>
          <w:bCs/>
          <w:sz w:val="22"/>
        </w:rPr>
        <w:t>34</w:t>
      </w:r>
      <w:r w:rsidRPr="002E496B">
        <w:rPr>
          <w:rFonts w:cs="Times New Roman"/>
          <w:sz w:val="22"/>
        </w:rPr>
        <w:t>, 697–700 (2016) https://doi.org/10.1038/nbt.3623.</w:t>
      </w:r>
    </w:p>
    <w:p w14:paraId="38B98246" w14:textId="77777777" w:rsidR="001D2130" w:rsidRPr="002E496B" w:rsidRDefault="001D2130" w:rsidP="006A2A8D">
      <w:pPr>
        <w:pStyle w:val="af0"/>
        <w:jc w:val="left"/>
        <w:rPr>
          <w:rFonts w:cs="Times New Roman"/>
          <w:sz w:val="22"/>
        </w:rPr>
      </w:pPr>
      <w:r w:rsidRPr="002E496B">
        <w:rPr>
          <w:rFonts w:cs="Times New Roman"/>
          <w:sz w:val="22"/>
        </w:rPr>
        <w:t>12.</w:t>
      </w:r>
      <w:r w:rsidRPr="002E496B">
        <w:rPr>
          <w:rFonts w:cs="Times New Roman"/>
          <w:sz w:val="22"/>
        </w:rPr>
        <w:tab/>
        <w:t xml:space="preserve">Ryan, P. B. </w:t>
      </w:r>
      <w:r w:rsidRPr="002E496B">
        <w:rPr>
          <w:rFonts w:cs="Times New Roman"/>
          <w:i/>
          <w:iCs/>
          <w:sz w:val="22"/>
        </w:rPr>
        <w:t>et al.</w:t>
      </w:r>
      <w:r w:rsidRPr="002E496B">
        <w:rPr>
          <w:rFonts w:cs="Times New Roman"/>
          <w:sz w:val="22"/>
        </w:rPr>
        <w:t xml:space="preserve"> Defining a reference set to support methodological research in drug safety. </w:t>
      </w:r>
      <w:r w:rsidRPr="002E496B">
        <w:rPr>
          <w:rFonts w:cs="Times New Roman"/>
          <w:i/>
          <w:iCs/>
          <w:sz w:val="22"/>
        </w:rPr>
        <w:t>Drug Saf</w:t>
      </w:r>
      <w:r w:rsidRPr="002E496B">
        <w:rPr>
          <w:rFonts w:cs="Times New Roman"/>
          <w:sz w:val="22"/>
        </w:rPr>
        <w:t xml:space="preserve"> </w:t>
      </w:r>
      <w:r w:rsidRPr="002E496B">
        <w:rPr>
          <w:rFonts w:cs="Times New Roman"/>
          <w:b/>
          <w:bCs/>
          <w:sz w:val="22"/>
        </w:rPr>
        <w:t>36 Suppl 1</w:t>
      </w:r>
      <w:r w:rsidRPr="002E496B">
        <w:rPr>
          <w:rFonts w:cs="Times New Roman"/>
          <w:sz w:val="22"/>
        </w:rPr>
        <w:t>, S33-47 (2013) https://doi.org/10.1007/s40264-013-0097-8.</w:t>
      </w:r>
    </w:p>
    <w:p w14:paraId="3FC792C5" w14:textId="77777777" w:rsidR="001D2130" w:rsidRPr="002E496B" w:rsidRDefault="001D2130" w:rsidP="006A2A8D">
      <w:pPr>
        <w:pStyle w:val="af0"/>
        <w:jc w:val="left"/>
        <w:rPr>
          <w:rFonts w:cs="Times New Roman"/>
          <w:sz w:val="22"/>
        </w:rPr>
      </w:pPr>
      <w:r w:rsidRPr="002E496B">
        <w:rPr>
          <w:rFonts w:cs="Times New Roman"/>
          <w:sz w:val="22"/>
        </w:rPr>
        <w:t>13.</w:t>
      </w:r>
      <w:r w:rsidRPr="002E496B">
        <w:rPr>
          <w:rFonts w:cs="Times New Roman"/>
          <w:sz w:val="22"/>
        </w:rPr>
        <w:tab/>
        <w:t xml:space="preserve">Huang, Y. </w:t>
      </w:r>
      <w:r w:rsidRPr="002E496B">
        <w:rPr>
          <w:rFonts w:cs="Times New Roman"/>
          <w:i/>
          <w:iCs/>
          <w:sz w:val="22"/>
        </w:rPr>
        <w:t>et al.</w:t>
      </w:r>
      <w:r w:rsidRPr="002E496B">
        <w:rPr>
          <w:rFonts w:cs="Times New Roman"/>
          <w:sz w:val="22"/>
        </w:rPr>
        <w:t xml:space="preserve"> DrugRepoBank: a comprehensive database and discovery platform for accelerating drug repositioning. </w:t>
      </w:r>
      <w:r w:rsidRPr="002E496B">
        <w:rPr>
          <w:rFonts w:cs="Times New Roman"/>
          <w:i/>
          <w:iCs/>
          <w:sz w:val="22"/>
        </w:rPr>
        <w:t>Database (Oxford)</w:t>
      </w:r>
      <w:r w:rsidRPr="002E496B">
        <w:rPr>
          <w:rFonts w:cs="Times New Roman"/>
          <w:sz w:val="22"/>
        </w:rPr>
        <w:t xml:space="preserve"> </w:t>
      </w:r>
      <w:r w:rsidRPr="002E496B">
        <w:rPr>
          <w:rFonts w:cs="Times New Roman"/>
          <w:b/>
          <w:bCs/>
          <w:sz w:val="22"/>
        </w:rPr>
        <w:t>2024</w:t>
      </w:r>
      <w:r w:rsidRPr="002E496B">
        <w:rPr>
          <w:rFonts w:cs="Times New Roman"/>
          <w:sz w:val="22"/>
        </w:rPr>
        <w:t>, baae051 (2024) https://doi.org/10.1093/database/baae051.</w:t>
      </w:r>
    </w:p>
    <w:p w14:paraId="7FDE1132" w14:textId="38663E01" w:rsidR="00AD5A60" w:rsidRPr="00EB52FD" w:rsidRDefault="007E483E" w:rsidP="00B1726F">
      <w:pPr>
        <w:spacing w:line="480" w:lineRule="auto"/>
        <w:jc w:val="left"/>
        <w:rPr>
          <w:rFonts w:eastAsiaTheme="minorHAnsi" w:cs="Times New Roman"/>
          <w:color w:val="000000" w:themeColor="text1"/>
          <w:sz w:val="22"/>
          <w:szCs w:val="22"/>
        </w:rPr>
      </w:pPr>
      <w:r w:rsidRPr="002E496B">
        <w:rPr>
          <w:rFonts w:eastAsiaTheme="minorHAnsi" w:cs="Times New Roman"/>
          <w:sz w:val="22"/>
          <w:szCs w:val="22"/>
        </w:rPr>
        <w:lastRenderedPageBreak/>
        <w:fldChar w:fldCharType="end"/>
      </w:r>
    </w:p>
    <w:sectPr w:rsidR="00AD5A60" w:rsidRPr="00EB52FD" w:rsidSect="002A48E0">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C1ADF" w14:textId="77777777" w:rsidR="00DF1FC7" w:rsidRDefault="00DF1FC7">
      <w:r>
        <w:separator/>
      </w:r>
    </w:p>
  </w:endnote>
  <w:endnote w:type="continuationSeparator" w:id="0">
    <w:p w14:paraId="28E53023" w14:textId="77777777" w:rsidR="00DF1FC7" w:rsidRDefault="00DF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336264"/>
      <w:docPartObj>
        <w:docPartGallery w:val="Page Numbers (Bottom of Page)"/>
        <w:docPartUnique/>
      </w:docPartObj>
    </w:sdtPr>
    <w:sdtEndPr/>
    <w:sdtContent>
      <w:p w14:paraId="10734740" w14:textId="6811A2B7" w:rsidR="00E46A36" w:rsidRPr="00EB52FD" w:rsidRDefault="007E483E">
        <w:pPr>
          <w:pStyle w:val="af3"/>
          <w:jc w:val="right"/>
        </w:pPr>
        <w:r w:rsidRPr="00EB52FD">
          <w:fldChar w:fldCharType="begin"/>
        </w:r>
        <w:r w:rsidRPr="00EB52FD">
          <w:instrText>PAGE   \* MERGEFORMAT</w:instrText>
        </w:r>
        <w:r w:rsidRPr="00EB52FD">
          <w:fldChar w:fldCharType="separate"/>
        </w:r>
        <w:r w:rsidR="00965CF8">
          <w:rPr>
            <w:noProof/>
          </w:rPr>
          <w:t>1</w:t>
        </w:r>
        <w:r w:rsidRPr="00EB52FD">
          <w:fldChar w:fldCharType="end"/>
        </w:r>
      </w:p>
    </w:sdtContent>
  </w:sdt>
  <w:p w14:paraId="07C19365" w14:textId="77777777" w:rsidR="00B91AD5" w:rsidRPr="00EB52FD" w:rsidRDefault="00B91AD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3BCEB" w14:textId="77777777" w:rsidR="00DF1FC7" w:rsidRDefault="00DF1FC7">
      <w:r>
        <w:separator/>
      </w:r>
    </w:p>
  </w:footnote>
  <w:footnote w:type="continuationSeparator" w:id="0">
    <w:p w14:paraId="25CCB574" w14:textId="77777777" w:rsidR="00DF1FC7" w:rsidRDefault="00DF1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1A23"/>
    <w:multiLevelType w:val="multilevel"/>
    <w:tmpl w:val="E01C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37DEB"/>
    <w:multiLevelType w:val="hybridMultilevel"/>
    <w:tmpl w:val="061CE34E"/>
    <w:lvl w:ilvl="0" w:tplc="8E34C272">
      <w:start w:val="1"/>
      <w:numFmt w:val="decimal"/>
      <w:lvlText w:val="%1."/>
      <w:lvlJc w:val="left"/>
      <w:pPr>
        <w:ind w:left="440" w:hanging="440"/>
      </w:pPr>
    </w:lvl>
    <w:lvl w:ilvl="1" w:tplc="14EE5B72" w:tentative="1">
      <w:start w:val="1"/>
      <w:numFmt w:val="aiueoFullWidth"/>
      <w:lvlText w:val="(%2)"/>
      <w:lvlJc w:val="left"/>
      <w:pPr>
        <w:ind w:left="880" w:hanging="440"/>
      </w:pPr>
    </w:lvl>
    <w:lvl w:ilvl="2" w:tplc="8B4A1A82" w:tentative="1">
      <w:start w:val="1"/>
      <w:numFmt w:val="decimalEnclosedCircle"/>
      <w:lvlText w:val="%3"/>
      <w:lvlJc w:val="left"/>
      <w:pPr>
        <w:ind w:left="1320" w:hanging="440"/>
      </w:pPr>
    </w:lvl>
    <w:lvl w:ilvl="3" w:tplc="3342D2FA" w:tentative="1">
      <w:start w:val="1"/>
      <w:numFmt w:val="decimal"/>
      <w:lvlText w:val="%4."/>
      <w:lvlJc w:val="left"/>
      <w:pPr>
        <w:ind w:left="1760" w:hanging="440"/>
      </w:pPr>
    </w:lvl>
    <w:lvl w:ilvl="4" w:tplc="7840AA1E" w:tentative="1">
      <w:start w:val="1"/>
      <w:numFmt w:val="aiueoFullWidth"/>
      <w:lvlText w:val="(%5)"/>
      <w:lvlJc w:val="left"/>
      <w:pPr>
        <w:ind w:left="2200" w:hanging="440"/>
      </w:pPr>
    </w:lvl>
    <w:lvl w:ilvl="5" w:tplc="D23E2890" w:tentative="1">
      <w:start w:val="1"/>
      <w:numFmt w:val="decimalEnclosedCircle"/>
      <w:lvlText w:val="%6"/>
      <w:lvlJc w:val="left"/>
      <w:pPr>
        <w:ind w:left="2640" w:hanging="440"/>
      </w:pPr>
    </w:lvl>
    <w:lvl w:ilvl="6" w:tplc="8078F1AE" w:tentative="1">
      <w:start w:val="1"/>
      <w:numFmt w:val="decimal"/>
      <w:lvlText w:val="%7."/>
      <w:lvlJc w:val="left"/>
      <w:pPr>
        <w:ind w:left="3080" w:hanging="440"/>
      </w:pPr>
    </w:lvl>
    <w:lvl w:ilvl="7" w:tplc="30EA0782" w:tentative="1">
      <w:start w:val="1"/>
      <w:numFmt w:val="aiueoFullWidth"/>
      <w:lvlText w:val="(%8)"/>
      <w:lvlJc w:val="left"/>
      <w:pPr>
        <w:ind w:left="3520" w:hanging="440"/>
      </w:pPr>
    </w:lvl>
    <w:lvl w:ilvl="8" w:tplc="8432E3F8" w:tentative="1">
      <w:start w:val="1"/>
      <w:numFmt w:val="decimalEnclosedCircle"/>
      <w:lvlText w:val="%9"/>
      <w:lvlJc w:val="left"/>
      <w:pPr>
        <w:ind w:left="3960" w:hanging="440"/>
      </w:pPr>
    </w:lvl>
  </w:abstractNum>
  <w:abstractNum w:abstractNumId="2" w15:restartNumberingAfterBreak="0">
    <w:nsid w:val="232D2442"/>
    <w:multiLevelType w:val="multilevel"/>
    <w:tmpl w:val="415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51407E"/>
    <w:multiLevelType w:val="multilevel"/>
    <w:tmpl w:val="C160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2F07E8"/>
    <w:multiLevelType w:val="hybridMultilevel"/>
    <w:tmpl w:val="106E9DC0"/>
    <w:lvl w:ilvl="0" w:tplc="534848FA">
      <w:start w:val="1"/>
      <w:numFmt w:val="decimal"/>
      <w:lvlText w:val="(%1)"/>
      <w:lvlJc w:val="left"/>
      <w:pPr>
        <w:ind w:left="360" w:hanging="360"/>
      </w:pPr>
      <w:rPr>
        <w:rFonts w:hint="default"/>
      </w:rPr>
    </w:lvl>
    <w:lvl w:ilvl="1" w:tplc="154A3292" w:tentative="1">
      <w:start w:val="1"/>
      <w:numFmt w:val="aiueoFullWidth"/>
      <w:lvlText w:val="(%2)"/>
      <w:lvlJc w:val="left"/>
      <w:pPr>
        <w:ind w:left="880" w:hanging="440"/>
      </w:pPr>
    </w:lvl>
    <w:lvl w:ilvl="2" w:tplc="81EEE542" w:tentative="1">
      <w:start w:val="1"/>
      <w:numFmt w:val="decimalEnclosedCircle"/>
      <w:lvlText w:val="%3"/>
      <w:lvlJc w:val="left"/>
      <w:pPr>
        <w:ind w:left="1320" w:hanging="440"/>
      </w:pPr>
    </w:lvl>
    <w:lvl w:ilvl="3" w:tplc="9AEA6BB6" w:tentative="1">
      <w:start w:val="1"/>
      <w:numFmt w:val="decimal"/>
      <w:lvlText w:val="%4."/>
      <w:lvlJc w:val="left"/>
      <w:pPr>
        <w:ind w:left="1760" w:hanging="440"/>
      </w:pPr>
    </w:lvl>
    <w:lvl w:ilvl="4" w:tplc="BD4EF9A8" w:tentative="1">
      <w:start w:val="1"/>
      <w:numFmt w:val="aiueoFullWidth"/>
      <w:lvlText w:val="(%5)"/>
      <w:lvlJc w:val="left"/>
      <w:pPr>
        <w:ind w:left="2200" w:hanging="440"/>
      </w:pPr>
    </w:lvl>
    <w:lvl w:ilvl="5" w:tplc="364693B6" w:tentative="1">
      <w:start w:val="1"/>
      <w:numFmt w:val="decimalEnclosedCircle"/>
      <w:lvlText w:val="%6"/>
      <w:lvlJc w:val="left"/>
      <w:pPr>
        <w:ind w:left="2640" w:hanging="440"/>
      </w:pPr>
    </w:lvl>
    <w:lvl w:ilvl="6" w:tplc="56C2B52C" w:tentative="1">
      <w:start w:val="1"/>
      <w:numFmt w:val="decimal"/>
      <w:lvlText w:val="%7."/>
      <w:lvlJc w:val="left"/>
      <w:pPr>
        <w:ind w:left="3080" w:hanging="440"/>
      </w:pPr>
    </w:lvl>
    <w:lvl w:ilvl="7" w:tplc="D7929D3E" w:tentative="1">
      <w:start w:val="1"/>
      <w:numFmt w:val="aiueoFullWidth"/>
      <w:lvlText w:val="(%8)"/>
      <w:lvlJc w:val="left"/>
      <w:pPr>
        <w:ind w:left="3520" w:hanging="440"/>
      </w:pPr>
    </w:lvl>
    <w:lvl w:ilvl="8" w:tplc="ECE2536C" w:tentative="1">
      <w:start w:val="1"/>
      <w:numFmt w:val="decimalEnclosedCircle"/>
      <w:lvlText w:val="%9"/>
      <w:lvlJc w:val="left"/>
      <w:pPr>
        <w:ind w:left="3960" w:hanging="440"/>
      </w:pPr>
    </w:lvl>
  </w:abstractNum>
  <w:abstractNum w:abstractNumId="5" w15:restartNumberingAfterBreak="0">
    <w:nsid w:val="2BBA2DEF"/>
    <w:multiLevelType w:val="hybridMultilevel"/>
    <w:tmpl w:val="1C380E26"/>
    <w:lvl w:ilvl="0" w:tplc="8D567F18">
      <w:numFmt w:val="bullet"/>
      <w:lvlText w:val=""/>
      <w:lvlJc w:val="left"/>
      <w:pPr>
        <w:ind w:left="360" w:hanging="360"/>
      </w:pPr>
      <w:rPr>
        <w:rFonts w:ascii="Wingdings" w:eastAsiaTheme="minorEastAsia" w:hAnsi="Wingdings" w:cs="Times New Roman" w:hint="default"/>
      </w:rPr>
    </w:lvl>
    <w:lvl w:ilvl="1" w:tplc="49084636" w:tentative="1">
      <w:start w:val="1"/>
      <w:numFmt w:val="bullet"/>
      <w:lvlText w:val=""/>
      <w:lvlJc w:val="left"/>
      <w:pPr>
        <w:ind w:left="880" w:hanging="440"/>
      </w:pPr>
      <w:rPr>
        <w:rFonts w:ascii="Wingdings" w:hAnsi="Wingdings" w:hint="default"/>
      </w:rPr>
    </w:lvl>
    <w:lvl w:ilvl="2" w:tplc="05FA8DAA" w:tentative="1">
      <w:start w:val="1"/>
      <w:numFmt w:val="bullet"/>
      <w:lvlText w:val=""/>
      <w:lvlJc w:val="left"/>
      <w:pPr>
        <w:ind w:left="1320" w:hanging="440"/>
      </w:pPr>
      <w:rPr>
        <w:rFonts w:ascii="Wingdings" w:hAnsi="Wingdings" w:hint="default"/>
      </w:rPr>
    </w:lvl>
    <w:lvl w:ilvl="3" w:tplc="39468900" w:tentative="1">
      <w:start w:val="1"/>
      <w:numFmt w:val="bullet"/>
      <w:lvlText w:val=""/>
      <w:lvlJc w:val="left"/>
      <w:pPr>
        <w:ind w:left="1760" w:hanging="440"/>
      </w:pPr>
      <w:rPr>
        <w:rFonts w:ascii="Wingdings" w:hAnsi="Wingdings" w:hint="default"/>
      </w:rPr>
    </w:lvl>
    <w:lvl w:ilvl="4" w:tplc="689C9B36" w:tentative="1">
      <w:start w:val="1"/>
      <w:numFmt w:val="bullet"/>
      <w:lvlText w:val=""/>
      <w:lvlJc w:val="left"/>
      <w:pPr>
        <w:ind w:left="2200" w:hanging="440"/>
      </w:pPr>
      <w:rPr>
        <w:rFonts w:ascii="Wingdings" w:hAnsi="Wingdings" w:hint="default"/>
      </w:rPr>
    </w:lvl>
    <w:lvl w:ilvl="5" w:tplc="E7A8AE32" w:tentative="1">
      <w:start w:val="1"/>
      <w:numFmt w:val="bullet"/>
      <w:lvlText w:val=""/>
      <w:lvlJc w:val="left"/>
      <w:pPr>
        <w:ind w:left="2640" w:hanging="440"/>
      </w:pPr>
      <w:rPr>
        <w:rFonts w:ascii="Wingdings" w:hAnsi="Wingdings" w:hint="default"/>
      </w:rPr>
    </w:lvl>
    <w:lvl w:ilvl="6" w:tplc="59DE00C4" w:tentative="1">
      <w:start w:val="1"/>
      <w:numFmt w:val="bullet"/>
      <w:lvlText w:val=""/>
      <w:lvlJc w:val="left"/>
      <w:pPr>
        <w:ind w:left="3080" w:hanging="440"/>
      </w:pPr>
      <w:rPr>
        <w:rFonts w:ascii="Wingdings" w:hAnsi="Wingdings" w:hint="default"/>
      </w:rPr>
    </w:lvl>
    <w:lvl w:ilvl="7" w:tplc="A21E064A" w:tentative="1">
      <w:start w:val="1"/>
      <w:numFmt w:val="bullet"/>
      <w:lvlText w:val=""/>
      <w:lvlJc w:val="left"/>
      <w:pPr>
        <w:ind w:left="3520" w:hanging="440"/>
      </w:pPr>
      <w:rPr>
        <w:rFonts w:ascii="Wingdings" w:hAnsi="Wingdings" w:hint="default"/>
      </w:rPr>
    </w:lvl>
    <w:lvl w:ilvl="8" w:tplc="A4F277B2" w:tentative="1">
      <w:start w:val="1"/>
      <w:numFmt w:val="bullet"/>
      <w:lvlText w:val=""/>
      <w:lvlJc w:val="left"/>
      <w:pPr>
        <w:ind w:left="3960" w:hanging="440"/>
      </w:pPr>
      <w:rPr>
        <w:rFonts w:ascii="Wingdings" w:hAnsi="Wingdings" w:hint="default"/>
      </w:rPr>
    </w:lvl>
  </w:abstractNum>
  <w:abstractNum w:abstractNumId="6" w15:restartNumberingAfterBreak="0">
    <w:nsid w:val="33F57E36"/>
    <w:multiLevelType w:val="multilevel"/>
    <w:tmpl w:val="8598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1060AB"/>
    <w:multiLevelType w:val="multilevel"/>
    <w:tmpl w:val="924C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6D03BE"/>
    <w:multiLevelType w:val="multilevel"/>
    <w:tmpl w:val="646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DA78AE"/>
    <w:multiLevelType w:val="multilevel"/>
    <w:tmpl w:val="F344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B2686F"/>
    <w:multiLevelType w:val="hybridMultilevel"/>
    <w:tmpl w:val="8190DB00"/>
    <w:lvl w:ilvl="0" w:tplc="0EB0CFFA">
      <w:start w:val="1"/>
      <w:numFmt w:val="bullet"/>
      <w:lvlText w:val=""/>
      <w:lvlJc w:val="left"/>
      <w:pPr>
        <w:ind w:left="1080" w:hanging="360"/>
      </w:pPr>
      <w:rPr>
        <w:rFonts w:ascii="Symbol" w:hAnsi="Symbol"/>
      </w:rPr>
    </w:lvl>
    <w:lvl w:ilvl="1" w:tplc="4E9639FC">
      <w:start w:val="1"/>
      <w:numFmt w:val="bullet"/>
      <w:lvlText w:val=""/>
      <w:lvlJc w:val="left"/>
      <w:pPr>
        <w:ind w:left="1080" w:hanging="360"/>
      </w:pPr>
      <w:rPr>
        <w:rFonts w:ascii="Symbol" w:hAnsi="Symbol"/>
      </w:rPr>
    </w:lvl>
    <w:lvl w:ilvl="2" w:tplc="FA10C984">
      <w:start w:val="1"/>
      <w:numFmt w:val="bullet"/>
      <w:lvlText w:val=""/>
      <w:lvlJc w:val="left"/>
      <w:pPr>
        <w:ind w:left="1080" w:hanging="360"/>
      </w:pPr>
      <w:rPr>
        <w:rFonts w:ascii="Symbol" w:hAnsi="Symbol"/>
      </w:rPr>
    </w:lvl>
    <w:lvl w:ilvl="3" w:tplc="779C3724">
      <w:start w:val="1"/>
      <w:numFmt w:val="bullet"/>
      <w:lvlText w:val=""/>
      <w:lvlJc w:val="left"/>
      <w:pPr>
        <w:ind w:left="1080" w:hanging="360"/>
      </w:pPr>
      <w:rPr>
        <w:rFonts w:ascii="Symbol" w:hAnsi="Symbol"/>
      </w:rPr>
    </w:lvl>
    <w:lvl w:ilvl="4" w:tplc="CC849E7A">
      <w:start w:val="1"/>
      <w:numFmt w:val="bullet"/>
      <w:lvlText w:val=""/>
      <w:lvlJc w:val="left"/>
      <w:pPr>
        <w:ind w:left="1080" w:hanging="360"/>
      </w:pPr>
      <w:rPr>
        <w:rFonts w:ascii="Symbol" w:hAnsi="Symbol"/>
      </w:rPr>
    </w:lvl>
    <w:lvl w:ilvl="5" w:tplc="5E207E5E">
      <w:start w:val="1"/>
      <w:numFmt w:val="bullet"/>
      <w:lvlText w:val=""/>
      <w:lvlJc w:val="left"/>
      <w:pPr>
        <w:ind w:left="1080" w:hanging="360"/>
      </w:pPr>
      <w:rPr>
        <w:rFonts w:ascii="Symbol" w:hAnsi="Symbol"/>
      </w:rPr>
    </w:lvl>
    <w:lvl w:ilvl="6" w:tplc="674EA0F2">
      <w:start w:val="1"/>
      <w:numFmt w:val="bullet"/>
      <w:lvlText w:val=""/>
      <w:lvlJc w:val="left"/>
      <w:pPr>
        <w:ind w:left="1080" w:hanging="360"/>
      </w:pPr>
      <w:rPr>
        <w:rFonts w:ascii="Symbol" w:hAnsi="Symbol"/>
      </w:rPr>
    </w:lvl>
    <w:lvl w:ilvl="7" w:tplc="CCE4E77C">
      <w:start w:val="1"/>
      <w:numFmt w:val="bullet"/>
      <w:lvlText w:val=""/>
      <w:lvlJc w:val="left"/>
      <w:pPr>
        <w:ind w:left="1080" w:hanging="360"/>
      </w:pPr>
      <w:rPr>
        <w:rFonts w:ascii="Symbol" w:hAnsi="Symbol"/>
      </w:rPr>
    </w:lvl>
    <w:lvl w:ilvl="8" w:tplc="05803D7A">
      <w:start w:val="1"/>
      <w:numFmt w:val="bullet"/>
      <w:lvlText w:val=""/>
      <w:lvlJc w:val="left"/>
      <w:pPr>
        <w:ind w:left="1080" w:hanging="360"/>
      </w:pPr>
      <w:rPr>
        <w:rFonts w:ascii="Symbol" w:hAnsi="Symbol"/>
      </w:rPr>
    </w:lvl>
  </w:abstractNum>
  <w:abstractNum w:abstractNumId="11" w15:restartNumberingAfterBreak="0">
    <w:nsid w:val="68EF5F9F"/>
    <w:multiLevelType w:val="hybridMultilevel"/>
    <w:tmpl w:val="6498B7B8"/>
    <w:lvl w:ilvl="0" w:tplc="9CA275C8">
      <w:start w:val="1"/>
      <w:numFmt w:val="bullet"/>
      <w:lvlText w:val=""/>
      <w:lvlJc w:val="left"/>
      <w:pPr>
        <w:ind w:left="1004" w:hanging="360"/>
      </w:pPr>
      <w:rPr>
        <w:rFonts w:ascii="Symbol" w:hAnsi="Symbol" w:hint="default"/>
      </w:rPr>
    </w:lvl>
    <w:lvl w:ilvl="1" w:tplc="DE9CB91E" w:tentative="1">
      <w:start w:val="1"/>
      <w:numFmt w:val="bullet"/>
      <w:lvlText w:val="o"/>
      <w:lvlJc w:val="left"/>
      <w:pPr>
        <w:ind w:left="1724" w:hanging="360"/>
      </w:pPr>
      <w:rPr>
        <w:rFonts w:ascii="Courier New" w:hAnsi="Courier New" w:cs="Courier New" w:hint="default"/>
      </w:rPr>
    </w:lvl>
    <w:lvl w:ilvl="2" w:tplc="41F84584" w:tentative="1">
      <w:start w:val="1"/>
      <w:numFmt w:val="bullet"/>
      <w:lvlText w:val=""/>
      <w:lvlJc w:val="left"/>
      <w:pPr>
        <w:ind w:left="2444" w:hanging="360"/>
      </w:pPr>
      <w:rPr>
        <w:rFonts w:ascii="Wingdings" w:hAnsi="Wingdings" w:hint="default"/>
      </w:rPr>
    </w:lvl>
    <w:lvl w:ilvl="3" w:tplc="5DF85CE6" w:tentative="1">
      <w:start w:val="1"/>
      <w:numFmt w:val="bullet"/>
      <w:lvlText w:val=""/>
      <w:lvlJc w:val="left"/>
      <w:pPr>
        <w:ind w:left="3164" w:hanging="360"/>
      </w:pPr>
      <w:rPr>
        <w:rFonts w:ascii="Symbol" w:hAnsi="Symbol" w:hint="default"/>
      </w:rPr>
    </w:lvl>
    <w:lvl w:ilvl="4" w:tplc="4D228FC8" w:tentative="1">
      <w:start w:val="1"/>
      <w:numFmt w:val="bullet"/>
      <w:lvlText w:val="o"/>
      <w:lvlJc w:val="left"/>
      <w:pPr>
        <w:ind w:left="3884" w:hanging="360"/>
      </w:pPr>
      <w:rPr>
        <w:rFonts w:ascii="Courier New" w:hAnsi="Courier New" w:cs="Courier New" w:hint="default"/>
      </w:rPr>
    </w:lvl>
    <w:lvl w:ilvl="5" w:tplc="53D2298C" w:tentative="1">
      <w:start w:val="1"/>
      <w:numFmt w:val="bullet"/>
      <w:lvlText w:val=""/>
      <w:lvlJc w:val="left"/>
      <w:pPr>
        <w:ind w:left="4604" w:hanging="360"/>
      </w:pPr>
      <w:rPr>
        <w:rFonts w:ascii="Wingdings" w:hAnsi="Wingdings" w:hint="default"/>
      </w:rPr>
    </w:lvl>
    <w:lvl w:ilvl="6" w:tplc="3F8424AE" w:tentative="1">
      <w:start w:val="1"/>
      <w:numFmt w:val="bullet"/>
      <w:lvlText w:val=""/>
      <w:lvlJc w:val="left"/>
      <w:pPr>
        <w:ind w:left="5324" w:hanging="360"/>
      </w:pPr>
      <w:rPr>
        <w:rFonts w:ascii="Symbol" w:hAnsi="Symbol" w:hint="default"/>
      </w:rPr>
    </w:lvl>
    <w:lvl w:ilvl="7" w:tplc="72361B9E" w:tentative="1">
      <w:start w:val="1"/>
      <w:numFmt w:val="bullet"/>
      <w:lvlText w:val="o"/>
      <w:lvlJc w:val="left"/>
      <w:pPr>
        <w:ind w:left="6044" w:hanging="360"/>
      </w:pPr>
      <w:rPr>
        <w:rFonts w:ascii="Courier New" w:hAnsi="Courier New" w:cs="Courier New" w:hint="default"/>
      </w:rPr>
    </w:lvl>
    <w:lvl w:ilvl="8" w:tplc="F2065382" w:tentative="1">
      <w:start w:val="1"/>
      <w:numFmt w:val="bullet"/>
      <w:lvlText w:val=""/>
      <w:lvlJc w:val="left"/>
      <w:pPr>
        <w:ind w:left="6764" w:hanging="360"/>
      </w:pPr>
      <w:rPr>
        <w:rFonts w:ascii="Wingdings" w:hAnsi="Wingdings" w:hint="default"/>
      </w:rPr>
    </w:lvl>
  </w:abstractNum>
  <w:abstractNum w:abstractNumId="12" w15:restartNumberingAfterBreak="0">
    <w:nsid w:val="6E2D106F"/>
    <w:multiLevelType w:val="multilevel"/>
    <w:tmpl w:val="33024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751FFB"/>
    <w:multiLevelType w:val="multilevel"/>
    <w:tmpl w:val="2E480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7D3612"/>
    <w:multiLevelType w:val="multilevel"/>
    <w:tmpl w:val="3DC63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5360073">
    <w:abstractNumId w:val="14"/>
  </w:num>
  <w:num w:numId="2" w16cid:durableId="207035078">
    <w:abstractNumId w:val="0"/>
  </w:num>
  <w:num w:numId="3" w16cid:durableId="717973010">
    <w:abstractNumId w:val="2"/>
  </w:num>
  <w:num w:numId="4" w16cid:durableId="1706247080">
    <w:abstractNumId w:val="8"/>
  </w:num>
  <w:num w:numId="5" w16cid:durableId="2090612951">
    <w:abstractNumId w:val="9"/>
  </w:num>
  <w:num w:numId="6" w16cid:durableId="1685084904">
    <w:abstractNumId w:val="7"/>
  </w:num>
  <w:num w:numId="7" w16cid:durableId="853881892">
    <w:abstractNumId w:val="13"/>
  </w:num>
  <w:num w:numId="8" w16cid:durableId="1237939280">
    <w:abstractNumId w:val="12"/>
  </w:num>
  <w:num w:numId="9" w16cid:durableId="89401475">
    <w:abstractNumId w:val="3"/>
  </w:num>
  <w:num w:numId="10" w16cid:durableId="436490821">
    <w:abstractNumId w:val="6"/>
  </w:num>
  <w:num w:numId="11" w16cid:durableId="1289236398">
    <w:abstractNumId w:val="10"/>
  </w:num>
  <w:num w:numId="12" w16cid:durableId="786318808">
    <w:abstractNumId w:val="1"/>
  </w:num>
  <w:num w:numId="13" w16cid:durableId="1062288610">
    <w:abstractNumId w:val="4"/>
  </w:num>
  <w:num w:numId="14" w16cid:durableId="1439983245">
    <w:abstractNumId w:val="5"/>
  </w:num>
  <w:num w:numId="15" w16cid:durableId="147022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80F"/>
    <w:rsid w:val="00000BB0"/>
    <w:rsid w:val="00000FED"/>
    <w:rsid w:val="000012E2"/>
    <w:rsid w:val="00001359"/>
    <w:rsid w:val="000015BF"/>
    <w:rsid w:val="00002839"/>
    <w:rsid w:val="00003802"/>
    <w:rsid w:val="00003C23"/>
    <w:rsid w:val="000044B7"/>
    <w:rsid w:val="00005112"/>
    <w:rsid w:val="00006116"/>
    <w:rsid w:val="000074E1"/>
    <w:rsid w:val="00007DEF"/>
    <w:rsid w:val="00011484"/>
    <w:rsid w:val="000114D3"/>
    <w:rsid w:val="0001151F"/>
    <w:rsid w:val="00011A14"/>
    <w:rsid w:val="00011F3D"/>
    <w:rsid w:val="00012EEB"/>
    <w:rsid w:val="00013506"/>
    <w:rsid w:val="000139EE"/>
    <w:rsid w:val="00013EA8"/>
    <w:rsid w:val="00014450"/>
    <w:rsid w:val="00014E25"/>
    <w:rsid w:val="00014E52"/>
    <w:rsid w:val="000151A7"/>
    <w:rsid w:val="00015DA1"/>
    <w:rsid w:val="00016AC1"/>
    <w:rsid w:val="00017540"/>
    <w:rsid w:val="00017F5B"/>
    <w:rsid w:val="00017FF8"/>
    <w:rsid w:val="0002011B"/>
    <w:rsid w:val="00021071"/>
    <w:rsid w:val="00021893"/>
    <w:rsid w:val="00021AA7"/>
    <w:rsid w:val="000228B6"/>
    <w:rsid w:val="00022ACC"/>
    <w:rsid w:val="00022B29"/>
    <w:rsid w:val="00022C16"/>
    <w:rsid w:val="000232CD"/>
    <w:rsid w:val="00023674"/>
    <w:rsid w:val="00024276"/>
    <w:rsid w:val="00025A23"/>
    <w:rsid w:val="00025EA2"/>
    <w:rsid w:val="00026AE5"/>
    <w:rsid w:val="000274DE"/>
    <w:rsid w:val="00027D51"/>
    <w:rsid w:val="00027F19"/>
    <w:rsid w:val="000308F4"/>
    <w:rsid w:val="00032A3F"/>
    <w:rsid w:val="000332FF"/>
    <w:rsid w:val="00033347"/>
    <w:rsid w:val="00033BCD"/>
    <w:rsid w:val="00033DDB"/>
    <w:rsid w:val="00034F69"/>
    <w:rsid w:val="00035147"/>
    <w:rsid w:val="00035AD1"/>
    <w:rsid w:val="00036749"/>
    <w:rsid w:val="000374B3"/>
    <w:rsid w:val="00037A00"/>
    <w:rsid w:val="00037A7D"/>
    <w:rsid w:val="00037AB8"/>
    <w:rsid w:val="000408DE"/>
    <w:rsid w:val="000413C1"/>
    <w:rsid w:val="00041EBB"/>
    <w:rsid w:val="00042011"/>
    <w:rsid w:val="00042052"/>
    <w:rsid w:val="00043002"/>
    <w:rsid w:val="00043079"/>
    <w:rsid w:val="000431BA"/>
    <w:rsid w:val="00043514"/>
    <w:rsid w:val="00043BDD"/>
    <w:rsid w:val="00044BA6"/>
    <w:rsid w:val="00045ED4"/>
    <w:rsid w:val="00046064"/>
    <w:rsid w:val="00046783"/>
    <w:rsid w:val="00046A0E"/>
    <w:rsid w:val="0005010B"/>
    <w:rsid w:val="00050CEE"/>
    <w:rsid w:val="00050D48"/>
    <w:rsid w:val="00051151"/>
    <w:rsid w:val="000537FF"/>
    <w:rsid w:val="00053CF6"/>
    <w:rsid w:val="00053D33"/>
    <w:rsid w:val="00054A33"/>
    <w:rsid w:val="00055F0D"/>
    <w:rsid w:val="00056E1B"/>
    <w:rsid w:val="000578C6"/>
    <w:rsid w:val="00057A6D"/>
    <w:rsid w:val="00057D1D"/>
    <w:rsid w:val="00060918"/>
    <w:rsid w:val="00060B6B"/>
    <w:rsid w:val="00060E7D"/>
    <w:rsid w:val="00061A99"/>
    <w:rsid w:val="00061D97"/>
    <w:rsid w:val="000621C4"/>
    <w:rsid w:val="00063391"/>
    <w:rsid w:val="00063831"/>
    <w:rsid w:val="00064073"/>
    <w:rsid w:val="00065351"/>
    <w:rsid w:val="000659C8"/>
    <w:rsid w:val="00065E5A"/>
    <w:rsid w:val="00067445"/>
    <w:rsid w:val="00067C86"/>
    <w:rsid w:val="000701EE"/>
    <w:rsid w:val="00070C2D"/>
    <w:rsid w:val="00070DE5"/>
    <w:rsid w:val="0007120B"/>
    <w:rsid w:val="000716F5"/>
    <w:rsid w:val="00071832"/>
    <w:rsid w:val="00071A9D"/>
    <w:rsid w:val="00073209"/>
    <w:rsid w:val="00073786"/>
    <w:rsid w:val="0007492F"/>
    <w:rsid w:val="00075363"/>
    <w:rsid w:val="00075760"/>
    <w:rsid w:val="00075FEF"/>
    <w:rsid w:val="00076B06"/>
    <w:rsid w:val="00076B9A"/>
    <w:rsid w:val="00077205"/>
    <w:rsid w:val="0007792A"/>
    <w:rsid w:val="00077DA4"/>
    <w:rsid w:val="00077FE3"/>
    <w:rsid w:val="000801D0"/>
    <w:rsid w:val="000803B9"/>
    <w:rsid w:val="00081310"/>
    <w:rsid w:val="00081DA2"/>
    <w:rsid w:val="000821CC"/>
    <w:rsid w:val="000836C0"/>
    <w:rsid w:val="000840D6"/>
    <w:rsid w:val="0008540B"/>
    <w:rsid w:val="000862CA"/>
    <w:rsid w:val="000863E3"/>
    <w:rsid w:val="00087FD0"/>
    <w:rsid w:val="000904CF"/>
    <w:rsid w:val="0009076A"/>
    <w:rsid w:val="00091EF0"/>
    <w:rsid w:val="000933BC"/>
    <w:rsid w:val="00093673"/>
    <w:rsid w:val="00093F19"/>
    <w:rsid w:val="0009429A"/>
    <w:rsid w:val="0009495E"/>
    <w:rsid w:val="00095129"/>
    <w:rsid w:val="00096F0E"/>
    <w:rsid w:val="00097208"/>
    <w:rsid w:val="000A0893"/>
    <w:rsid w:val="000A1033"/>
    <w:rsid w:val="000A14C8"/>
    <w:rsid w:val="000A3523"/>
    <w:rsid w:val="000A36AD"/>
    <w:rsid w:val="000A439F"/>
    <w:rsid w:val="000A538D"/>
    <w:rsid w:val="000A603F"/>
    <w:rsid w:val="000A6E94"/>
    <w:rsid w:val="000A7467"/>
    <w:rsid w:val="000A7617"/>
    <w:rsid w:val="000A77F3"/>
    <w:rsid w:val="000A79EB"/>
    <w:rsid w:val="000B0297"/>
    <w:rsid w:val="000B1E8B"/>
    <w:rsid w:val="000B204C"/>
    <w:rsid w:val="000B207B"/>
    <w:rsid w:val="000B278D"/>
    <w:rsid w:val="000B2D92"/>
    <w:rsid w:val="000B2F55"/>
    <w:rsid w:val="000B36BC"/>
    <w:rsid w:val="000B3CA1"/>
    <w:rsid w:val="000B4FAC"/>
    <w:rsid w:val="000B5F8F"/>
    <w:rsid w:val="000B6B51"/>
    <w:rsid w:val="000B78CE"/>
    <w:rsid w:val="000C0739"/>
    <w:rsid w:val="000C0DD4"/>
    <w:rsid w:val="000C2193"/>
    <w:rsid w:val="000C39D7"/>
    <w:rsid w:val="000C3AE8"/>
    <w:rsid w:val="000C516B"/>
    <w:rsid w:val="000C5D1C"/>
    <w:rsid w:val="000C683B"/>
    <w:rsid w:val="000C6A79"/>
    <w:rsid w:val="000C6D35"/>
    <w:rsid w:val="000C6EA0"/>
    <w:rsid w:val="000C737F"/>
    <w:rsid w:val="000C7953"/>
    <w:rsid w:val="000D00BA"/>
    <w:rsid w:val="000D04E2"/>
    <w:rsid w:val="000D1259"/>
    <w:rsid w:val="000D15E3"/>
    <w:rsid w:val="000D1945"/>
    <w:rsid w:val="000D1CD6"/>
    <w:rsid w:val="000D21A4"/>
    <w:rsid w:val="000D26AB"/>
    <w:rsid w:val="000D26EE"/>
    <w:rsid w:val="000D3296"/>
    <w:rsid w:val="000D363E"/>
    <w:rsid w:val="000D3EE7"/>
    <w:rsid w:val="000D405C"/>
    <w:rsid w:val="000D4470"/>
    <w:rsid w:val="000D551E"/>
    <w:rsid w:val="000D5F47"/>
    <w:rsid w:val="000D66F2"/>
    <w:rsid w:val="000D74E4"/>
    <w:rsid w:val="000E066A"/>
    <w:rsid w:val="000E1336"/>
    <w:rsid w:val="000E177C"/>
    <w:rsid w:val="000E226E"/>
    <w:rsid w:val="000E229E"/>
    <w:rsid w:val="000E27FA"/>
    <w:rsid w:val="000E2B40"/>
    <w:rsid w:val="000E308C"/>
    <w:rsid w:val="000E3896"/>
    <w:rsid w:val="000E3D55"/>
    <w:rsid w:val="000E5CBD"/>
    <w:rsid w:val="000E6B27"/>
    <w:rsid w:val="000E6C7D"/>
    <w:rsid w:val="000E7631"/>
    <w:rsid w:val="000E7CA4"/>
    <w:rsid w:val="000E7D60"/>
    <w:rsid w:val="000E7F1E"/>
    <w:rsid w:val="000F078E"/>
    <w:rsid w:val="000F0BB4"/>
    <w:rsid w:val="000F2F91"/>
    <w:rsid w:val="000F3F67"/>
    <w:rsid w:val="000F4E19"/>
    <w:rsid w:val="000F50F9"/>
    <w:rsid w:val="000F601F"/>
    <w:rsid w:val="000F6941"/>
    <w:rsid w:val="000F6F5E"/>
    <w:rsid w:val="000F7A5E"/>
    <w:rsid w:val="000F7D88"/>
    <w:rsid w:val="000F7DC8"/>
    <w:rsid w:val="00101A83"/>
    <w:rsid w:val="00101D2D"/>
    <w:rsid w:val="00101F18"/>
    <w:rsid w:val="001021A9"/>
    <w:rsid w:val="00103358"/>
    <w:rsid w:val="0010343C"/>
    <w:rsid w:val="0010374B"/>
    <w:rsid w:val="00103A44"/>
    <w:rsid w:val="00103B20"/>
    <w:rsid w:val="00103C0D"/>
    <w:rsid w:val="001042FB"/>
    <w:rsid w:val="00104A55"/>
    <w:rsid w:val="001053FA"/>
    <w:rsid w:val="00106D58"/>
    <w:rsid w:val="0010725F"/>
    <w:rsid w:val="0010735D"/>
    <w:rsid w:val="00107ADC"/>
    <w:rsid w:val="00110062"/>
    <w:rsid w:val="001128C5"/>
    <w:rsid w:val="00112DAA"/>
    <w:rsid w:val="001139DB"/>
    <w:rsid w:val="00114B07"/>
    <w:rsid w:val="00114CCF"/>
    <w:rsid w:val="001154A5"/>
    <w:rsid w:val="001158F0"/>
    <w:rsid w:val="001171AF"/>
    <w:rsid w:val="001174A1"/>
    <w:rsid w:val="00117A97"/>
    <w:rsid w:val="00117AD4"/>
    <w:rsid w:val="00120137"/>
    <w:rsid w:val="0012056D"/>
    <w:rsid w:val="00120AB9"/>
    <w:rsid w:val="00121CA4"/>
    <w:rsid w:val="0012209A"/>
    <w:rsid w:val="00122FAE"/>
    <w:rsid w:val="0012475F"/>
    <w:rsid w:val="00125531"/>
    <w:rsid w:val="00125604"/>
    <w:rsid w:val="001258E5"/>
    <w:rsid w:val="00126044"/>
    <w:rsid w:val="001260E2"/>
    <w:rsid w:val="001262D7"/>
    <w:rsid w:val="0012637F"/>
    <w:rsid w:val="001271EF"/>
    <w:rsid w:val="00127542"/>
    <w:rsid w:val="00127ECA"/>
    <w:rsid w:val="001303D8"/>
    <w:rsid w:val="00130422"/>
    <w:rsid w:val="00132035"/>
    <w:rsid w:val="0013224C"/>
    <w:rsid w:val="0013431E"/>
    <w:rsid w:val="0013473C"/>
    <w:rsid w:val="001349FC"/>
    <w:rsid w:val="0013719C"/>
    <w:rsid w:val="00137B4B"/>
    <w:rsid w:val="00137F7D"/>
    <w:rsid w:val="00140097"/>
    <w:rsid w:val="001400BF"/>
    <w:rsid w:val="0014014B"/>
    <w:rsid w:val="00140389"/>
    <w:rsid w:val="00140CBA"/>
    <w:rsid w:val="00141372"/>
    <w:rsid w:val="00141E55"/>
    <w:rsid w:val="0014350C"/>
    <w:rsid w:val="00143553"/>
    <w:rsid w:val="00143B51"/>
    <w:rsid w:val="00143E11"/>
    <w:rsid w:val="00144E03"/>
    <w:rsid w:val="00145984"/>
    <w:rsid w:val="00146007"/>
    <w:rsid w:val="00146E8E"/>
    <w:rsid w:val="00147722"/>
    <w:rsid w:val="0015006E"/>
    <w:rsid w:val="001506B1"/>
    <w:rsid w:val="001514A6"/>
    <w:rsid w:val="00151593"/>
    <w:rsid w:val="00151D87"/>
    <w:rsid w:val="00152154"/>
    <w:rsid w:val="00152786"/>
    <w:rsid w:val="00152B05"/>
    <w:rsid w:val="00152DF4"/>
    <w:rsid w:val="00152DFD"/>
    <w:rsid w:val="00152E7D"/>
    <w:rsid w:val="00153475"/>
    <w:rsid w:val="00153BCC"/>
    <w:rsid w:val="00153E06"/>
    <w:rsid w:val="001541E8"/>
    <w:rsid w:val="001556E0"/>
    <w:rsid w:val="001561DE"/>
    <w:rsid w:val="001564E6"/>
    <w:rsid w:val="001568AD"/>
    <w:rsid w:val="00157451"/>
    <w:rsid w:val="001615DE"/>
    <w:rsid w:val="001616A9"/>
    <w:rsid w:val="00161FCB"/>
    <w:rsid w:val="001639A4"/>
    <w:rsid w:val="0016568F"/>
    <w:rsid w:val="00165D6E"/>
    <w:rsid w:val="00166CA5"/>
    <w:rsid w:val="0016711E"/>
    <w:rsid w:val="001672E6"/>
    <w:rsid w:val="00170E83"/>
    <w:rsid w:val="00171A9D"/>
    <w:rsid w:val="001726C4"/>
    <w:rsid w:val="0017316F"/>
    <w:rsid w:val="00173898"/>
    <w:rsid w:val="00173B00"/>
    <w:rsid w:val="00173CA6"/>
    <w:rsid w:val="001749BB"/>
    <w:rsid w:val="001749D2"/>
    <w:rsid w:val="00175304"/>
    <w:rsid w:val="00175AEF"/>
    <w:rsid w:val="00176272"/>
    <w:rsid w:val="0017629A"/>
    <w:rsid w:val="00180280"/>
    <w:rsid w:val="00180837"/>
    <w:rsid w:val="00181677"/>
    <w:rsid w:val="00181843"/>
    <w:rsid w:val="00181C39"/>
    <w:rsid w:val="001821C6"/>
    <w:rsid w:val="00182DB0"/>
    <w:rsid w:val="0018318C"/>
    <w:rsid w:val="00183CF8"/>
    <w:rsid w:val="001845FB"/>
    <w:rsid w:val="00184CA7"/>
    <w:rsid w:val="00184CEB"/>
    <w:rsid w:val="001850E7"/>
    <w:rsid w:val="00185512"/>
    <w:rsid w:val="00186BA4"/>
    <w:rsid w:val="0019007F"/>
    <w:rsid w:val="001904EE"/>
    <w:rsid w:val="00191CC3"/>
    <w:rsid w:val="00192F0D"/>
    <w:rsid w:val="0019400A"/>
    <w:rsid w:val="00194390"/>
    <w:rsid w:val="00194BC2"/>
    <w:rsid w:val="00196187"/>
    <w:rsid w:val="001965C4"/>
    <w:rsid w:val="00196F20"/>
    <w:rsid w:val="001979DE"/>
    <w:rsid w:val="001A050B"/>
    <w:rsid w:val="001A08D4"/>
    <w:rsid w:val="001A1267"/>
    <w:rsid w:val="001A1F86"/>
    <w:rsid w:val="001A2007"/>
    <w:rsid w:val="001A2967"/>
    <w:rsid w:val="001A3316"/>
    <w:rsid w:val="001A39DE"/>
    <w:rsid w:val="001A4631"/>
    <w:rsid w:val="001A4C71"/>
    <w:rsid w:val="001A4D8E"/>
    <w:rsid w:val="001A5192"/>
    <w:rsid w:val="001A5575"/>
    <w:rsid w:val="001A5A62"/>
    <w:rsid w:val="001A65D2"/>
    <w:rsid w:val="001A6FFD"/>
    <w:rsid w:val="001A76AF"/>
    <w:rsid w:val="001B04C7"/>
    <w:rsid w:val="001B0BD4"/>
    <w:rsid w:val="001B0DD5"/>
    <w:rsid w:val="001B1CA9"/>
    <w:rsid w:val="001B2273"/>
    <w:rsid w:val="001B2A86"/>
    <w:rsid w:val="001B36C9"/>
    <w:rsid w:val="001B36F7"/>
    <w:rsid w:val="001B3E06"/>
    <w:rsid w:val="001B4404"/>
    <w:rsid w:val="001B527D"/>
    <w:rsid w:val="001B58A5"/>
    <w:rsid w:val="001B6219"/>
    <w:rsid w:val="001B6AA2"/>
    <w:rsid w:val="001B6B68"/>
    <w:rsid w:val="001B7E65"/>
    <w:rsid w:val="001C0055"/>
    <w:rsid w:val="001C0421"/>
    <w:rsid w:val="001C0AEB"/>
    <w:rsid w:val="001C16C7"/>
    <w:rsid w:val="001C17FA"/>
    <w:rsid w:val="001C1AEE"/>
    <w:rsid w:val="001C1B54"/>
    <w:rsid w:val="001C213C"/>
    <w:rsid w:val="001C24F5"/>
    <w:rsid w:val="001C3FBE"/>
    <w:rsid w:val="001C46B9"/>
    <w:rsid w:val="001C4DF2"/>
    <w:rsid w:val="001C4FAB"/>
    <w:rsid w:val="001C5368"/>
    <w:rsid w:val="001C56CB"/>
    <w:rsid w:val="001C6402"/>
    <w:rsid w:val="001C6549"/>
    <w:rsid w:val="001C7B73"/>
    <w:rsid w:val="001D0C89"/>
    <w:rsid w:val="001D0C9A"/>
    <w:rsid w:val="001D0CA9"/>
    <w:rsid w:val="001D1A4E"/>
    <w:rsid w:val="001D2130"/>
    <w:rsid w:val="001D293E"/>
    <w:rsid w:val="001D2C89"/>
    <w:rsid w:val="001D38A1"/>
    <w:rsid w:val="001D3E95"/>
    <w:rsid w:val="001D47FF"/>
    <w:rsid w:val="001D55D7"/>
    <w:rsid w:val="001D5A3A"/>
    <w:rsid w:val="001D649D"/>
    <w:rsid w:val="001D6701"/>
    <w:rsid w:val="001D69F4"/>
    <w:rsid w:val="001D6C2D"/>
    <w:rsid w:val="001D6FC2"/>
    <w:rsid w:val="001D7E1E"/>
    <w:rsid w:val="001E0649"/>
    <w:rsid w:val="001E1B70"/>
    <w:rsid w:val="001E1C80"/>
    <w:rsid w:val="001E4300"/>
    <w:rsid w:val="001E4747"/>
    <w:rsid w:val="001E5573"/>
    <w:rsid w:val="001E5BEA"/>
    <w:rsid w:val="001E6AAE"/>
    <w:rsid w:val="001E795C"/>
    <w:rsid w:val="001E7DD1"/>
    <w:rsid w:val="001F06D7"/>
    <w:rsid w:val="001F1247"/>
    <w:rsid w:val="001F16A9"/>
    <w:rsid w:val="001F1B28"/>
    <w:rsid w:val="001F372B"/>
    <w:rsid w:val="001F3734"/>
    <w:rsid w:val="001F3B5C"/>
    <w:rsid w:val="001F3E34"/>
    <w:rsid w:val="001F4379"/>
    <w:rsid w:val="001F43F8"/>
    <w:rsid w:val="001F4679"/>
    <w:rsid w:val="001F55B0"/>
    <w:rsid w:val="001F59E7"/>
    <w:rsid w:val="001F6082"/>
    <w:rsid w:val="001F693B"/>
    <w:rsid w:val="001F6B3F"/>
    <w:rsid w:val="001F7351"/>
    <w:rsid w:val="001F76A6"/>
    <w:rsid w:val="001F7DF1"/>
    <w:rsid w:val="00200406"/>
    <w:rsid w:val="00200C1F"/>
    <w:rsid w:val="00200CCF"/>
    <w:rsid w:val="00201A9F"/>
    <w:rsid w:val="00201F3E"/>
    <w:rsid w:val="002021BE"/>
    <w:rsid w:val="002025FA"/>
    <w:rsid w:val="002027AC"/>
    <w:rsid w:val="00202A0E"/>
    <w:rsid w:val="00202D08"/>
    <w:rsid w:val="002036D5"/>
    <w:rsid w:val="0020370C"/>
    <w:rsid w:val="00203AE2"/>
    <w:rsid w:val="00204190"/>
    <w:rsid w:val="002041C0"/>
    <w:rsid w:val="0020461C"/>
    <w:rsid w:val="00204A5C"/>
    <w:rsid w:val="002058D5"/>
    <w:rsid w:val="00206435"/>
    <w:rsid w:val="00207019"/>
    <w:rsid w:val="00207F1F"/>
    <w:rsid w:val="00210F05"/>
    <w:rsid w:val="00212533"/>
    <w:rsid w:val="00212CA8"/>
    <w:rsid w:val="002131A5"/>
    <w:rsid w:val="00213EBE"/>
    <w:rsid w:val="00214133"/>
    <w:rsid w:val="00214E2E"/>
    <w:rsid w:val="00214FE9"/>
    <w:rsid w:val="002155CF"/>
    <w:rsid w:val="0021576A"/>
    <w:rsid w:val="002157AF"/>
    <w:rsid w:val="00215B79"/>
    <w:rsid w:val="002161BF"/>
    <w:rsid w:val="00216715"/>
    <w:rsid w:val="0021719D"/>
    <w:rsid w:val="002173DE"/>
    <w:rsid w:val="00217C46"/>
    <w:rsid w:val="00221380"/>
    <w:rsid w:val="002216A7"/>
    <w:rsid w:val="00222AA8"/>
    <w:rsid w:val="00222D48"/>
    <w:rsid w:val="00223C55"/>
    <w:rsid w:val="00224A27"/>
    <w:rsid w:val="002251B0"/>
    <w:rsid w:val="00225A32"/>
    <w:rsid w:val="00225C52"/>
    <w:rsid w:val="00225CB1"/>
    <w:rsid w:val="00226453"/>
    <w:rsid w:val="00226A2A"/>
    <w:rsid w:val="00226DD2"/>
    <w:rsid w:val="002276F5"/>
    <w:rsid w:val="00230223"/>
    <w:rsid w:val="00230EC3"/>
    <w:rsid w:val="00232224"/>
    <w:rsid w:val="002322EA"/>
    <w:rsid w:val="002334C5"/>
    <w:rsid w:val="00233BEF"/>
    <w:rsid w:val="00234801"/>
    <w:rsid w:val="00234A58"/>
    <w:rsid w:val="002350C0"/>
    <w:rsid w:val="00235A20"/>
    <w:rsid w:val="00236BB6"/>
    <w:rsid w:val="002371A7"/>
    <w:rsid w:val="00240238"/>
    <w:rsid w:val="0024044A"/>
    <w:rsid w:val="002408BF"/>
    <w:rsid w:val="00241A33"/>
    <w:rsid w:val="00241FB8"/>
    <w:rsid w:val="00242508"/>
    <w:rsid w:val="00242872"/>
    <w:rsid w:val="0024337C"/>
    <w:rsid w:val="00243701"/>
    <w:rsid w:val="002437E7"/>
    <w:rsid w:val="00243F7A"/>
    <w:rsid w:val="0024453E"/>
    <w:rsid w:val="00244583"/>
    <w:rsid w:val="00244B88"/>
    <w:rsid w:val="00244E7D"/>
    <w:rsid w:val="00245181"/>
    <w:rsid w:val="002452EF"/>
    <w:rsid w:val="00245751"/>
    <w:rsid w:val="00245E4E"/>
    <w:rsid w:val="00247B52"/>
    <w:rsid w:val="00247E4D"/>
    <w:rsid w:val="002507C2"/>
    <w:rsid w:val="0025181B"/>
    <w:rsid w:val="002520C4"/>
    <w:rsid w:val="00252CC1"/>
    <w:rsid w:val="00252F33"/>
    <w:rsid w:val="00252FF9"/>
    <w:rsid w:val="00253B81"/>
    <w:rsid w:val="00253DD9"/>
    <w:rsid w:val="00254554"/>
    <w:rsid w:val="00254ED3"/>
    <w:rsid w:val="00255157"/>
    <w:rsid w:val="0025716D"/>
    <w:rsid w:val="00257EE4"/>
    <w:rsid w:val="002606A9"/>
    <w:rsid w:val="00260D15"/>
    <w:rsid w:val="0026114B"/>
    <w:rsid w:val="00261164"/>
    <w:rsid w:val="00261409"/>
    <w:rsid w:val="002626C1"/>
    <w:rsid w:val="00264D09"/>
    <w:rsid w:val="00265A8E"/>
    <w:rsid w:val="00265C1B"/>
    <w:rsid w:val="00265FE4"/>
    <w:rsid w:val="002667DE"/>
    <w:rsid w:val="00266BB4"/>
    <w:rsid w:val="00266D17"/>
    <w:rsid w:val="00267271"/>
    <w:rsid w:val="00270DCB"/>
    <w:rsid w:val="0027130A"/>
    <w:rsid w:val="0027161A"/>
    <w:rsid w:val="00271A80"/>
    <w:rsid w:val="00272ADE"/>
    <w:rsid w:val="002732E5"/>
    <w:rsid w:val="002736E3"/>
    <w:rsid w:val="00273E02"/>
    <w:rsid w:val="0027424E"/>
    <w:rsid w:val="00275A85"/>
    <w:rsid w:val="00275E6A"/>
    <w:rsid w:val="00276309"/>
    <w:rsid w:val="00276A1C"/>
    <w:rsid w:val="00276B93"/>
    <w:rsid w:val="00276C94"/>
    <w:rsid w:val="002778A2"/>
    <w:rsid w:val="0028028D"/>
    <w:rsid w:val="00280A99"/>
    <w:rsid w:val="00280CDF"/>
    <w:rsid w:val="00280F4A"/>
    <w:rsid w:val="00281621"/>
    <w:rsid w:val="00281DA4"/>
    <w:rsid w:val="00282543"/>
    <w:rsid w:val="00282928"/>
    <w:rsid w:val="0028324C"/>
    <w:rsid w:val="002832F3"/>
    <w:rsid w:val="0028446A"/>
    <w:rsid w:val="00284A25"/>
    <w:rsid w:val="00284DC6"/>
    <w:rsid w:val="00286639"/>
    <w:rsid w:val="00287AF3"/>
    <w:rsid w:val="00292852"/>
    <w:rsid w:val="0029286A"/>
    <w:rsid w:val="002929A1"/>
    <w:rsid w:val="00292E1D"/>
    <w:rsid w:val="002944AE"/>
    <w:rsid w:val="00294588"/>
    <w:rsid w:val="002945D1"/>
    <w:rsid w:val="002946EA"/>
    <w:rsid w:val="0029474C"/>
    <w:rsid w:val="002948A4"/>
    <w:rsid w:val="0029556A"/>
    <w:rsid w:val="00295596"/>
    <w:rsid w:val="0029568C"/>
    <w:rsid w:val="002965F3"/>
    <w:rsid w:val="00296936"/>
    <w:rsid w:val="002A07D2"/>
    <w:rsid w:val="002A081B"/>
    <w:rsid w:val="002A0961"/>
    <w:rsid w:val="002A0A98"/>
    <w:rsid w:val="002A0E01"/>
    <w:rsid w:val="002A1DE5"/>
    <w:rsid w:val="002A242D"/>
    <w:rsid w:val="002A24AF"/>
    <w:rsid w:val="002A2984"/>
    <w:rsid w:val="002A3075"/>
    <w:rsid w:val="002A3824"/>
    <w:rsid w:val="002A3A7C"/>
    <w:rsid w:val="002A3E49"/>
    <w:rsid w:val="002A465D"/>
    <w:rsid w:val="002A48E0"/>
    <w:rsid w:val="002A49C1"/>
    <w:rsid w:val="002A4C0C"/>
    <w:rsid w:val="002A4D91"/>
    <w:rsid w:val="002A4F24"/>
    <w:rsid w:val="002A5A0A"/>
    <w:rsid w:val="002A5D06"/>
    <w:rsid w:val="002A697A"/>
    <w:rsid w:val="002A7512"/>
    <w:rsid w:val="002A79A8"/>
    <w:rsid w:val="002B0015"/>
    <w:rsid w:val="002B0033"/>
    <w:rsid w:val="002B0A5C"/>
    <w:rsid w:val="002B1BBE"/>
    <w:rsid w:val="002B2616"/>
    <w:rsid w:val="002B2CE9"/>
    <w:rsid w:val="002B2E36"/>
    <w:rsid w:val="002B3EFC"/>
    <w:rsid w:val="002B498E"/>
    <w:rsid w:val="002B5410"/>
    <w:rsid w:val="002B54CC"/>
    <w:rsid w:val="002B63AB"/>
    <w:rsid w:val="002B6A8B"/>
    <w:rsid w:val="002B6C2C"/>
    <w:rsid w:val="002B6EF7"/>
    <w:rsid w:val="002B7907"/>
    <w:rsid w:val="002B7ACE"/>
    <w:rsid w:val="002B7EDE"/>
    <w:rsid w:val="002B7F4A"/>
    <w:rsid w:val="002C037A"/>
    <w:rsid w:val="002C0A76"/>
    <w:rsid w:val="002C2058"/>
    <w:rsid w:val="002C32EA"/>
    <w:rsid w:val="002C477D"/>
    <w:rsid w:val="002C504E"/>
    <w:rsid w:val="002C59C6"/>
    <w:rsid w:val="002C615B"/>
    <w:rsid w:val="002C61BC"/>
    <w:rsid w:val="002C7557"/>
    <w:rsid w:val="002D0041"/>
    <w:rsid w:val="002D06E1"/>
    <w:rsid w:val="002D0875"/>
    <w:rsid w:val="002D0A96"/>
    <w:rsid w:val="002D2E5F"/>
    <w:rsid w:val="002D382A"/>
    <w:rsid w:val="002D439F"/>
    <w:rsid w:val="002D4430"/>
    <w:rsid w:val="002D453D"/>
    <w:rsid w:val="002D49B1"/>
    <w:rsid w:val="002D503A"/>
    <w:rsid w:val="002D5BF8"/>
    <w:rsid w:val="002D5F87"/>
    <w:rsid w:val="002D6343"/>
    <w:rsid w:val="002D7C40"/>
    <w:rsid w:val="002E0855"/>
    <w:rsid w:val="002E12BF"/>
    <w:rsid w:val="002E14EC"/>
    <w:rsid w:val="002E1E3E"/>
    <w:rsid w:val="002E244B"/>
    <w:rsid w:val="002E3427"/>
    <w:rsid w:val="002E3CE6"/>
    <w:rsid w:val="002E4320"/>
    <w:rsid w:val="002E496B"/>
    <w:rsid w:val="002E4CE2"/>
    <w:rsid w:val="002E4F29"/>
    <w:rsid w:val="002E5D6D"/>
    <w:rsid w:val="002E6E9B"/>
    <w:rsid w:val="002E763A"/>
    <w:rsid w:val="002F0184"/>
    <w:rsid w:val="002F111A"/>
    <w:rsid w:val="002F2B75"/>
    <w:rsid w:val="002F30F8"/>
    <w:rsid w:val="002F41C1"/>
    <w:rsid w:val="002F4698"/>
    <w:rsid w:val="002F55C1"/>
    <w:rsid w:val="002F578B"/>
    <w:rsid w:val="002F5E05"/>
    <w:rsid w:val="002F5F2D"/>
    <w:rsid w:val="002F61A8"/>
    <w:rsid w:val="002F6565"/>
    <w:rsid w:val="002F6A7A"/>
    <w:rsid w:val="002F6FC0"/>
    <w:rsid w:val="002F70F0"/>
    <w:rsid w:val="002F7166"/>
    <w:rsid w:val="002F7563"/>
    <w:rsid w:val="002F76B4"/>
    <w:rsid w:val="0030039F"/>
    <w:rsid w:val="003005FC"/>
    <w:rsid w:val="00300DC4"/>
    <w:rsid w:val="00302074"/>
    <w:rsid w:val="0030214E"/>
    <w:rsid w:val="003024F9"/>
    <w:rsid w:val="0030274C"/>
    <w:rsid w:val="00302D8D"/>
    <w:rsid w:val="00303DD8"/>
    <w:rsid w:val="0030416B"/>
    <w:rsid w:val="00304C8B"/>
    <w:rsid w:val="00305485"/>
    <w:rsid w:val="00306319"/>
    <w:rsid w:val="0030685A"/>
    <w:rsid w:val="003076D8"/>
    <w:rsid w:val="0031001F"/>
    <w:rsid w:val="0031106F"/>
    <w:rsid w:val="003114B7"/>
    <w:rsid w:val="003123DE"/>
    <w:rsid w:val="00312BB1"/>
    <w:rsid w:val="00312BFA"/>
    <w:rsid w:val="00313970"/>
    <w:rsid w:val="00313A94"/>
    <w:rsid w:val="0031482C"/>
    <w:rsid w:val="00314DD1"/>
    <w:rsid w:val="00314EFE"/>
    <w:rsid w:val="00315EC1"/>
    <w:rsid w:val="00316328"/>
    <w:rsid w:val="00316A17"/>
    <w:rsid w:val="003171E8"/>
    <w:rsid w:val="00320F1A"/>
    <w:rsid w:val="0032163B"/>
    <w:rsid w:val="00321ABC"/>
    <w:rsid w:val="00325829"/>
    <w:rsid w:val="00326865"/>
    <w:rsid w:val="00327EB9"/>
    <w:rsid w:val="00330D6E"/>
    <w:rsid w:val="00330DAE"/>
    <w:rsid w:val="0033183E"/>
    <w:rsid w:val="00332323"/>
    <w:rsid w:val="00333696"/>
    <w:rsid w:val="00333F5F"/>
    <w:rsid w:val="00334121"/>
    <w:rsid w:val="00334A43"/>
    <w:rsid w:val="00335112"/>
    <w:rsid w:val="00335CC2"/>
    <w:rsid w:val="0033647D"/>
    <w:rsid w:val="00336A3E"/>
    <w:rsid w:val="00336ADF"/>
    <w:rsid w:val="00337353"/>
    <w:rsid w:val="00337A7B"/>
    <w:rsid w:val="0034055B"/>
    <w:rsid w:val="0034099F"/>
    <w:rsid w:val="003423C3"/>
    <w:rsid w:val="0034294B"/>
    <w:rsid w:val="00342CFE"/>
    <w:rsid w:val="003434DA"/>
    <w:rsid w:val="003437F2"/>
    <w:rsid w:val="00343923"/>
    <w:rsid w:val="00344AAD"/>
    <w:rsid w:val="00344F4A"/>
    <w:rsid w:val="0035049C"/>
    <w:rsid w:val="00351046"/>
    <w:rsid w:val="0035123F"/>
    <w:rsid w:val="0035190B"/>
    <w:rsid w:val="00351BF6"/>
    <w:rsid w:val="00352164"/>
    <w:rsid w:val="003530B8"/>
    <w:rsid w:val="003549E3"/>
    <w:rsid w:val="0035555D"/>
    <w:rsid w:val="0035682B"/>
    <w:rsid w:val="00356880"/>
    <w:rsid w:val="0035719D"/>
    <w:rsid w:val="00360221"/>
    <w:rsid w:val="00361AB0"/>
    <w:rsid w:val="003632A1"/>
    <w:rsid w:val="00363AE7"/>
    <w:rsid w:val="003645A8"/>
    <w:rsid w:val="003645E2"/>
    <w:rsid w:val="003649EE"/>
    <w:rsid w:val="00364DB0"/>
    <w:rsid w:val="003655D3"/>
    <w:rsid w:val="00365813"/>
    <w:rsid w:val="00365B7D"/>
    <w:rsid w:val="00365FE5"/>
    <w:rsid w:val="003665E8"/>
    <w:rsid w:val="00366BF3"/>
    <w:rsid w:val="003675EE"/>
    <w:rsid w:val="00367A74"/>
    <w:rsid w:val="00370270"/>
    <w:rsid w:val="00370BF0"/>
    <w:rsid w:val="00370CAC"/>
    <w:rsid w:val="0037184A"/>
    <w:rsid w:val="00371C9E"/>
    <w:rsid w:val="0037345D"/>
    <w:rsid w:val="00373CB4"/>
    <w:rsid w:val="00375044"/>
    <w:rsid w:val="003761E2"/>
    <w:rsid w:val="003776AA"/>
    <w:rsid w:val="00377825"/>
    <w:rsid w:val="00380907"/>
    <w:rsid w:val="00380A3E"/>
    <w:rsid w:val="00381BEE"/>
    <w:rsid w:val="00383B67"/>
    <w:rsid w:val="00384890"/>
    <w:rsid w:val="003850F8"/>
    <w:rsid w:val="00385453"/>
    <w:rsid w:val="00385A49"/>
    <w:rsid w:val="00385B8E"/>
    <w:rsid w:val="00386556"/>
    <w:rsid w:val="00386A50"/>
    <w:rsid w:val="00386A92"/>
    <w:rsid w:val="00386D5D"/>
    <w:rsid w:val="0038715C"/>
    <w:rsid w:val="003902F6"/>
    <w:rsid w:val="003902FD"/>
    <w:rsid w:val="003909C4"/>
    <w:rsid w:val="00391053"/>
    <w:rsid w:val="003919B2"/>
    <w:rsid w:val="00391E1F"/>
    <w:rsid w:val="00393340"/>
    <w:rsid w:val="00394232"/>
    <w:rsid w:val="003942F1"/>
    <w:rsid w:val="00394808"/>
    <w:rsid w:val="0039513D"/>
    <w:rsid w:val="00395D1F"/>
    <w:rsid w:val="00396504"/>
    <w:rsid w:val="00396D70"/>
    <w:rsid w:val="00397BFF"/>
    <w:rsid w:val="003A0E59"/>
    <w:rsid w:val="003A1216"/>
    <w:rsid w:val="003A15F0"/>
    <w:rsid w:val="003A2558"/>
    <w:rsid w:val="003A3C9A"/>
    <w:rsid w:val="003A3E06"/>
    <w:rsid w:val="003A4FA1"/>
    <w:rsid w:val="003A5144"/>
    <w:rsid w:val="003A5F39"/>
    <w:rsid w:val="003A632C"/>
    <w:rsid w:val="003A6358"/>
    <w:rsid w:val="003A69D1"/>
    <w:rsid w:val="003A7C46"/>
    <w:rsid w:val="003A7DB7"/>
    <w:rsid w:val="003B042C"/>
    <w:rsid w:val="003B0A47"/>
    <w:rsid w:val="003B0B09"/>
    <w:rsid w:val="003B15BD"/>
    <w:rsid w:val="003B19F7"/>
    <w:rsid w:val="003B21F2"/>
    <w:rsid w:val="003B225B"/>
    <w:rsid w:val="003B31DD"/>
    <w:rsid w:val="003B3B07"/>
    <w:rsid w:val="003B3E4A"/>
    <w:rsid w:val="003B463A"/>
    <w:rsid w:val="003B50F9"/>
    <w:rsid w:val="003B534C"/>
    <w:rsid w:val="003B7821"/>
    <w:rsid w:val="003B7BF4"/>
    <w:rsid w:val="003C04A3"/>
    <w:rsid w:val="003C0B81"/>
    <w:rsid w:val="003C127F"/>
    <w:rsid w:val="003C2B0C"/>
    <w:rsid w:val="003C422E"/>
    <w:rsid w:val="003C467B"/>
    <w:rsid w:val="003C4F8B"/>
    <w:rsid w:val="003C5C6C"/>
    <w:rsid w:val="003C6010"/>
    <w:rsid w:val="003C7823"/>
    <w:rsid w:val="003D003F"/>
    <w:rsid w:val="003D12B2"/>
    <w:rsid w:val="003D1BA9"/>
    <w:rsid w:val="003D2911"/>
    <w:rsid w:val="003D4BDC"/>
    <w:rsid w:val="003D5EF6"/>
    <w:rsid w:val="003D6810"/>
    <w:rsid w:val="003D6A4D"/>
    <w:rsid w:val="003D6FD4"/>
    <w:rsid w:val="003D7100"/>
    <w:rsid w:val="003D714F"/>
    <w:rsid w:val="003E0296"/>
    <w:rsid w:val="003E0349"/>
    <w:rsid w:val="003E1223"/>
    <w:rsid w:val="003E143B"/>
    <w:rsid w:val="003E15D5"/>
    <w:rsid w:val="003E1632"/>
    <w:rsid w:val="003E2728"/>
    <w:rsid w:val="003E2CD5"/>
    <w:rsid w:val="003E2E0F"/>
    <w:rsid w:val="003E2F28"/>
    <w:rsid w:val="003E4783"/>
    <w:rsid w:val="003E47D1"/>
    <w:rsid w:val="003E5442"/>
    <w:rsid w:val="003E547B"/>
    <w:rsid w:val="003E5EB1"/>
    <w:rsid w:val="003E5EE6"/>
    <w:rsid w:val="003E7EDA"/>
    <w:rsid w:val="003F1216"/>
    <w:rsid w:val="003F13CC"/>
    <w:rsid w:val="003F1C28"/>
    <w:rsid w:val="003F1DF0"/>
    <w:rsid w:val="003F1EDA"/>
    <w:rsid w:val="003F2213"/>
    <w:rsid w:val="003F22C3"/>
    <w:rsid w:val="003F3B37"/>
    <w:rsid w:val="003F40B4"/>
    <w:rsid w:val="003F44AC"/>
    <w:rsid w:val="003F48F6"/>
    <w:rsid w:val="003F504B"/>
    <w:rsid w:val="003F64F5"/>
    <w:rsid w:val="003F7DF5"/>
    <w:rsid w:val="00400685"/>
    <w:rsid w:val="00401A10"/>
    <w:rsid w:val="004028F5"/>
    <w:rsid w:val="004031D5"/>
    <w:rsid w:val="00403C23"/>
    <w:rsid w:val="00403D79"/>
    <w:rsid w:val="00403F51"/>
    <w:rsid w:val="0040432B"/>
    <w:rsid w:val="00404518"/>
    <w:rsid w:val="0040536A"/>
    <w:rsid w:val="004053B6"/>
    <w:rsid w:val="004053C8"/>
    <w:rsid w:val="00405A17"/>
    <w:rsid w:val="00407A7B"/>
    <w:rsid w:val="00410A99"/>
    <w:rsid w:val="0041296A"/>
    <w:rsid w:val="0041331A"/>
    <w:rsid w:val="004135FF"/>
    <w:rsid w:val="00413771"/>
    <w:rsid w:val="00413C24"/>
    <w:rsid w:val="00414918"/>
    <w:rsid w:val="00414941"/>
    <w:rsid w:val="004155C9"/>
    <w:rsid w:val="0041637F"/>
    <w:rsid w:val="00416742"/>
    <w:rsid w:val="00417342"/>
    <w:rsid w:val="0042096C"/>
    <w:rsid w:val="00420CA3"/>
    <w:rsid w:val="00420D3A"/>
    <w:rsid w:val="00421484"/>
    <w:rsid w:val="004220AB"/>
    <w:rsid w:val="004232DC"/>
    <w:rsid w:val="00423A47"/>
    <w:rsid w:val="00423CC3"/>
    <w:rsid w:val="004242B0"/>
    <w:rsid w:val="0042465A"/>
    <w:rsid w:val="00424695"/>
    <w:rsid w:val="0042478D"/>
    <w:rsid w:val="0042576A"/>
    <w:rsid w:val="004257A8"/>
    <w:rsid w:val="00425B41"/>
    <w:rsid w:val="00425C08"/>
    <w:rsid w:val="00426BB7"/>
    <w:rsid w:val="004304CF"/>
    <w:rsid w:val="0043093C"/>
    <w:rsid w:val="00431524"/>
    <w:rsid w:val="0043164A"/>
    <w:rsid w:val="00431B50"/>
    <w:rsid w:val="00431E41"/>
    <w:rsid w:val="00431F10"/>
    <w:rsid w:val="00432399"/>
    <w:rsid w:val="00433097"/>
    <w:rsid w:val="00433669"/>
    <w:rsid w:val="00434672"/>
    <w:rsid w:val="0043485F"/>
    <w:rsid w:val="0043586D"/>
    <w:rsid w:val="00435AAF"/>
    <w:rsid w:val="00435D7C"/>
    <w:rsid w:val="00436089"/>
    <w:rsid w:val="0043693D"/>
    <w:rsid w:val="004374F1"/>
    <w:rsid w:val="0044199C"/>
    <w:rsid w:val="0044212E"/>
    <w:rsid w:val="00442441"/>
    <w:rsid w:val="0044352A"/>
    <w:rsid w:val="0044396E"/>
    <w:rsid w:val="00443973"/>
    <w:rsid w:val="00443EDD"/>
    <w:rsid w:val="00444A3F"/>
    <w:rsid w:val="00445A27"/>
    <w:rsid w:val="00446E42"/>
    <w:rsid w:val="00450079"/>
    <w:rsid w:val="0045040D"/>
    <w:rsid w:val="00450BA1"/>
    <w:rsid w:val="00450D61"/>
    <w:rsid w:val="0045192E"/>
    <w:rsid w:val="00451C83"/>
    <w:rsid w:val="004522D6"/>
    <w:rsid w:val="00452647"/>
    <w:rsid w:val="004547AB"/>
    <w:rsid w:val="004559A7"/>
    <w:rsid w:val="00455D29"/>
    <w:rsid w:val="00455EDA"/>
    <w:rsid w:val="0045610A"/>
    <w:rsid w:val="00456A4A"/>
    <w:rsid w:val="00456C3F"/>
    <w:rsid w:val="004600DE"/>
    <w:rsid w:val="00460472"/>
    <w:rsid w:val="004607DC"/>
    <w:rsid w:val="0046206E"/>
    <w:rsid w:val="004621ED"/>
    <w:rsid w:val="00463AC2"/>
    <w:rsid w:val="00463B37"/>
    <w:rsid w:val="0046487B"/>
    <w:rsid w:val="00464B43"/>
    <w:rsid w:val="00465506"/>
    <w:rsid w:val="0046568E"/>
    <w:rsid w:val="0046752F"/>
    <w:rsid w:val="00467DA4"/>
    <w:rsid w:val="0047053F"/>
    <w:rsid w:val="00470B99"/>
    <w:rsid w:val="00471C06"/>
    <w:rsid w:val="00471ECD"/>
    <w:rsid w:val="0047277F"/>
    <w:rsid w:val="004727D1"/>
    <w:rsid w:val="004727DB"/>
    <w:rsid w:val="00472BF3"/>
    <w:rsid w:val="00472EDC"/>
    <w:rsid w:val="004758E3"/>
    <w:rsid w:val="00475CC3"/>
    <w:rsid w:val="00475E91"/>
    <w:rsid w:val="00476AC3"/>
    <w:rsid w:val="0047713F"/>
    <w:rsid w:val="00477ADA"/>
    <w:rsid w:val="00477B89"/>
    <w:rsid w:val="004804EE"/>
    <w:rsid w:val="004804FA"/>
    <w:rsid w:val="00481139"/>
    <w:rsid w:val="0048182C"/>
    <w:rsid w:val="004836A4"/>
    <w:rsid w:val="00483B2D"/>
    <w:rsid w:val="004841D0"/>
    <w:rsid w:val="00485E44"/>
    <w:rsid w:val="004868E2"/>
    <w:rsid w:val="00486F6F"/>
    <w:rsid w:val="00487825"/>
    <w:rsid w:val="004914AE"/>
    <w:rsid w:val="00491774"/>
    <w:rsid w:val="00492589"/>
    <w:rsid w:val="00493772"/>
    <w:rsid w:val="0049388D"/>
    <w:rsid w:val="00493F89"/>
    <w:rsid w:val="00494C2A"/>
    <w:rsid w:val="00494D06"/>
    <w:rsid w:val="00494D74"/>
    <w:rsid w:val="00494FC3"/>
    <w:rsid w:val="0049541D"/>
    <w:rsid w:val="00495B33"/>
    <w:rsid w:val="004961BA"/>
    <w:rsid w:val="004968B7"/>
    <w:rsid w:val="004972EE"/>
    <w:rsid w:val="00497EC6"/>
    <w:rsid w:val="004A06A0"/>
    <w:rsid w:val="004A0A47"/>
    <w:rsid w:val="004A0C0B"/>
    <w:rsid w:val="004A12A0"/>
    <w:rsid w:val="004A4510"/>
    <w:rsid w:val="004A48A7"/>
    <w:rsid w:val="004A4D70"/>
    <w:rsid w:val="004A4FF0"/>
    <w:rsid w:val="004A54B1"/>
    <w:rsid w:val="004A5B2C"/>
    <w:rsid w:val="004A5D52"/>
    <w:rsid w:val="004A5EF9"/>
    <w:rsid w:val="004A6AFD"/>
    <w:rsid w:val="004A6B0D"/>
    <w:rsid w:val="004A6F97"/>
    <w:rsid w:val="004A7616"/>
    <w:rsid w:val="004B0773"/>
    <w:rsid w:val="004B0C46"/>
    <w:rsid w:val="004B1509"/>
    <w:rsid w:val="004B285D"/>
    <w:rsid w:val="004B3A5A"/>
    <w:rsid w:val="004B41C1"/>
    <w:rsid w:val="004B5075"/>
    <w:rsid w:val="004B56B3"/>
    <w:rsid w:val="004B5A15"/>
    <w:rsid w:val="004B5DA9"/>
    <w:rsid w:val="004B7BB1"/>
    <w:rsid w:val="004B7BED"/>
    <w:rsid w:val="004C0475"/>
    <w:rsid w:val="004C0579"/>
    <w:rsid w:val="004C1915"/>
    <w:rsid w:val="004C1F40"/>
    <w:rsid w:val="004C2E01"/>
    <w:rsid w:val="004C30F1"/>
    <w:rsid w:val="004C3F20"/>
    <w:rsid w:val="004C5431"/>
    <w:rsid w:val="004C5F40"/>
    <w:rsid w:val="004C6E3C"/>
    <w:rsid w:val="004C7C31"/>
    <w:rsid w:val="004D02D7"/>
    <w:rsid w:val="004D150E"/>
    <w:rsid w:val="004D23F5"/>
    <w:rsid w:val="004D388F"/>
    <w:rsid w:val="004D3A09"/>
    <w:rsid w:val="004D41C1"/>
    <w:rsid w:val="004D473F"/>
    <w:rsid w:val="004D4762"/>
    <w:rsid w:val="004D4D60"/>
    <w:rsid w:val="004D4D7C"/>
    <w:rsid w:val="004D5026"/>
    <w:rsid w:val="004D71DF"/>
    <w:rsid w:val="004D7758"/>
    <w:rsid w:val="004D7922"/>
    <w:rsid w:val="004D7976"/>
    <w:rsid w:val="004D7ADA"/>
    <w:rsid w:val="004E0D94"/>
    <w:rsid w:val="004E0DAB"/>
    <w:rsid w:val="004E1FEF"/>
    <w:rsid w:val="004E23CB"/>
    <w:rsid w:val="004E268E"/>
    <w:rsid w:val="004E2A24"/>
    <w:rsid w:val="004E2BA2"/>
    <w:rsid w:val="004E2F67"/>
    <w:rsid w:val="004E39C1"/>
    <w:rsid w:val="004E3CA2"/>
    <w:rsid w:val="004E535B"/>
    <w:rsid w:val="004E61B4"/>
    <w:rsid w:val="004F0F35"/>
    <w:rsid w:val="004F1611"/>
    <w:rsid w:val="004F19E5"/>
    <w:rsid w:val="004F2252"/>
    <w:rsid w:val="004F3712"/>
    <w:rsid w:val="004F3DBD"/>
    <w:rsid w:val="004F3EA3"/>
    <w:rsid w:val="004F46FB"/>
    <w:rsid w:val="004F49AF"/>
    <w:rsid w:val="004F50BA"/>
    <w:rsid w:val="004F5159"/>
    <w:rsid w:val="004F5CB7"/>
    <w:rsid w:val="004F5D2D"/>
    <w:rsid w:val="004F5E99"/>
    <w:rsid w:val="004F64A5"/>
    <w:rsid w:val="004F64D6"/>
    <w:rsid w:val="0050014E"/>
    <w:rsid w:val="0050039D"/>
    <w:rsid w:val="00500443"/>
    <w:rsid w:val="00500542"/>
    <w:rsid w:val="00500E23"/>
    <w:rsid w:val="005011D4"/>
    <w:rsid w:val="005013C7"/>
    <w:rsid w:val="00502768"/>
    <w:rsid w:val="005032E2"/>
    <w:rsid w:val="00503911"/>
    <w:rsid w:val="00505BCF"/>
    <w:rsid w:val="005062F4"/>
    <w:rsid w:val="005066FE"/>
    <w:rsid w:val="00506D6D"/>
    <w:rsid w:val="0050724C"/>
    <w:rsid w:val="00507333"/>
    <w:rsid w:val="00510F70"/>
    <w:rsid w:val="00511755"/>
    <w:rsid w:val="00511946"/>
    <w:rsid w:val="00511F75"/>
    <w:rsid w:val="005138E7"/>
    <w:rsid w:val="00513F84"/>
    <w:rsid w:val="00513F89"/>
    <w:rsid w:val="00514452"/>
    <w:rsid w:val="005146C1"/>
    <w:rsid w:val="00515CC6"/>
    <w:rsid w:val="005165B6"/>
    <w:rsid w:val="0051660F"/>
    <w:rsid w:val="0051687A"/>
    <w:rsid w:val="00516C60"/>
    <w:rsid w:val="005175C6"/>
    <w:rsid w:val="005200C0"/>
    <w:rsid w:val="005200F5"/>
    <w:rsid w:val="0052115B"/>
    <w:rsid w:val="00521319"/>
    <w:rsid w:val="00521A37"/>
    <w:rsid w:val="00521A4E"/>
    <w:rsid w:val="00521EBB"/>
    <w:rsid w:val="00521F3A"/>
    <w:rsid w:val="00522C27"/>
    <w:rsid w:val="00523076"/>
    <w:rsid w:val="00524247"/>
    <w:rsid w:val="005246AC"/>
    <w:rsid w:val="005247FC"/>
    <w:rsid w:val="0052552E"/>
    <w:rsid w:val="00525988"/>
    <w:rsid w:val="00526B70"/>
    <w:rsid w:val="005271FE"/>
    <w:rsid w:val="00531B37"/>
    <w:rsid w:val="00532D5C"/>
    <w:rsid w:val="00532EDC"/>
    <w:rsid w:val="00532FAB"/>
    <w:rsid w:val="0053317E"/>
    <w:rsid w:val="0053327E"/>
    <w:rsid w:val="00533862"/>
    <w:rsid w:val="00533F84"/>
    <w:rsid w:val="00534954"/>
    <w:rsid w:val="00534CC9"/>
    <w:rsid w:val="005350D3"/>
    <w:rsid w:val="00536149"/>
    <w:rsid w:val="005361BB"/>
    <w:rsid w:val="00536A88"/>
    <w:rsid w:val="0053706D"/>
    <w:rsid w:val="005371C7"/>
    <w:rsid w:val="00537A0E"/>
    <w:rsid w:val="005400A0"/>
    <w:rsid w:val="005403A1"/>
    <w:rsid w:val="00540B23"/>
    <w:rsid w:val="005416C5"/>
    <w:rsid w:val="005427CF"/>
    <w:rsid w:val="00543399"/>
    <w:rsid w:val="0054347D"/>
    <w:rsid w:val="00543670"/>
    <w:rsid w:val="005445E7"/>
    <w:rsid w:val="00544950"/>
    <w:rsid w:val="00544985"/>
    <w:rsid w:val="005449FD"/>
    <w:rsid w:val="00544D8A"/>
    <w:rsid w:val="00545F4A"/>
    <w:rsid w:val="0054646E"/>
    <w:rsid w:val="005464B3"/>
    <w:rsid w:val="005474A7"/>
    <w:rsid w:val="005476F2"/>
    <w:rsid w:val="005479FF"/>
    <w:rsid w:val="00550134"/>
    <w:rsid w:val="005517AF"/>
    <w:rsid w:val="00551803"/>
    <w:rsid w:val="005525A2"/>
    <w:rsid w:val="00552F23"/>
    <w:rsid w:val="0055354D"/>
    <w:rsid w:val="005536E4"/>
    <w:rsid w:val="00553EAF"/>
    <w:rsid w:val="005544C1"/>
    <w:rsid w:val="00554A2F"/>
    <w:rsid w:val="00554AC1"/>
    <w:rsid w:val="00554D5A"/>
    <w:rsid w:val="00555C5E"/>
    <w:rsid w:val="005567B3"/>
    <w:rsid w:val="00556B78"/>
    <w:rsid w:val="00557075"/>
    <w:rsid w:val="005570D9"/>
    <w:rsid w:val="00557999"/>
    <w:rsid w:val="00557DCA"/>
    <w:rsid w:val="0056022D"/>
    <w:rsid w:val="00562361"/>
    <w:rsid w:val="0056291C"/>
    <w:rsid w:val="00563350"/>
    <w:rsid w:val="005643AE"/>
    <w:rsid w:val="005659B2"/>
    <w:rsid w:val="005664ED"/>
    <w:rsid w:val="0056655D"/>
    <w:rsid w:val="00570131"/>
    <w:rsid w:val="00571218"/>
    <w:rsid w:val="005716C3"/>
    <w:rsid w:val="00571764"/>
    <w:rsid w:val="00573206"/>
    <w:rsid w:val="00573FB9"/>
    <w:rsid w:val="00574321"/>
    <w:rsid w:val="0057462D"/>
    <w:rsid w:val="00574825"/>
    <w:rsid w:val="00575136"/>
    <w:rsid w:val="005772BC"/>
    <w:rsid w:val="00577411"/>
    <w:rsid w:val="005777C5"/>
    <w:rsid w:val="00577C89"/>
    <w:rsid w:val="0058075A"/>
    <w:rsid w:val="00580771"/>
    <w:rsid w:val="005809B7"/>
    <w:rsid w:val="00580A90"/>
    <w:rsid w:val="00580E4D"/>
    <w:rsid w:val="005819AD"/>
    <w:rsid w:val="00581F66"/>
    <w:rsid w:val="00582D0A"/>
    <w:rsid w:val="00583257"/>
    <w:rsid w:val="00583FFB"/>
    <w:rsid w:val="00585E2E"/>
    <w:rsid w:val="005868F5"/>
    <w:rsid w:val="005872AB"/>
    <w:rsid w:val="005873AD"/>
    <w:rsid w:val="0058743E"/>
    <w:rsid w:val="0059045E"/>
    <w:rsid w:val="00591423"/>
    <w:rsid w:val="005915D8"/>
    <w:rsid w:val="00591B31"/>
    <w:rsid w:val="00591EC1"/>
    <w:rsid w:val="00592671"/>
    <w:rsid w:val="00592910"/>
    <w:rsid w:val="00592DE3"/>
    <w:rsid w:val="005938EB"/>
    <w:rsid w:val="00593E0E"/>
    <w:rsid w:val="0059472B"/>
    <w:rsid w:val="00594B29"/>
    <w:rsid w:val="00594C9D"/>
    <w:rsid w:val="00594CB5"/>
    <w:rsid w:val="00595B80"/>
    <w:rsid w:val="00595E4F"/>
    <w:rsid w:val="0059649E"/>
    <w:rsid w:val="00596C7B"/>
    <w:rsid w:val="00596F6D"/>
    <w:rsid w:val="005971C9"/>
    <w:rsid w:val="005A0ED9"/>
    <w:rsid w:val="005A2794"/>
    <w:rsid w:val="005A358B"/>
    <w:rsid w:val="005A3A46"/>
    <w:rsid w:val="005A3DCA"/>
    <w:rsid w:val="005A5963"/>
    <w:rsid w:val="005A61B2"/>
    <w:rsid w:val="005A63E2"/>
    <w:rsid w:val="005A6C89"/>
    <w:rsid w:val="005A784E"/>
    <w:rsid w:val="005B08BF"/>
    <w:rsid w:val="005B19F3"/>
    <w:rsid w:val="005B1BA3"/>
    <w:rsid w:val="005B1C8F"/>
    <w:rsid w:val="005B2374"/>
    <w:rsid w:val="005B2A49"/>
    <w:rsid w:val="005B2DBB"/>
    <w:rsid w:val="005B3168"/>
    <w:rsid w:val="005B32B6"/>
    <w:rsid w:val="005B3348"/>
    <w:rsid w:val="005B3604"/>
    <w:rsid w:val="005B3FFB"/>
    <w:rsid w:val="005B4459"/>
    <w:rsid w:val="005B55F1"/>
    <w:rsid w:val="005B61F3"/>
    <w:rsid w:val="005B6206"/>
    <w:rsid w:val="005B6EFD"/>
    <w:rsid w:val="005B792D"/>
    <w:rsid w:val="005C145B"/>
    <w:rsid w:val="005C16DA"/>
    <w:rsid w:val="005C1C57"/>
    <w:rsid w:val="005C26AE"/>
    <w:rsid w:val="005C3586"/>
    <w:rsid w:val="005C3639"/>
    <w:rsid w:val="005C3B81"/>
    <w:rsid w:val="005C3D0C"/>
    <w:rsid w:val="005C3F72"/>
    <w:rsid w:val="005C4056"/>
    <w:rsid w:val="005C4BD5"/>
    <w:rsid w:val="005C505B"/>
    <w:rsid w:val="005C561C"/>
    <w:rsid w:val="005C59AF"/>
    <w:rsid w:val="005C63A8"/>
    <w:rsid w:val="005C66FA"/>
    <w:rsid w:val="005C6B6B"/>
    <w:rsid w:val="005C73CC"/>
    <w:rsid w:val="005C750C"/>
    <w:rsid w:val="005C788B"/>
    <w:rsid w:val="005C7B1B"/>
    <w:rsid w:val="005D0309"/>
    <w:rsid w:val="005D0838"/>
    <w:rsid w:val="005D09F1"/>
    <w:rsid w:val="005D0BEA"/>
    <w:rsid w:val="005D21C4"/>
    <w:rsid w:val="005D23F4"/>
    <w:rsid w:val="005D389E"/>
    <w:rsid w:val="005D3FC1"/>
    <w:rsid w:val="005D41DE"/>
    <w:rsid w:val="005D4896"/>
    <w:rsid w:val="005D5C2A"/>
    <w:rsid w:val="005D5ECB"/>
    <w:rsid w:val="005D64CD"/>
    <w:rsid w:val="005D67A2"/>
    <w:rsid w:val="005D6824"/>
    <w:rsid w:val="005D688C"/>
    <w:rsid w:val="005D6C6A"/>
    <w:rsid w:val="005D7344"/>
    <w:rsid w:val="005D7892"/>
    <w:rsid w:val="005D7BC2"/>
    <w:rsid w:val="005E0320"/>
    <w:rsid w:val="005E104B"/>
    <w:rsid w:val="005E11B4"/>
    <w:rsid w:val="005E1306"/>
    <w:rsid w:val="005E1584"/>
    <w:rsid w:val="005E27C8"/>
    <w:rsid w:val="005E2A80"/>
    <w:rsid w:val="005E2D24"/>
    <w:rsid w:val="005E2DB3"/>
    <w:rsid w:val="005E31B8"/>
    <w:rsid w:val="005E4DB4"/>
    <w:rsid w:val="005E60E1"/>
    <w:rsid w:val="005F04DB"/>
    <w:rsid w:val="005F094D"/>
    <w:rsid w:val="005F1006"/>
    <w:rsid w:val="005F1D31"/>
    <w:rsid w:val="005F2720"/>
    <w:rsid w:val="005F3BA9"/>
    <w:rsid w:val="005F5F78"/>
    <w:rsid w:val="005F668C"/>
    <w:rsid w:val="005F6BA4"/>
    <w:rsid w:val="005F70D8"/>
    <w:rsid w:val="00600186"/>
    <w:rsid w:val="006006A1"/>
    <w:rsid w:val="00600801"/>
    <w:rsid w:val="00600E82"/>
    <w:rsid w:val="00601445"/>
    <w:rsid w:val="00601B1D"/>
    <w:rsid w:val="00601FB0"/>
    <w:rsid w:val="0060266F"/>
    <w:rsid w:val="006037B8"/>
    <w:rsid w:val="00604761"/>
    <w:rsid w:val="006048D1"/>
    <w:rsid w:val="00604D5B"/>
    <w:rsid w:val="00604E56"/>
    <w:rsid w:val="0060520C"/>
    <w:rsid w:val="00605A76"/>
    <w:rsid w:val="00605B4E"/>
    <w:rsid w:val="006061F7"/>
    <w:rsid w:val="00606701"/>
    <w:rsid w:val="00607147"/>
    <w:rsid w:val="00612649"/>
    <w:rsid w:val="00612AD4"/>
    <w:rsid w:val="00612B3E"/>
    <w:rsid w:val="00613050"/>
    <w:rsid w:val="0061461E"/>
    <w:rsid w:val="00615DCD"/>
    <w:rsid w:val="00616A04"/>
    <w:rsid w:val="00616DF9"/>
    <w:rsid w:val="006171D4"/>
    <w:rsid w:val="00617B01"/>
    <w:rsid w:val="00620FD8"/>
    <w:rsid w:val="0062104E"/>
    <w:rsid w:val="006211AE"/>
    <w:rsid w:val="006215C5"/>
    <w:rsid w:val="00622526"/>
    <w:rsid w:val="00622EC3"/>
    <w:rsid w:val="00624F6F"/>
    <w:rsid w:val="0062535F"/>
    <w:rsid w:val="0062549A"/>
    <w:rsid w:val="00625CCD"/>
    <w:rsid w:val="00626616"/>
    <w:rsid w:val="006268D5"/>
    <w:rsid w:val="00627A6F"/>
    <w:rsid w:val="00630D88"/>
    <w:rsid w:val="00631031"/>
    <w:rsid w:val="006315EB"/>
    <w:rsid w:val="00631671"/>
    <w:rsid w:val="0063199A"/>
    <w:rsid w:val="00631BCD"/>
    <w:rsid w:val="00632027"/>
    <w:rsid w:val="0063241B"/>
    <w:rsid w:val="00632C63"/>
    <w:rsid w:val="00633432"/>
    <w:rsid w:val="006337F0"/>
    <w:rsid w:val="0063479B"/>
    <w:rsid w:val="00634C82"/>
    <w:rsid w:val="00635286"/>
    <w:rsid w:val="00636BFD"/>
    <w:rsid w:val="00637D34"/>
    <w:rsid w:val="00640842"/>
    <w:rsid w:val="00640945"/>
    <w:rsid w:val="00641453"/>
    <w:rsid w:val="0064148F"/>
    <w:rsid w:val="006436D3"/>
    <w:rsid w:val="00643EB0"/>
    <w:rsid w:val="006466F7"/>
    <w:rsid w:val="00647CD1"/>
    <w:rsid w:val="00650403"/>
    <w:rsid w:val="00651408"/>
    <w:rsid w:val="00652672"/>
    <w:rsid w:val="006533CA"/>
    <w:rsid w:val="006538A4"/>
    <w:rsid w:val="00653B7C"/>
    <w:rsid w:val="0065438D"/>
    <w:rsid w:val="00654A7A"/>
    <w:rsid w:val="00654C3C"/>
    <w:rsid w:val="006560C4"/>
    <w:rsid w:val="006569EA"/>
    <w:rsid w:val="00656AF2"/>
    <w:rsid w:val="00656BFC"/>
    <w:rsid w:val="0066070B"/>
    <w:rsid w:val="00660932"/>
    <w:rsid w:val="00660CDB"/>
    <w:rsid w:val="00661A11"/>
    <w:rsid w:val="00662480"/>
    <w:rsid w:val="00662A4B"/>
    <w:rsid w:val="00662DE1"/>
    <w:rsid w:val="0066316B"/>
    <w:rsid w:val="00663591"/>
    <w:rsid w:val="006636F0"/>
    <w:rsid w:val="00663A94"/>
    <w:rsid w:val="006671F7"/>
    <w:rsid w:val="006679CD"/>
    <w:rsid w:val="006701FB"/>
    <w:rsid w:val="00670637"/>
    <w:rsid w:val="006707FA"/>
    <w:rsid w:val="00670FF7"/>
    <w:rsid w:val="00672010"/>
    <w:rsid w:val="00674486"/>
    <w:rsid w:val="0067547D"/>
    <w:rsid w:val="006757CC"/>
    <w:rsid w:val="00676674"/>
    <w:rsid w:val="00677B18"/>
    <w:rsid w:val="00681AB0"/>
    <w:rsid w:val="00681DD8"/>
    <w:rsid w:val="00683091"/>
    <w:rsid w:val="00683149"/>
    <w:rsid w:val="00684FDE"/>
    <w:rsid w:val="006858AA"/>
    <w:rsid w:val="00685E39"/>
    <w:rsid w:val="00687723"/>
    <w:rsid w:val="00690419"/>
    <w:rsid w:val="00690CA1"/>
    <w:rsid w:val="00690CC5"/>
    <w:rsid w:val="006932EA"/>
    <w:rsid w:val="00693644"/>
    <w:rsid w:val="0069366D"/>
    <w:rsid w:val="0069421D"/>
    <w:rsid w:val="00694BCD"/>
    <w:rsid w:val="0069510B"/>
    <w:rsid w:val="00695AA1"/>
    <w:rsid w:val="0069637D"/>
    <w:rsid w:val="006966DD"/>
    <w:rsid w:val="006A1BFD"/>
    <w:rsid w:val="006A2A8D"/>
    <w:rsid w:val="006A2C61"/>
    <w:rsid w:val="006A3229"/>
    <w:rsid w:val="006A4A01"/>
    <w:rsid w:val="006A4DE7"/>
    <w:rsid w:val="006A5EBB"/>
    <w:rsid w:val="006A62FD"/>
    <w:rsid w:val="006A7328"/>
    <w:rsid w:val="006A73F7"/>
    <w:rsid w:val="006B0047"/>
    <w:rsid w:val="006B0C6B"/>
    <w:rsid w:val="006B0D17"/>
    <w:rsid w:val="006B0ECE"/>
    <w:rsid w:val="006B17E5"/>
    <w:rsid w:val="006B1ED2"/>
    <w:rsid w:val="006B22AF"/>
    <w:rsid w:val="006B3115"/>
    <w:rsid w:val="006B40D0"/>
    <w:rsid w:val="006B4114"/>
    <w:rsid w:val="006B42B9"/>
    <w:rsid w:val="006B48A2"/>
    <w:rsid w:val="006B48A7"/>
    <w:rsid w:val="006B4B02"/>
    <w:rsid w:val="006B4B5E"/>
    <w:rsid w:val="006B4EFF"/>
    <w:rsid w:val="006B57D7"/>
    <w:rsid w:val="006B5EC0"/>
    <w:rsid w:val="006B5EC7"/>
    <w:rsid w:val="006B67C0"/>
    <w:rsid w:val="006B7112"/>
    <w:rsid w:val="006B7727"/>
    <w:rsid w:val="006C0150"/>
    <w:rsid w:val="006C0D53"/>
    <w:rsid w:val="006C0E36"/>
    <w:rsid w:val="006C10D0"/>
    <w:rsid w:val="006C1522"/>
    <w:rsid w:val="006C2578"/>
    <w:rsid w:val="006C3C7E"/>
    <w:rsid w:val="006C3D02"/>
    <w:rsid w:val="006C42A5"/>
    <w:rsid w:val="006C5FE8"/>
    <w:rsid w:val="006C6625"/>
    <w:rsid w:val="006C68D3"/>
    <w:rsid w:val="006C6BB8"/>
    <w:rsid w:val="006C734A"/>
    <w:rsid w:val="006C7904"/>
    <w:rsid w:val="006C7C7B"/>
    <w:rsid w:val="006D1B0F"/>
    <w:rsid w:val="006D3527"/>
    <w:rsid w:val="006D3F34"/>
    <w:rsid w:val="006D41DE"/>
    <w:rsid w:val="006D43F6"/>
    <w:rsid w:val="006D47DE"/>
    <w:rsid w:val="006D4838"/>
    <w:rsid w:val="006D4D15"/>
    <w:rsid w:val="006D4FEF"/>
    <w:rsid w:val="006D558F"/>
    <w:rsid w:val="006D5610"/>
    <w:rsid w:val="006D5754"/>
    <w:rsid w:val="006D60CE"/>
    <w:rsid w:val="006D6216"/>
    <w:rsid w:val="006D6369"/>
    <w:rsid w:val="006D67BA"/>
    <w:rsid w:val="006D692A"/>
    <w:rsid w:val="006D7714"/>
    <w:rsid w:val="006D7726"/>
    <w:rsid w:val="006E0774"/>
    <w:rsid w:val="006E1151"/>
    <w:rsid w:val="006E1514"/>
    <w:rsid w:val="006E18C5"/>
    <w:rsid w:val="006E19B8"/>
    <w:rsid w:val="006E2747"/>
    <w:rsid w:val="006E29AD"/>
    <w:rsid w:val="006E2C76"/>
    <w:rsid w:val="006E35C1"/>
    <w:rsid w:val="006E3BD0"/>
    <w:rsid w:val="006E41B3"/>
    <w:rsid w:val="006E49FB"/>
    <w:rsid w:val="006E4CD7"/>
    <w:rsid w:val="006E68FF"/>
    <w:rsid w:val="006E6C5B"/>
    <w:rsid w:val="006F013D"/>
    <w:rsid w:val="006F0BC6"/>
    <w:rsid w:val="006F11D7"/>
    <w:rsid w:val="006F137B"/>
    <w:rsid w:val="006F1A71"/>
    <w:rsid w:val="006F1AA7"/>
    <w:rsid w:val="006F2C0B"/>
    <w:rsid w:val="006F30F0"/>
    <w:rsid w:val="006F3791"/>
    <w:rsid w:val="006F3E8B"/>
    <w:rsid w:val="006F40C9"/>
    <w:rsid w:val="006F4F37"/>
    <w:rsid w:val="006F4FD8"/>
    <w:rsid w:val="006F5AF4"/>
    <w:rsid w:val="006F611C"/>
    <w:rsid w:val="006F64C5"/>
    <w:rsid w:val="006F6DFD"/>
    <w:rsid w:val="006F783B"/>
    <w:rsid w:val="006F7B58"/>
    <w:rsid w:val="006F7D81"/>
    <w:rsid w:val="00700919"/>
    <w:rsid w:val="00700A7D"/>
    <w:rsid w:val="00700B8F"/>
    <w:rsid w:val="00700D57"/>
    <w:rsid w:val="00701D5E"/>
    <w:rsid w:val="00703066"/>
    <w:rsid w:val="0070396F"/>
    <w:rsid w:val="00703F0F"/>
    <w:rsid w:val="00704696"/>
    <w:rsid w:val="00704858"/>
    <w:rsid w:val="007050D7"/>
    <w:rsid w:val="00705172"/>
    <w:rsid w:val="007058E9"/>
    <w:rsid w:val="00705B50"/>
    <w:rsid w:val="00706644"/>
    <w:rsid w:val="007069D8"/>
    <w:rsid w:val="00710894"/>
    <w:rsid w:val="00711868"/>
    <w:rsid w:val="007126AD"/>
    <w:rsid w:val="007130A4"/>
    <w:rsid w:val="007141B3"/>
    <w:rsid w:val="00714402"/>
    <w:rsid w:val="00714434"/>
    <w:rsid w:val="00714AD1"/>
    <w:rsid w:val="00714E26"/>
    <w:rsid w:val="007151CD"/>
    <w:rsid w:val="0071526F"/>
    <w:rsid w:val="00715399"/>
    <w:rsid w:val="007158CE"/>
    <w:rsid w:val="00715992"/>
    <w:rsid w:val="00716481"/>
    <w:rsid w:val="007168F9"/>
    <w:rsid w:val="007169E4"/>
    <w:rsid w:val="0071786E"/>
    <w:rsid w:val="00720684"/>
    <w:rsid w:val="00720E46"/>
    <w:rsid w:val="00720FFF"/>
    <w:rsid w:val="00722024"/>
    <w:rsid w:val="007227B1"/>
    <w:rsid w:val="0072285B"/>
    <w:rsid w:val="00722F1C"/>
    <w:rsid w:val="007230DA"/>
    <w:rsid w:val="0072321A"/>
    <w:rsid w:val="00723E0C"/>
    <w:rsid w:val="00724379"/>
    <w:rsid w:val="00724494"/>
    <w:rsid w:val="00725CFB"/>
    <w:rsid w:val="007306C9"/>
    <w:rsid w:val="00730E3B"/>
    <w:rsid w:val="00731D56"/>
    <w:rsid w:val="00732505"/>
    <w:rsid w:val="00732903"/>
    <w:rsid w:val="00732AEE"/>
    <w:rsid w:val="00733D6A"/>
    <w:rsid w:val="00733EE9"/>
    <w:rsid w:val="00734072"/>
    <w:rsid w:val="007344BE"/>
    <w:rsid w:val="007347C0"/>
    <w:rsid w:val="007347C8"/>
    <w:rsid w:val="007351BA"/>
    <w:rsid w:val="00735E51"/>
    <w:rsid w:val="00736269"/>
    <w:rsid w:val="00736998"/>
    <w:rsid w:val="00736A75"/>
    <w:rsid w:val="00737712"/>
    <w:rsid w:val="00737B76"/>
    <w:rsid w:val="007400AB"/>
    <w:rsid w:val="00740605"/>
    <w:rsid w:val="00740B69"/>
    <w:rsid w:val="0074165D"/>
    <w:rsid w:val="00741B81"/>
    <w:rsid w:val="00741D53"/>
    <w:rsid w:val="0074317F"/>
    <w:rsid w:val="00743732"/>
    <w:rsid w:val="00745659"/>
    <w:rsid w:val="00746289"/>
    <w:rsid w:val="00747A1B"/>
    <w:rsid w:val="00747CC6"/>
    <w:rsid w:val="00747E78"/>
    <w:rsid w:val="00750B56"/>
    <w:rsid w:val="00750E82"/>
    <w:rsid w:val="007512DC"/>
    <w:rsid w:val="0075161D"/>
    <w:rsid w:val="00751744"/>
    <w:rsid w:val="00751C72"/>
    <w:rsid w:val="00751C76"/>
    <w:rsid w:val="00753281"/>
    <w:rsid w:val="0075418B"/>
    <w:rsid w:val="00754C33"/>
    <w:rsid w:val="00754E77"/>
    <w:rsid w:val="00754FBD"/>
    <w:rsid w:val="00755919"/>
    <w:rsid w:val="00755E76"/>
    <w:rsid w:val="00756460"/>
    <w:rsid w:val="00756817"/>
    <w:rsid w:val="00756842"/>
    <w:rsid w:val="00756B50"/>
    <w:rsid w:val="00757582"/>
    <w:rsid w:val="00757944"/>
    <w:rsid w:val="007608BA"/>
    <w:rsid w:val="007608CF"/>
    <w:rsid w:val="00760D22"/>
    <w:rsid w:val="00761F15"/>
    <w:rsid w:val="00762317"/>
    <w:rsid w:val="00762B48"/>
    <w:rsid w:val="0076301C"/>
    <w:rsid w:val="00764815"/>
    <w:rsid w:val="00765539"/>
    <w:rsid w:val="007655ED"/>
    <w:rsid w:val="00765717"/>
    <w:rsid w:val="00765722"/>
    <w:rsid w:val="0076622D"/>
    <w:rsid w:val="00766448"/>
    <w:rsid w:val="0076672F"/>
    <w:rsid w:val="00766926"/>
    <w:rsid w:val="007669AE"/>
    <w:rsid w:val="00766B01"/>
    <w:rsid w:val="00767AB8"/>
    <w:rsid w:val="00767FA4"/>
    <w:rsid w:val="00770807"/>
    <w:rsid w:val="00770B0E"/>
    <w:rsid w:val="00772249"/>
    <w:rsid w:val="00772414"/>
    <w:rsid w:val="007728CB"/>
    <w:rsid w:val="00772D1E"/>
    <w:rsid w:val="0077486C"/>
    <w:rsid w:val="0077679D"/>
    <w:rsid w:val="00776873"/>
    <w:rsid w:val="0077767D"/>
    <w:rsid w:val="00780A34"/>
    <w:rsid w:val="00780BAF"/>
    <w:rsid w:val="00780E0E"/>
    <w:rsid w:val="007822EA"/>
    <w:rsid w:val="00782D54"/>
    <w:rsid w:val="00783402"/>
    <w:rsid w:val="0078504B"/>
    <w:rsid w:val="00785A5F"/>
    <w:rsid w:val="00785D80"/>
    <w:rsid w:val="00786A3D"/>
    <w:rsid w:val="00787871"/>
    <w:rsid w:val="007903C5"/>
    <w:rsid w:val="007907AB"/>
    <w:rsid w:val="00790E96"/>
    <w:rsid w:val="00791C17"/>
    <w:rsid w:val="00792A56"/>
    <w:rsid w:val="007939AF"/>
    <w:rsid w:val="007942F0"/>
    <w:rsid w:val="00795F7D"/>
    <w:rsid w:val="00796208"/>
    <w:rsid w:val="007A048F"/>
    <w:rsid w:val="007A0790"/>
    <w:rsid w:val="007A1951"/>
    <w:rsid w:val="007A1E44"/>
    <w:rsid w:val="007A3A81"/>
    <w:rsid w:val="007A3F94"/>
    <w:rsid w:val="007A450D"/>
    <w:rsid w:val="007A4B20"/>
    <w:rsid w:val="007A5380"/>
    <w:rsid w:val="007A53A6"/>
    <w:rsid w:val="007A5508"/>
    <w:rsid w:val="007A5CAF"/>
    <w:rsid w:val="007A69C8"/>
    <w:rsid w:val="007A6C59"/>
    <w:rsid w:val="007A6E79"/>
    <w:rsid w:val="007A7421"/>
    <w:rsid w:val="007A7AE4"/>
    <w:rsid w:val="007B09C9"/>
    <w:rsid w:val="007B0E92"/>
    <w:rsid w:val="007B0F99"/>
    <w:rsid w:val="007B194D"/>
    <w:rsid w:val="007B2F26"/>
    <w:rsid w:val="007B4267"/>
    <w:rsid w:val="007B4B56"/>
    <w:rsid w:val="007B51D1"/>
    <w:rsid w:val="007B5EFD"/>
    <w:rsid w:val="007B5FFC"/>
    <w:rsid w:val="007B74C2"/>
    <w:rsid w:val="007C0516"/>
    <w:rsid w:val="007C0B47"/>
    <w:rsid w:val="007C155F"/>
    <w:rsid w:val="007C1734"/>
    <w:rsid w:val="007C1AB6"/>
    <w:rsid w:val="007C23FB"/>
    <w:rsid w:val="007C26E4"/>
    <w:rsid w:val="007C2D0A"/>
    <w:rsid w:val="007C48C1"/>
    <w:rsid w:val="007C4B72"/>
    <w:rsid w:val="007C612A"/>
    <w:rsid w:val="007C661C"/>
    <w:rsid w:val="007C6991"/>
    <w:rsid w:val="007C7220"/>
    <w:rsid w:val="007C7297"/>
    <w:rsid w:val="007C7C1E"/>
    <w:rsid w:val="007D0854"/>
    <w:rsid w:val="007D1FD2"/>
    <w:rsid w:val="007D260C"/>
    <w:rsid w:val="007D2AD0"/>
    <w:rsid w:val="007D3D86"/>
    <w:rsid w:val="007D4F18"/>
    <w:rsid w:val="007D4F1C"/>
    <w:rsid w:val="007D51CB"/>
    <w:rsid w:val="007D5244"/>
    <w:rsid w:val="007D53F3"/>
    <w:rsid w:val="007D5AED"/>
    <w:rsid w:val="007D609F"/>
    <w:rsid w:val="007D63A2"/>
    <w:rsid w:val="007D755F"/>
    <w:rsid w:val="007E0813"/>
    <w:rsid w:val="007E193D"/>
    <w:rsid w:val="007E1F17"/>
    <w:rsid w:val="007E2153"/>
    <w:rsid w:val="007E36DC"/>
    <w:rsid w:val="007E3C17"/>
    <w:rsid w:val="007E40D6"/>
    <w:rsid w:val="007E44F0"/>
    <w:rsid w:val="007E481A"/>
    <w:rsid w:val="007E483E"/>
    <w:rsid w:val="007E4907"/>
    <w:rsid w:val="007E4E32"/>
    <w:rsid w:val="007E4F85"/>
    <w:rsid w:val="007E58E7"/>
    <w:rsid w:val="007E6A17"/>
    <w:rsid w:val="007E77B0"/>
    <w:rsid w:val="007E7CF3"/>
    <w:rsid w:val="007F0313"/>
    <w:rsid w:val="007F0CCB"/>
    <w:rsid w:val="007F23D9"/>
    <w:rsid w:val="007F2569"/>
    <w:rsid w:val="007F3112"/>
    <w:rsid w:val="007F3AB4"/>
    <w:rsid w:val="007F3B35"/>
    <w:rsid w:val="007F3BA2"/>
    <w:rsid w:val="007F3D68"/>
    <w:rsid w:val="007F3F02"/>
    <w:rsid w:val="007F3F5E"/>
    <w:rsid w:val="007F47D5"/>
    <w:rsid w:val="007F5D71"/>
    <w:rsid w:val="007F7533"/>
    <w:rsid w:val="008033ED"/>
    <w:rsid w:val="008038B7"/>
    <w:rsid w:val="0080512A"/>
    <w:rsid w:val="008060AE"/>
    <w:rsid w:val="00806553"/>
    <w:rsid w:val="00806B93"/>
    <w:rsid w:val="00806D2B"/>
    <w:rsid w:val="0081080E"/>
    <w:rsid w:val="00810D5D"/>
    <w:rsid w:val="008121AB"/>
    <w:rsid w:val="008133E6"/>
    <w:rsid w:val="00813614"/>
    <w:rsid w:val="0081444F"/>
    <w:rsid w:val="00815610"/>
    <w:rsid w:val="00815640"/>
    <w:rsid w:val="00815A85"/>
    <w:rsid w:val="00816727"/>
    <w:rsid w:val="00816DCE"/>
    <w:rsid w:val="008171E9"/>
    <w:rsid w:val="008179F4"/>
    <w:rsid w:val="00817E4F"/>
    <w:rsid w:val="008221C3"/>
    <w:rsid w:val="008225B7"/>
    <w:rsid w:val="00822BE8"/>
    <w:rsid w:val="008230F7"/>
    <w:rsid w:val="00823654"/>
    <w:rsid w:val="0082395B"/>
    <w:rsid w:val="00823D4A"/>
    <w:rsid w:val="00825B0F"/>
    <w:rsid w:val="00825BC6"/>
    <w:rsid w:val="00826AAF"/>
    <w:rsid w:val="008302A6"/>
    <w:rsid w:val="00830A5A"/>
    <w:rsid w:val="008312C6"/>
    <w:rsid w:val="00831A3B"/>
    <w:rsid w:val="00831D6B"/>
    <w:rsid w:val="00832888"/>
    <w:rsid w:val="008339E2"/>
    <w:rsid w:val="00833A89"/>
    <w:rsid w:val="00834452"/>
    <w:rsid w:val="00834896"/>
    <w:rsid w:val="00834E66"/>
    <w:rsid w:val="008353FC"/>
    <w:rsid w:val="00835963"/>
    <w:rsid w:val="00836FB9"/>
    <w:rsid w:val="00837311"/>
    <w:rsid w:val="0083751F"/>
    <w:rsid w:val="0084035F"/>
    <w:rsid w:val="00840B95"/>
    <w:rsid w:val="008419B8"/>
    <w:rsid w:val="008424C4"/>
    <w:rsid w:val="00842BFB"/>
    <w:rsid w:val="00842D4D"/>
    <w:rsid w:val="00843287"/>
    <w:rsid w:val="00845AFA"/>
    <w:rsid w:val="00846DFD"/>
    <w:rsid w:val="00847CF9"/>
    <w:rsid w:val="00850071"/>
    <w:rsid w:val="00850619"/>
    <w:rsid w:val="008517E9"/>
    <w:rsid w:val="00851DAB"/>
    <w:rsid w:val="00852A94"/>
    <w:rsid w:val="00853309"/>
    <w:rsid w:val="008536B8"/>
    <w:rsid w:val="00853EE7"/>
    <w:rsid w:val="00854074"/>
    <w:rsid w:val="0085416A"/>
    <w:rsid w:val="0085496A"/>
    <w:rsid w:val="0085625C"/>
    <w:rsid w:val="0085745B"/>
    <w:rsid w:val="00860157"/>
    <w:rsid w:val="008609E7"/>
    <w:rsid w:val="00860C1F"/>
    <w:rsid w:val="00861A94"/>
    <w:rsid w:val="008627FE"/>
    <w:rsid w:val="008629A9"/>
    <w:rsid w:val="00863387"/>
    <w:rsid w:val="008644F0"/>
    <w:rsid w:val="008648C1"/>
    <w:rsid w:val="00864FAE"/>
    <w:rsid w:val="008653A4"/>
    <w:rsid w:val="00866C23"/>
    <w:rsid w:val="00867DAD"/>
    <w:rsid w:val="00870351"/>
    <w:rsid w:val="00870ED8"/>
    <w:rsid w:val="008723E2"/>
    <w:rsid w:val="0087296D"/>
    <w:rsid w:val="00872C55"/>
    <w:rsid w:val="00874C7A"/>
    <w:rsid w:val="008751DA"/>
    <w:rsid w:val="00875341"/>
    <w:rsid w:val="0087559D"/>
    <w:rsid w:val="008778F1"/>
    <w:rsid w:val="008804B7"/>
    <w:rsid w:val="00880DF2"/>
    <w:rsid w:val="0088162F"/>
    <w:rsid w:val="00881F68"/>
    <w:rsid w:val="0088231A"/>
    <w:rsid w:val="008833B9"/>
    <w:rsid w:val="00883FE7"/>
    <w:rsid w:val="00885AFF"/>
    <w:rsid w:val="0088656A"/>
    <w:rsid w:val="00890681"/>
    <w:rsid w:val="00890BD3"/>
    <w:rsid w:val="00892AB0"/>
    <w:rsid w:val="00893BBD"/>
    <w:rsid w:val="00894048"/>
    <w:rsid w:val="0089408B"/>
    <w:rsid w:val="00894BAA"/>
    <w:rsid w:val="008958D8"/>
    <w:rsid w:val="00895F1B"/>
    <w:rsid w:val="008962F2"/>
    <w:rsid w:val="00897427"/>
    <w:rsid w:val="00897D76"/>
    <w:rsid w:val="008A021B"/>
    <w:rsid w:val="008A0E99"/>
    <w:rsid w:val="008A2514"/>
    <w:rsid w:val="008A3225"/>
    <w:rsid w:val="008A426F"/>
    <w:rsid w:val="008A42ED"/>
    <w:rsid w:val="008A48B7"/>
    <w:rsid w:val="008A4CA9"/>
    <w:rsid w:val="008A4F75"/>
    <w:rsid w:val="008A50D8"/>
    <w:rsid w:val="008A56C4"/>
    <w:rsid w:val="008A5FA3"/>
    <w:rsid w:val="008A682C"/>
    <w:rsid w:val="008A7885"/>
    <w:rsid w:val="008A7C0B"/>
    <w:rsid w:val="008A7FC7"/>
    <w:rsid w:val="008B2A16"/>
    <w:rsid w:val="008B2A5A"/>
    <w:rsid w:val="008B32B7"/>
    <w:rsid w:val="008B4546"/>
    <w:rsid w:val="008B46E1"/>
    <w:rsid w:val="008B50EE"/>
    <w:rsid w:val="008B564B"/>
    <w:rsid w:val="008B61FF"/>
    <w:rsid w:val="008B6B24"/>
    <w:rsid w:val="008B7C2C"/>
    <w:rsid w:val="008C013D"/>
    <w:rsid w:val="008C0743"/>
    <w:rsid w:val="008C1A01"/>
    <w:rsid w:val="008C1BBB"/>
    <w:rsid w:val="008C3A7B"/>
    <w:rsid w:val="008C3D6C"/>
    <w:rsid w:val="008C47C9"/>
    <w:rsid w:val="008C49A0"/>
    <w:rsid w:val="008C67C9"/>
    <w:rsid w:val="008C7312"/>
    <w:rsid w:val="008C766F"/>
    <w:rsid w:val="008C791B"/>
    <w:rsid w:val="008C7AAA"/>
    <w:rsid w:val="008C7D22"/>
    <w:rsid w:val="008D19F1"/>
    <w:rsid w:val="008D1DD2"/>
    <w:rsid w:val="008D1FAC"/>
    <w:rsid w:val="008D2627"/>
    <w:rsid w:val="008D2E42"/>
    <w:rsid w:val="008D4503"/>
    <w:rsid w:val="008D57AE"/>
    <w:rsid w:val="008D5EC4"/>
    <w:rsid w:val="008D6060"/>
    <w:rsid w:val="008D6E33"/>
    <w:rsid w:val="008D75DF"/>
    <w:rsid w:val="008E004C"/>
    <w:rsid w:val="008E01BE"/>
    <w:rsid w:val="008E04F7"/>
    <w:rsid w:val="008E0DD8"/>
    <w:rsid w:val="008E10A7"/>
    <w:rsid w:val="008E1324"/>
    <w:rsid w:val="008E17C0"/>
    <w:rsid w:val="008E1E30"/>
    <w:rsid w:val="008E21CE"/>
    <w:rsid w:val="008E2E26"/>
    <w:rsid w:val="008E2FC9"/>
    <w:rsid w:val="008E30B6"/>
    <w:rsid w:val="008E3A78"/>
    <w:rsid w:val="008E4E60"/>
    <w:rsid w:val="008E5627"/>
    <w:rsid w:val="008E5C4A"/>
    <w:rsid w:val="008E5D1E"/>
    <w:rsid w:val="008E616A"/>
    <w:rsid w:val="008E65B5"/>
    <w:rsid w:val="008E66EE"/>
    <w:rsid w:val="008E6863"/>
    <w:rsid w:val="008E73D8"/>
    <w:rsid w:val="008F0718"/>
    <w:rsid w:val="008F1C5C"/>
    <w:rsid w:val="008F225F"/>
    <w:rsid w:val="008F2E35"/>
    <w:rsid w:val="008F3013"/>
    <w:rsid w:val="008F39A1"/>
    <w:rsid w:val="008F4BAC"/>
    <w:rsid w:val="008F4EAC"/>
    <w:rsid w:val="008F4EF8"/>
    <w:rsid w:val="008F5099"/>
    <w:rsid w:val="008F6655"/>
    <w:rsid w:val="008F6A0E"/>
    <w:rsid w:val="008F6D2D"/>
    <w:rsid w:val="008F75D4"/>
    <w:rsid w:val="008F7A37"/>
    <w:rsid w:val="00900043"/>
    <w:rsid w:val="00901D12"/>
    <w:rsid w:val="0090257C"/>
    <w:rsid w:val="009034D5"/>
    <w:rsid w:val="0090387E"/>
    <w:rsid w:val="009049CF"/>
    <w:rsid w:val="009052C3"/>
    <w:rsid w:val="0090589B"/>
    <w:rsid w:val="00905A03"/>
    <w:rsid w:val="009077AD"/>
    <w:rsid w:val="0091027E"/>
    <w:rsid w:val="009103B3"/>
    <w:rsid w:val="009106C9"/>
    <w:rsid w:val="00912022"/>
    <w:rsid w:val="00912D8B"/>
    <w:rsid w:val="00913350"/>
    <w:rsid w:val="009143EE"/>
    <w:rsid w:val="0091542A"/>
    <w:rsid w:val="009154CA"/>
    <w:rsid w:val="0091633D"/>
    <w:rsid w:val="00917B69"/>
    <w:rsid w:val="00917E8C"/>
    <w:rsid w:val="0092028D"/>
    <w:rsid w:val="00920675"/>
    <w:rsid w:val="00920B9D"/>
    <w:rsid w:val="009224CF"/>
    <w:rsid w:val="0092276F"/>
    <w:rsid w:val="00922E09"/>
    <w:rsid w:val="00922EB5"/>
    <w:rsid w:val="0092321C"/>
    <w:rsid w:val="00923574"/>
    <w:rsid w:val="00925521"/>
    <w:rsid w:val="00926898"/>
    <w:rsid w:val="00927906"/>
    <w:rsid w:val="00930291"/>
    <w:rsid w:val="00930979"/>
    <w:rsid w:val="00930AE9"/>
    <w:rsid w:val="009314C4"/>
    <w:rsid w:val="00931BB1"/>
    <w:rsid w:val="00931C35"/>
    <w:rsid w:val="00933B48"/>
    <w:rsid w:val="00933FC7"/>
    <w:rsid w:val="00934181"/>
    <w:rsid w:val="00934B1E"/>
    <w:rsid w:val="00936072"/>
    <w:rsid w:val="0093742D"/>
    <w:rsid w:val="00937444"/>
    <w:rsid w:val="009401E2"/>
    <w:rsid w:val="0094070A"/>
    <w:rsid w:val="009413C7"/>
    <w:rsid w:val="00941746"/>
    <w:rsid w:val="00941963"/>
    <w:rsid w:val="00942636"/>
    <w:rsid w:val="0094294A"/>
    <w:rsid w:val="00943750"/>
    <w:rsid w:val="009437B9"/>
    <w:rsid w:val="00943F15"/>
    <w:rsid w:val="00944760"/>
    <w:rsid w:val="00944A5F"/>
    <w:rsid w:val="00945711"/>
    <w:rsid w:val="0094591A"/>
    <w:rsid w:val="0094694E"/>
    <w:rsid w:val="009476F3"/>
    <w:rsid w:val="00947784"/>
    <w:rsid w:val="00950D38"/>
    <w:rsid w:val="00950D5C"/>
    <w:rsid w:val="009519D9"/>
    <w:rsid w:val="00951BDB"/>
    <w:rsid w:val="00953281"/>
    <w:rsid w:val="00953FE2"/>
    <w:rsid w:val="009546AF"/>
    <w:rsid w:val="009550DE"/>
    <w:rsid w:val="00955612"/>
    <w:rsid w:val="00955737"/>
    <w:rsid w:val="00955B79"/>
    <w:rsid w:val="00956C5B"/>
    <w:rsid w:val="0095754F"/>
    <w:rsid w:val="00957F50"/>
    <w:rsid w:val="0096087E"/>
    <w:rsid w:val="00961B94"/>
    <w:rsid w:val="00962171"/>
    <w:rsid w:val="0096270F"/>
    <w:rsid w:val="00963265"/>
    <w:rsid w:val="009636F1"/>
    <w:rsid w:val="00963BC9"/>
    <w:rsid w:val="009640D8"/>
    <w:rsid w:val="00964128"/>
    <w:rsid w:val="009647F7"/>
    <w:rsid w:val="00965020"/>
    <w:rsid w:val="00965CF8"/>
    <w:rsid w:val="00965D3E"/>
    <w:rsid w:val="0096645C"/>
    <w:rsid w:val="009665A8"/>
    <w:rsid w:val="00966C51"/>
    <w:rsid w:val="00966E0A"/>
    <w:rsid w:val="009678B8"/>
    <w:rsid w:val="009700A0"/>
    <w:rsid w:val="00970AD7"/>
    <w:rsid w:val="00970C5F"/>
    <w:rsid w:val="00971139"/>
    <w:rsid w:val="00973355"/>
    <w:rsid w:val="0097385C"/>
    <w:rsid w:val="009755E7"/>
    <w:rsid w:val="00975A97"/>
    <w:rsid w:val="00976046"/>
    <w:rsid w:val="00976B89"/>
    <w:rsid w:val="009772F8"/>
    <w:rsid w:val="009773EB"/>
    <w:rsid w:val="009779F7"/>
    <w:rsid w:val="009802C7"/>
    <w:rsid w:val="00980A85"/>
    <w:rsid w:val="00981FDF"/>
    <w:rsid w:val="00982517"/>
    <w:rsid w:val="00983327"/>
    <w:rsid w:val="00984091"/>
    <w:rsid w:val="00984B78"/>
    <w:rsid w:val="00984E20"/>
    <w:rsid w:val="00985864"/>
    <w:rsid w:val="0098599D"/>
    <w:rsid w:val="009859F9"/>
    <w:rsid w:val="0098643B"/>
    <w:rsid w:val="00987601"/>
    <w:rsid w:val="00987C8F"/>
    <w:rsid w:val="009905A3"/>
    <w:rsid w:val="0099174E"/>
    <w:rsid w:val="0099372A"/>
    <w:rsid w:val="00993AC4"/>
    <w:rsid w:val="009946EC"/>
    <w:rsid w:val="00994C03"/>
    <w:rsid w:val="00995924"/>
    <w:rsid w:val="00996BA2"/>
    <w:rsid w:val="009979B0"/>
    <w:rsid w:val="00997B8C"/>
    <w:rsid w:val="009A0110"/>
    <w:rsid w:val="009A0F5D"/>
    <w:rsid w:val="009A13B6"/>
    <w:rsid w:val="009A27C5"/>
    <w:rsid w:val="009A3424"/>
    <w:rsid w:val="009A3C3E"/>
    <w:rsid w:val="009A3CB7"/>
    <w:rsid w:val="009A4A38"/>
    <w:rsid w:val="009A582A"/>
    <w:rsid w:val="009A5F2C"/>
    <w:rsid w:val="009A7A0E"/>
    <w:rsid w:val="009A7BF4"/>
    <w:rsid w:val="009B1673"/>
    <w:rsid w:val="009B1CA1"/>
    <w:rsid w:val="009B261B"/>
    <w:rsid w:val="009B263E"/>
    <w:rsid w:val="009B3108"/>
    <w:rsid w:val="009B333C"/>
    <w:rsid w:val="009B44A6"/>
    <w:rsid w:val="009B465D"/>
    <w:rsid w:val="009B69CD"/>
    <w:rsid w:val="009C0D80"/>
    <w:rsid w:val="009C1AB1"/>
    <w:rsid w:val="009C2139"/>
    <w:rsid w:val="009C2CDF"/>
    <w:rsid w:val="009C2F58"/>
    <w:rsid w:val="009C310F"/>
    <w:rsid w:val="009C461B"/>
    <w:rsid w:val="009C4A2B"/>
    <w:rsid w:val="009C4F54"/>
    <w:rsid w:val="009C648F"/>
    <w:rsid w:val="009C66A4"/>
    <w:rsid w:val="009C6C2A"/>
    <w:rsid w:val="009C7B67"/>
    <w:rsid w:val="009D01A5"/>
    <w:rsid w:val="009D1064"/>
    <w:rsid w:val="009D1AEA"/>
    <w:rsid w:val="009D1AFE"/>
    <w:rsid w:val="009D1C47"/>
    <w:rsid w:val="009D1FC7"/>
    <w:rsid w:val="009D21AD"/>
    <w:rsid w:val="009D28B2"/>
    <w:rsid w:val="009D2C3A"/>
    <w:rsid w:val="009D2D0E"/>
    <w:rsid w:val="009D3E8F"/>
    <w:rsid w:val="009D606C"/>
    <w:rsid w:val="009D68E8"/>
    <w:rsid w:val="009D6BC3"/>
    <w:rsid w:val="009D75FB"/>
    <w:rsid w:val="009D771B"/>
    <w:rsid w:val="009E1C2F"/>
    <w:rsid w:val="009E2198"/>
    <w:rsid w:val="009E22C8"/>
    <w:rsid w:val="009E2EEF"/>
    <w:rsid w:val="009E3646"/>
    <w:rsid w:val="009E4B3A"/>
    <w:rsid w:val="009E5688"/>
    <w:rsid w:val="009E66BA"/>
    <w:rsid w:val="009E6895"/>
    <w:rsid w:val="009E6C1D"/>
    <w:rsid w:val="009E726B"/>
    <w:rsid w:val="009E7949"/>
    <w:rsid w:val="009F0996"/>
    <w:rsid w:val="009F0F2E"/>
    <w:rsid w:val="009F0FD0"/>
    <w:rsid w:val="009F12F6"/>
    <w:rsid w:val="009F136E"/>
    <w:rsid w:val="009F15BB"/>
    <w:rsid w:val="009F164B"/>
    <w:rsid w:val="009F2AC6"/>
    <w:rsid w:val="009F3326"/>
    <w:rsid w:val="009F3408"/>
    <w:rsid w:val="009F64FB"/>
    <w:rsid w:val="009F7788"/>
    <w:rsid w:val="009F78D4"/>
    <w:rsid w:val="00A0064A"/>
    <w:rsid w:val="00A00B3E"/>
    <w:rsid w:val="00A00F59"/>
    <w:rsid w:val="00A019F4"/>
    <w:rsid w:val="00A01BF6"/>
    <w:rsid w:val="00A01F04"/>
    <w:rsid w:val="00A025F1"/>
    <w:rsid w:val="00A029D2"/>
    <w:rsid w:val="00A02B36"/>
    <w:rsid w:val="00A030D0"/>
    <w:rsid w:val="00A043AD"/>
    <w:rsid w:val="00A0469C"/>
    <w:rsid w:val="00A04F17"/>
    <w:rsid w:val="00A051D7"/>
    <w:rsid w:val="00A058C1"/>
    <w:rsid w:val="00A05C53"/>
    <w:rsid w:val="00A06BC0"/>
    <w:rsid w:val="00A06D10"/>
    <w:rsid w:val="00A1003E"/>
    <w:rsid w:val="00A10163"/>
    <w:rsid w:val="00A101CE"/>
    <w:rsid w:val="00A106BF"/>
    <w:rsid w:val="00A10BD4"/>
    <w:rsid w:val="00A10CEB"/>
    <w:rsid w:val="00A10EC3"/>
    <w:rsid w:val="00A1138C"/>
    <w:rsid w:val="00A115FE"/>
    <w:rsid w:val="00A119FC"/>
    <w:rsid w:val="00A11C32"/>
    <w:rsid w:val="00A11FE2"/>
    <w:rsid w:val="00A12113"/>
    <w:rsid w:val="00A1244B"/>
    <w:rsid w:val="00A12B26"/>
    <w:rsid w:val="00A12D8D"/>
    <w:rsid w:val="00A13356"/>
    <w:rsid w:val="00A1530C"/>
    <w:rsid w:val="00A15659"/>
    <w:rsid w:val="00A156A9"/>
    <w:rsid w:val="00A15E3F"/>
    <w:rsid w:val="00A1613D"/>
    <w:rsid w:val="00A16BA4"/>
    <w:rsid w:val="00A16C4B"/>
    <w:rsid w:val="00A174B7"/>
    <w:rsid w:val="00A176A3"/>
    <w:rsid w:val="00A17E20"/>
    <w:rsid w:val="00A20A1A"/>
    <w:rsid w:val="00A20C22"/>
    <w:rsid w:val="00A20EEE"/>
    <w:rsid w:val="00A21261"/>
    <w:rsid w:val="00A212BA"/>
    <w:rsid w:val="00A218E4"/>
    <w:rsid w:val="00A22471"/>
    <w:rsid w:val="00A22684"/>
    <w:rsid w:val="00A22AD9"/>
    <w:rsid w:val="00A22D2B"/>
    <w:rsid w:val="00A23219"/>
    <w:rsid w:val="00A235F7"/>
    <w:rsid w:val="00A23D25"/>
    <w:rsid w:val="00A23EFB"/>
    <w:rsid w:val="00A24993"/>
    <w:rsid w:val="00A24C76"/>
    <w:rsid w:val="00A25AF6"/>
    <w:rsid w:val="00A2618A"/>
    <w:rsid w:val="00A26BEB"/>
    <w:rsid w:val="00A2722F"/>
    <w:rsid w:val="00A27B9F"/>
    <w:rsid w:val="00A302A3"/>
    <w:rsid w:val="00A30374"/>
    <w:rsid w:val="00A306E2"/>
    <w:rsid w:val="00A30A39"/>
    <w:rsid w:val="00A32EC2"/>
    <w:rsid w:val="00A34A0B"/>
    <w:rsid w:val="00A36873"/>
    <w:rsid w:val="00A37404"/>
    <w:rsid w:val="00A3790D"/>
    <w:rsid w:val="00A4042A"/>
    <w:rsid w:val="00A418B2"/>
    <w:rsid w:val="00A429C7"/>
    <w:rsid w:val="00A43208"/>
    <w:rsid w:val="00A432D3"/>
    <w:rsid w:val="00A4457A"/>
    <w:rsid w:val="00A44598"/>
    <w:rsid w:val="00A45539"/>
    <w:rsid w:val="00A45D58"/>
    <w:rsid w:val="00A46049"/>
    <w:rsid w:val="00A460AE"/>
    <w:rsid w:val="00A4630D"/>
    <w:rsid w:val="00A46BE9"/>
    <w:rsid w:val="00A473AF"/>
    <w:rsid w:val="00A479CA"/>
    <w:rsid w:val="00A479F0"/>
    <w:rsid w:val="00A47AC1"/>
    <w:rsid w:val="00A51CEA"/>
    <w:rsid w:val="00A54E44"/>
    <w:rsid w:val="00A55665"/>
    <w:rsid w:val="00A55866"/>
    <w:rsid w:val="00A6036C"/>
    <w:rsid w:val="00A60DDE"/>
    <w:rsid w:val="00A63416"/>
    <w:rsid w:val="00A6384A"/>
    <w:rsid w:val="00A66E5E"/>
    <w:rsid w:val="00A67C66"/>
    <w:rsid w:val="00A67D0C"/>
    <w:rsid w:val="00A707F8"/>
    <w:rsid w:val="00A71188"/>
    <w:rsid w:val="00A713C0"/>
    <w:rsid w:val="00A71C25"/>
    <w:rsid w:val="00A724D6"/>
    <w:rsid w:val="00A72805"/>
    <w:rsid w:val="00A72EC1"/>
    <w:rsid w:val="00A72F3A"/>
    <w:rsid w:val="00A7311B"/>
    <w:rsid w:val="00A736AF"/>
    <w:rsid w:val="00A73712"/>
    <w:rsid w:val="00A73C8F"/>
    <w:rsid w:val="00A73CF2"/>
    <w:rsid w:val="00A74B45"/>
    <w:rsid w:val="00A75D53"/>
    <w:rsid w:val="00A75ECA"/>
    <w:rsid w:val="00A75F34"/>
    <w:rsid w:val="00A75F9E"/>
    <w:rsid w:val="00A7667E"/>
    <w:rsid w:val="00A76899"/>
    <w:rsid w:val="00A7757F"/>
    <w:rsid w:val="00A811BB"/>
    <w:rsid w:val="00A818A3"/>
    <w:rsid w:val="00A819DA"/>
    <w:rsid w:val="00A831F7"/>
    <w:rsid w:val="00A83C7C"/>
    <w:rsid w:val="00A83DA7"/>
    <w:rsid w:val="00A83ED1"/>
    <w:rsid w:val="00A84485"/>
    <w:rsid w:val="00A84879"/>
    <w:rsid w:val="00A84F05"/>
    <w:rsid w:val="00A8519D"/>
    <w:rsid w:val="00A857CB"/>
    <w:rsid w:val="00A861BE"/>
    <w:rsid w:val="00A8710E"/>
    <w:rsid w:val="00A8777C"/>
    <w:rsid w:val="00A901A1"/>
    <w:rsid w:val="00A90EBA"/>
    <w:rsid w:val="00A92F40"/>
    <w:rsid w:val="00A9391A"/>
    <w:rsid w:val="00A93C09"/>
    <w:rsid w:val="00A942CE"/>
    <w:rsid w:val="00A942FD"/>
    <w:rsid w:val="00A95C4C"/>
    <w:rsid w:val="00A96866"/>
    <w:rsid w:val="00A97AB9"/>
    <w:rsid w:val="00AA12E4"/>
    <w:rsid w:val="00AA32DF"/>
    <w:rsid w:val="00AA339E"/>
    <w:rsid w:val="00AA3759"/>
    <w:rsid w:val="00AA3797"/>
    <w:rsid w:val="00AA3CE7"/>
    <w:rsid w:val="00AA642C"/>
    <w:rsid w:val="00AA689F"/>
    <w:rsid w:val="00AA6BCB"/>
    <w:rsid w:val="00AA6CCD"/>
    <w:rsid w:val="00AA6D31"/>
    <w:rsid w:val="00AA73E9"/>
    <w:rsid w:val="00AA7629"/>
    <w:rsid w:val="00AA7CF2"/>
    <w:rsid w:val="00AA7F3F"/>
    <w:rsid w:val="00AB01FD"/>
    <w:rsid w:val="00AB06DC"/>
    <w:rsid w:val="00AB1098"/>
    <w:rsid w:val="00AB1671"/>
    <w:rsid w:val="00AB21B9"/>
    <w:rsid w:val="00AB2C13"/>
    <w:rsid w:val="00AB3216"/>
    <w:rsid w:val="00AB4299"/>
    <w:rsid w:val="00AB5385"/>
    <w:rsid w:val="00AB5682"/>
    <w:rsid w:val="00AB5883"/>
    <w:rsid w:val="00AB60BF"/>
    <w:rsid w:val="00AB63E7"/>
    <w:rsid w:val="00AB6675"/>
    <w:rsid w:val="00AB7757"/>
    <w:rsid w:val="00AB7D05"/>
    <w:rsid w:val="00AB7DC0"/>
    <w:rsid w:val="00AB7FFD"/>
    <w:rsid w:val="00AC0648"/>
    <w:rsid w:val="00AC0694"/>
    <w:rsid w:val="00AC08A6"/>
    <w:rsid w:val="00AC0E78"/>
    <w:rsid w:val="00AC18DB"/>
    <w:rsid w:val="00AC1963"/>
    <w:rsid w:val="00AC1F2D"/>
    <w:rsid w:val="00AC3348"/>
    <w:rsid w:val="00AC372C"/>
    <w:rsid w:val="00AC3839"/>
    <w:rsid w:val="00AC3F7D"/>
    <w:rsid w:val="00AC4C4F"/>
    <w:rsid w:val="00AC4DA5"/>
    <w:rsid w:val="00AC573F"/>
    <w:rsid w:val="00AC5974"/>
    <w:rsid w:val="00AC5C39"/>
    <w:rsid w:val="00AC5C5B"/>
    <w:rsid w:val="00AC5E83"/>
    <w:rsid w:val="00AC6E4C"/>
    <w:rsid w:val="00AC7946"/>
    <w:rsid w:val="00AC7B35"/>
    <w:rsid w:val="00AD2119"/>
    <w:rsid w:val="00AD2442"/>
    <w:rsid w:val="00AD2A2A"/>
    <w:rsid w:val="00AD2DBE"/>
    <w:rsid w:val="00AD2EAA"/>
    <w:rsid w:val="00AD30E0"/>
    <w:rsid w:val="00AD4581"/>
    <w:rsid w:val="00AD458A"/>
    <w:rsid w:val="00AD5A60"/>
    <w:rsid w:val="00AD5FE1"/>
    <w:rsid w:val="00AD6A2F"/>
    <w:rsid w:val="00AD6AD9"/>
    <w:rsid w:val="00AD6FF0"/>
    <w:rsid w:val="00AD7059"/>
    <w:rsid w:val="00AD754F"/>
    <w:rsid w:val="00AD7AA7"/>
    <w:rsid w:val="00AE0368"/>
    <w:rsid w:val="00AE03B3"/>
    <w:rsid w:val="00AE06F1"/>
    <w:rsid w:val="00AE0931"/>
    <w:rsid w:val="00AE0C7E"/>
    <w:rsid w:val="00AE1760"/>
    <w:rsid w:val="00AE2217"/>
    <w:rsid w:val="00AE2565"/>
    <w:rsid w:val="00AE2E77"/>
    <w:rsid w:val="00AE34CA"/>
    <w:rsid w:val="00AE39B0"/>
    <w:rsid w:val="00AE4046"/>
    <w:rsid w:val="00AE449B"/>
    <w:rsid w:val="00AE45DB"/>
    <w:rsid w:val="00AE55ED"/>
    <w:rsid w:val="00AE5ECF"/>
    <w:rsid w:val="00AE5F02"/>
    <w:rsid w:val="00AE62A9"/>
    <w:rsid w:val="00AE6B4C"/>
    <w:rsid w:val="00AE7A19"/>
    <w:rsid w:val="00AF0D9C"/>
    <w:rsid w:val="00AF20A4"/>
    <w:rsid w:val="00AF30ED"/>
    <w:rsid w:val="00AF390A"/>
    <w:rsid w:val="00AF3A46"/>
    <w:rsid w:val="00AF3CAB"/>
    <w:rsid w:val="00AF5341"/>
    <w:rsid w:val="00AF592D"/>
    <w:rsid w:val="00AF6193"/>
    <w:rsid w:val="00AF7164"/>
    <w:rsid w:val="00AF7342"/>
    <w:rsid w:val="00AF78D4"/>
    <w:rsid w:val="00B00752"/>
    <w:rsid w:val="00B013E4"/>
    <w:rsid w:val="00B049B4"/>
    <w:rsid w:val="00B04C75"/>
    <w:rsid w:val="00B05597"/>
    <w:rsid w:val="00B056CD"/>
    <w:rsid w:val="00B05989"/>
    <w:rsid w:val="00B05E8F"/>
    <w:rsid w:val="00B0644D"/>
    <w:rsid w:val="00B06883"/>
    <w:rsid w:val="00B06B9A"/>
    <w:rsid w:val="00B07079"/>
    <w:rsid w:val="00B07C08"/>
    <w:rsid w:val="00B10298"/>
    <w:rsid w:val="00B10BFE"/>
    <w:rsid w:val="00B11A28"/>
    <w:rsid w:val="00B11AED"/>
    <w:rsid w:val="00B1285A"/>
    <w:rsid w:val="00B131A8"/>
    <w:rsid w:val="00B13A43"/>
    <w:rsid w:val="00B140FA"/>
    <w:rsid w:val="00B14244"/>
    <w:rsid w:val="00B14C2C"/>
    <w:rsid w:val="00B153AB"/>
    <w:rsid w:val="00B155D2"/>
    <w:rsid w:val="00B156D9"/>
    <w:rsid w:val="00B16B80"/>
    <w:rsid w:val="00B1726F"/>
    <w:rsid w:val="00B1750F"/>
    <w:rsid w:val="00B1766D"/>
    <w:rsid w:val="00B17D30"/>
    <w:rsid w:val="00B21542"/>
    <w:rsid w:val="00B219F5"/>
    <w:rsid w:val="00B21ABB"/>
    <w:rsid w:val="00B2200B"/>
    <w:rsid w:val="00B22A1A"/>
    <w:rsid w:val="00B23D2F"/>
    <w:rsid w:val="00B2426B"/>
    <w:rsid w:val="00B24966"/>
    <w:rsid w:val="00B2747D"/>
    <w:rsid w:val="00B27983"/>
    <w:rsid w:val="00B27D22"/>
    <w:rsid w:val="00B27FA3"/>
    <w:rsid w:val="00B3105B"/>
    <w:rsid w:val="00B3297E"/>
    <w:rsid w:val="00B33A24"/>
    <w:rsid w:val="00B33CB6"/>
    <w:rsid w:val="00B34133"/>
    <w:rsid w:val="00B34913"/>
    <w:rsid w:val="00B35A8C"/>
    <w:rsid w:val="00B35C42"/>
    <w:rsid w:val="00B3721C"/>
    <w:rsid w:val="00B421F7"/>
    <w:rsid w:val="00B4246B"/>
    <w:rsid w:val="00B42B8B"/>
    <w:rsid w:val="00B42BA9"/>
    <w:rsid w:val="00B42DF4"/>
    <w:rsid w:val="00B42F98"/>
    <w:rsid w:val="00B461E6"/>
    <w:rsid w:val="00B46261"/>
    <w:rsid w:val="00B46941"/>
    <w:rsid w:val="00B46B28"/>
    <w:rsid w:val="00B47538"/>
    <w:rsid w:val="00B47CD4"/>
    <w:rsid w:val="00B50490"/>
    <w:rsid w:val="00B50871"/>
    <w:rsid w:val="00B50C0E"/>
    <w:rsid w:val="00B510A3"/>
    <w:rsid w:val="00B52338"/>
    <w:rsid w:val="00B525C0"/>
    <w:rsid w:val="00B541B1"/>
    <w:rsid w:val="00B54A1C"/>
    <w:rsid w:val="00B54ADA"/>
    <w:rsid w:val="00B55B30"/>
    <w:rsid w:val="00B560CD"/>
    <w:rsid w:val="00B5638D"/>
    <w:rsid w:val="00B566F4"/>
    <w:rsid w:val="00B5721B"/>
    <w:rsid w:val="00B5786C"/>
    <w:rsid w:val="00B57FC3"/>
    <w:rsid w:val="00B60475"/>
    <w:rsid w:val="00B609EE"/>
    <w:rsid w:val="00B61096"/>
    <w:rsid w:val="00B61B65"/>
    <w:rsid w:val="00B62469"/>
    <w:rsid w:val="00B63E64"/>
    <w:rsid w:val="00B65747"/>
    <w:rsid w:val="00B65874"/>
    <w:rsid w:val="00B659A7"/>
    <w:rsid w:val="00B6689F"/>
    <w:rsid w:val="00B6703B"/>
    <w:rsid w:val="00B67706"/>
    <w:rsid w:val="00B6777D"/>
    <w:rsid w:val="00B706B7"/>
    <w:rsid w:val="00B70DEE"/>
    <w:rsid w:val="00B71A35"/>
    <w:rsid w:val="00B72187"/>
    <w:rsid w:val="00B7227A"/>
    <w:rsid w:val="00B72683"/>
    <w:rsid w:val="00B7380F"/>
    <w:rsid w:val="00B74740"/>
    <w:rsid w:val="00B74CBC"/>
    <w:rsid w:val="00B7551A"/>
    <w:rsid w:val="00B7567B"/>
    <w:rsid w:val="00B758C3"/>
    <w:rsid w:val="00B75C71"/>
    <w:rsid w:val="00B75D27"/>
    <w:rsid w:val="00B770FE"/>
    <w:rsid w:val="00B77579"/>
    <w:rsid w:val="00B77DC3"/>
    <w:rsid w:val="00B802ED"/>
    <w:rsid w:val="00B804CB"/>
    <w:rsid w:val="00B809CA"/>
    <w:rsid w:val="00B8156C"/>
    <w:rsid w:val="00B81EC2"/>
    <w:rsid w:val="00B820C5"/>
    <w:rsid w:val="00B825A8"/>
    <w:rsid w:val="00B827AD"/>
    <w:rsid w:val="00B82F20"/>
    <w:rsid w:val="00B830F9"/>
    <w:rsid w:val="00B832A9"/>
    <w:rsid w:val="00B8378B"/>
    <w:rsid w:val="00B839D5"/>
    <w:rsid w:val="00B8467B"/>
    <w:rsid w:val="00B84834"/>
    <w:rsid w:val="00B84E50"/>
    <w:rsid w:val="00B84E58"/>
    <w:rsid w:val="00B84F4C"/>
    <w:rsid w:val="00B85005"/>
    <w:rsid w:val="00B861A8"/>
    <w:rsid w:val="00B8622A"/>
    <w:rsid w:val="00B86BA4"/>
    <w:rsid w:val="00B87E3D"/>
    <w:rsid w:val="00B9084F"/>
    <w:rsid w:val="00B908A5"/>
    <w:rsid w:val="00B91365"/>
    <w:rsid w:val="00B916AA"/>
    <w:rsid w:val="00B916F7"/>
    <w:rsid w:val="00B91AD5"/>
    <w:rsid w:val="00B92239"/>
    <w:rsid w:val="00B93789"/>
    <w:rsid w:val="00B947F1"/>
    <w:rsid w:val="00B9598C"/>
    <w:rsid w:val="00B96265"/>
    <w:rsid w:val="00B96327"/>
    <w:rsid w:val="00B96CA4"/>
    <w:rsid w:val="00BA0BC9"/>
    <w:rsid w:val="00BA1333"/>
    <w:rsid w:val="00BA22ED"/>
    <w:rsid w:val="00BA29BD"/>
    <w:rsid w:val="00BA387D"/>
    <w:rsid w:val="00BA55A2"/>
    <w:rsid w:val="00BA66A6"/>
    <w:rsid w:val="00BA724C"/>
    <w:rsid w:val="00BA7AB1"/>
    <w:rsid w:val="00BB0822"/>
    <w:rsid w:val="00BB0A9C"/>
    <w:rsid w:val="00BB1147"/>
    <w:rsid w:val="00BB165C"/>
    <w:rsid w:val="00BB1FF4"/>
    <w:rsid w:val="00BB203F"/>
    <w:rsid w:val="00BB267C"/>
    <w:rsid w:val="00BB44C6"/>
    <w:rsid w:val="00BB4CCE"/>
    <w:rsid w:val="00BB625E"/>
    <w:rsid w:val="00BB6F70"/>
    <w:rsid w:val="00BC05CE"/>
    <w:rsid w:val="00BC05D5"/>
    <w:rsid w:val="00BC13E8"/>
    <w:rsid w:val="00BC1B35"/>
    <w:rsid w:val="00BC25D2"/>
    <w:rsid w:val="00BC2661"/>
    <w:rsid w:val="00BC30CE"/>
    <w:rsid w:val="00BC3126"/>
    <w:rsid w:val="00BC3264"/>
    <w:rsid w:val="00BC3458"/>
    <w:rsid w:val="00BC3515"/>
    <w:rsid w:val="00BC379B"/>
    <w:rsid w:val="00BC3E85"/>
    <w:rsid w:val="00BC4AB1"/>
    <w:rsid w:val="00BC57C9"/>
    <w:rsid w:val="00BC64F6"/>
    <w:rsid w:val="00BC6A51"/>
    <w:rsid w:val="00BC71B7"/>
    <w:rsid w:val="00BC7B6F"/>
    <w:rsid w:val="00BC7F48"/>
    <w:rsid w:val="00BD02B5"/>
    <w:rsid w:val="00BD0404"/>
    <w:rsid w:val="00BD1C0D"/>
    <w:rsid w:val="00BD1F37"/>
    <w:rsid w:val="00BD23BF"/>
    <w:rsid w:val="00BD273F"/>
    <w:rsid w:val="00BD2A08"/>
    <w:rsid w:val="00BD3521"/>
    <w:rsid w:val="00BD3691"/>
    <w:rsid w:val="00BD4306"/>
    <w:rsid w:val="00BD4B0E"/>
    <w:rsid w:val="00BD4B61"/>
    <w:rsid w:val="00BD4BF6"/>
    <w:rsid w:val="00BD66EC"/>
    <w:rsid w:val="00BD6D5F"/>
    <w:rsid w:val="00BD7673"/>
    <w:rsid w:val="00BD7B51"/>
    <w:rsid w:val="00BE0708"/>
    <w:rsid w:val="00BE0CF2"/>
    <w:rsid w:val="00BE15F8"/>
    <w:rsid w:val="00BE1A1E"/>
    <w:rsid w:val="00BE1F8B"/>
    <w:rsid w:val="00BE2915"/>
    <w:rsid w:val="00BE29BB"/>
    <w:rsid w:val="00BE3B86"/>
    <w:rsid w:val="00BE4439"/>
    <w:rsid w:val="00BE45F6"/>
    <w:rsid w:val="00BE4749"/>
    <w:rsid w:val="00BE4B30"/>
    <w:rsid w:val="00BE4B84"/>
    <w:rsid w:val="00BE4BA2"/>
    <w:rsid w:val="00BE4E7B"/>
    <w:rsid w:val="00BE5844"/>
    <w:rsid w:val="00BE701C"/>
    <w:rsid w:val="00BE7854"/>
    <w:rsid w:val="00BF0A83"/>
    <w:rsid w:val="00BF1CEC"/>
    <w:rsid w:val="00BF3638"/>
    <w:rsid w:val="00BF3E14"/>
    <w:rsid w:val="00BF4FF4"/>
    <w:rsid w:val="00BF5549"/>
    <w:rsid w:val="00BF57FF"/>
    <w:rsid w:val="00BF5D6A"/>
    <w:rsid w:val="00BF621E"/>
    <w:rsid w:val="00C00FB4"/>
    <w:rsid w:val="00C012AD"/>
    <w:rsid w:val="00C0158D"/>
    <w:rsid w:val="00C02D29"/>
    <w:rsid w:val="00C03D28"/>
    <w:rsid w:val="00C04E47"/>
    <w:rsid w:val="00C05C51"/>
    <w:rsid w:val="00C06C82"/>
    <w:rsid w:val="00C07998"/>
    <w:rsid w:val="00C10369"/>
    <w:rsid w:val="00C10F98"/>
    <w:rsid w:val="00C11686"/>
    <w:rsid w:val="00C125C0"/>
    <w:rsid w:val="00C12F62"/>
    <w:rsid w:val="00C13AB6"/>
    <w:rsid w:val="00C141F7"/>
    <w:rsid w:val="00C14483"/>
    <w:rsid w:val="00C144A4"/>
    <w:rsid w:val="00C15632"/>
    <w:rsid w:val="00C15D35"/>
    <w:rsid w:val="00C16897"/>
    <w:rsid w:val="00C16BE0"/>
    <w:rsid w:val="00C17813"/>
    <w:rsid w:val="00C17937"/>
    <w:rsid w:val="00C210BF"/>
    <w:rsid w:val="00C21865"/>
    <w:rsid w:val="00C21AED"/>
    <w:rsid w:val="00C23368"/>
    <w:rsid w:val="00C23A9B"/>
    <w:rsid w:val="00C24100"/>
    <w:rsid w:val="00C25BF4"/>
    <w:rsid w:val="00C25C36"/>
    <w:rsid w:val="00C2690A"/>
    <w:rsid w:val="00C27719"/>
    <w:rsid w:val="00C277A9"/>
    <w:rsid w:val="00C27922"/>
    <w:rsid w:val="00C27DA5"/>
    <w:rsid w:val="00C317C9"/>
    <w:rsid w:val="00C31DD1"/>
    <w:rsid w:val="00C3327D"/>
    <w:rsid w:val="00C33449"/>
    <w:rsid w:val="00C339F6"/>
    <w:rsid w:val="00C3538A"/>
    <w:rsid w:val="00C36A02"/>
    <w:rsid w:val="00C374FA"/>
    <w:rsid w:val="00C377A8"/>
    <w:rsid w:val="00C411BF"/>
    <w:rsid w:val="00C412C3"/>
    <w:rsid w:val="00C431BF"/>
    <w:rsid w:val="00C434F3"/>
    <w:rsid w:val="00C456BE"/>
    <w:rsid w:val="00C45A7E"/>
    <w:rsid w:val="00C46288"/>
    <w:rsid w:val="00C46398"/>
    <w:rsid w:val="00C465A1"/>
    <w:rsid w:val="00C46FD7"/>
    <w:rsid w:val="00C4750A"/>
    <w:rsid w:val="00C47D4A"/>
    <w:rsid w:val="00C501B4"/>
    <w:rsid w:val="00C508F7"/>
    <w:rsid w:val="00C509E3"/>
    <w:rsid w:val="00C50A05"/>
    <w:rsid w:val="00C51762"/>
    <w:rsid w:val="00C51CBC"/>
    <w:rsid w:val="00C52B88"/>
    <w:rsid w:val="00C52F0D"/>
    <w:rsid w:val="00C535FC"/>
    <w:rsid w:val="00C53B95"/>
    <w:rsid w:val="00C53D8F"/>
    <w:rsid w:val="00C5407C"/>
    <w:rsid w:val="00C54427"/>
    <w:rsid w:val="00C5595D"/>
    <w:rsid w:val="00C57157"/>
    <w:rsid w:val="00C57514"/>
    <w:rsid w:val="00C600DE"/>
    <w:rsid w:val="00C613DC"/>
    <w:rsid w:val="00C6195B"/>
    <w:rsid w:val="00C61B66"/>
    <w:rsid w:val="00C61C01"/>
    <w:rsid w:val="00C61EA0"/>
    <w:rsid w:val="00C62372"/>
    <w:rsid w:val="00C637D0"/>
    <w:rsid w:val="00C63831"/>
    <w:rsid w:val="00C63D44"/>
    <w:rsid w:val="00C63E6D"/>
    <w:rsid w:val="00C63EB7"/>
    <w:rsid w:val="00C654CA"/>
    <w:rsid w:val="00C66709"/>
    <w:rsid w:val="00C66FAB"/>
    <w:rsid w:val="00C678E4"/>
    <w:rsid w:val="00C70B1F"/>
    <w:rsid w:val="00C71546"/>
    <w:rsid w:val="00C71F20"/>
    <w:rsid w:val="00C722F5"/>
    <w:rsid w:val="00C735FD"/>
    <w:rsid w:val="00C736E8"/>
    <w:rsid w:val="00C73F1F"/>
    <w:rsid w:val="00C73F23"/>
    <w:rsid w:val="00C740F9"/>
    <w:rsid w:val="00C7628F"/>
    <w:rsid w:val="00C76788"/>
    <w:rsid w:val="00C76E6B"/>
    <w:rsid w:val="00C809DF"/>
    <w:rsid w:val="00C80FB1"/>
    <w:rsid w:val="00C819B4"/>
    <w:rsid w:val="00C81B25"/>
    <w:rsid w:val="00C81CAE"/>
    <w:rsid w:val="00C81DEB"/>
    <w:rsid w:val="00C82B93"/>
    <w:rsid w:val="00C82C53"/>
    <w:rsid w:val="00C83166"/>
    <w:rsid w:val="00C8370E"/>
    <w:rsid w:val="00C85CA3"/>
    <w:rsid w:val="00C865C4"/>
    <w:rsid w:val="00C90F60"/>
    <w:rsid w:val="00C918E3"/>
    <w:rsid w:val="00C92012"/>
    <w:rsid w:val="00C931CB"/>
    <w:rsid w:val="00C9422E"/>
    <w:rsid w:val="00C9443F"/>
    <w:rsid w:val="00C95277"/>
    <w:rsid w:val="00C953B9"/>
    <w:rsid w:val="00C95472"/>
    <w:rsid w:val="00C9568A"/>
    <w:rsid w:val="00C95CC3"/>
    <w:rsid w:val="00C95CD6"/>
    <w:rsid w:val="00C9690C"/>
    <w:rsid w:val="00C97B0A"/>
    <w:rsid w:val="00C97E67"/>
    <w:rsid w:val="00CA0472"/>
    <w:rsid w:val="00CA1290"/>
    <w:rsid w:val="00CA1430"/>
    <w:rsid w:val="00CA1972"/>
    <w:rsid w:val="00CA240F"/>
    <w:rsid w:val="00CA29D4"/>
    <w:rsid w:val="00CA2B9B"/>
    <w:rsid w:val="00CA2CD0"/>
    <w:rsid w:val="00CA2F29"/>
    <w:rsid w:val="00CA3295"/>
    <w:rsid w:val="00CA35DC"/>
    <w:rsid w:val="00CA3BDA"/>
    <w:rsid w:val="00CA3E4F"/>
    <w:rsid w:val="00CA4008"/>
    <w:rsid w:val="00CA422A"/>
    <w:rsid w:val="00CA475B"/>
    <w:rsid w:val="00CA4F0E"/>
    <w:rsid w:val="00CA4F2F"/>
    <w:rsid w:val="00CA5160"/>
    <w:rsid w:val="00CA79FA"/>
    <w:rsid w:val="00CB04DA"/>
    <w:rsid w:val="00CB06A0"/>
    <w:rsid w:val="00CB0A4E"/>
    <w:rsid w:val="00CB0A65"/>
    <w:rsid w:val="00CB0D30"/>
    <w:rsid w:val="00CB150C"/>
    <w:rsid w:val="00CB2602"/>
    <w:rsid w:val="00CB26C6"/>
    <w:rsid w:val="00CB2953"/>
    <w:rsid w:val="00CB2987"/>
    <w:rsid w:val="00CB2FB5"/>
    <w:rsid w:val="00CB41D5"/>
    <w:rsid w:val="00CB4390"/>
    <w:rsid w:val="00CB556E"/>
    <w:rsid w:val="00CB62DE"/>
    <w:rsid w:val="00CB7072"/>
    <w:rsid w:val="00CB7737"/>
    <w:rsid w:val="00CC111D"/>
    <w:rsid w:val="00CC122B"/>
    <w:rsid w:val="00CC1AD9"/>
    <w:rsid w:val="00CC2045"/>
    <w:rsid w:val="00CC2186"/>
    <w:rsid w:val="00CC2854"/>
    <w:rsid w:val="00CC285C"/>
    <w:rsid w:val="00CC349F"/>
    <w:rsid w:val="00CC3F13"/>
    <w:rsid w:val="00CC4FB1"/>
    <w:rsid w:val="00CC5463"/>
    <w:rsid w:val="00CC5DD5"/>
    <w:rsid w:val="00CC67C5"/>
    <w:rsid w:val="00CC6C75"/>
    <w:rsid w:val="00CC703F"/>
    <w:rsid w:val="00CC7790"/>
    <w:rsid w:val="00CC7C06"/>
    <w:rsid w:val="00CC7C3B"/>
    <w:rsid w:val="00CD0133"/>
    <w:rsid w:val="00CD1B5B"/>
    <w:rsid w:val="00CD1BE6"/>
    <w:rsid w:val="00CD1CB1"/>
    <w:rsid w:val="00CD1DAB"/>
    <w:rsid w:val="00CD31E7"/>
    <w:rsid w:val="00CD359A"/>
    <w:rsid w:val="00CD3F50"/>
    <w:rsid w:val="00CD44DB"/>
    <w:rsid w:val="00CD58C7"/>
    <w:rsid w:val="00CD6159"/>
    <w:rsid w:val="00CD75BC"/>
    <w:rsid w:val="00CD7AB7"/>
    <w:rsid w:val="00CD7B19"/>
    <w:rsid w:val="00CD7EEB"/>
    <w:rsid w:val="00CE044A"/>
    <w:rsid w:val="00CE06EE"/>
    <w:rsid w:val="00CE0CAC"/>
    <w:rsid w:val="00CE0DA7"/>
    <w:rsid w:val="00CE0F56"/>
    <w:rsid w:val="00CE1A4A"/>
    <w:rsid w:val="00CE1B84"/>
    <w:rsid w:val="00CE2149"/>
    <w:rsid w:val="00CE2E32"/>
    <w:rsid w:val="00CE3B89"/>
    <w:rsid w:val="00CE3BCE"/>
    <w:rsid w:val="00CE5FA0"/>
    <w:rsid w:val="00CE6D20"/>
    <w:rsid w:val="00CE783D"/>
    <w:rsid w:val="00CF1937"/>
    <w:rsid w:val="00CF1C60"/>
    <w:rsid w:val="00CF2503"/>
    <w:rsid w:val="00CF31BC"/>
    <w:rsid w:val="00CF3745"/>
    <w:rsid w:val="00CF3834"/>
    <w:rsid w:val="00CF38DA"/>
    <w:rsid w:val="00CF4FD4"/>
    <w:rsid w:val="00CF6388"/>
    <w:rsid w:val="00CF6673"/>
    <w:rsid w:val="00CF7A42"/>
    <w:rsid w:val="00CF7A44"/>
    <w:rsid w:val="00D00021"/>
    <w:rsid w:val="00D00393"/>
    <w:rsid w:val="00D003F8"/>
    <w:rsid w:val="00D011BD"/>
    <w:rsid w:val="00D01A91"/>
    <w:rsid w:val="00D01CEB"/>
    <w:rsid w:val="00D02467"/>
    <w:rsid w:val="00D02C85"/>
    <w:rsid w:val="00D04010"/>
    <w:rsid w:val="00D042E3"/>
    <w:rsid w:val="00D05D5A"/>
    <w:rsid w:val="00D063CB"/>
    <w:rsid w:val="00D0647A"/>
    <w:rsid w:val="00D06A4A"/>
    <w:rsid w:val="00D06A97"/>
    <w:rsid w:val="00D10077"/>
    <w:rsid w:val="00D10269"/>
    <w:rsid w:val="00D10427"/>
    <w:rsid w:val="00D11040"/>
    <w:rsid w:val="00D11291"/>
    <w:rsid w:val="00D1251A"/>
    <w:rsid w:val="00D12BE8"/>
    <w:rsid w:val="00D13726"/>
    <w:rsid w:val="00D1387F"/>
    <w:rsid w:val="00D13B8A"/>
    <w:rsid w:val="00D15BA1"/>
    <w:rsid w:val="00D15BB3"/>
    <w:rsid w:val="00D17659"/>
    <w:rsid w:val="00D179E1"/>
    <w:rsid w:val="00D20295"/>
    <w:rsid w:val="00D20C66"/>
    <w:rsid w:val="00D20D02"/>
    <w:rsid w:val="00D21262"/>
    <w:rsid w:val="00D22D62"/>
    <w:rsid w:val="00D22D7D"/>
    <w:rsid w:val="00D22EE3"/>
    <w:rsid w:val="00D23779"/>
    <w:rsid w:val="00D23901"/>
    <w:rsid w:val="00D274A9"/>
    <w:rsid w:val="00D3042E"/>
    <w:rsid w:val="00D30F20"/>
    <w:rsid w:val="00D31A0A"/>
    <w:rsid w:val="00D333EF"/>
    <w:rsid w:val="00D33760"/>
    <w:rsid w:val="00D3426D"/>
    <w:rsid w:val="00D35A5D"/>
    <w:rsid w:val="00D35C23"/>
    <w:rsid w:val="00D37EFC"/>
    <w:rsid w:val="00D40B2F"/>
    <w:rsid w:val="00D413A3"/>
    <w:rsid w:val="00D41C9C"/>
    <w:rsid w:val="00D41F1D"/>
    <w:rsid w:val="00D422B5"/>
    <w:rsid w:val="00D42E3F"/>
    <w:rsid w:val="00D439E8"/>
    <w:rsid w:val="00D43E56"/>
    <w:rsid w:val="00D44874"/>
    <w:rsid w:val="00D448CB"/>
    <w:rsid w:val="00D45A2A"/>
    <w:rsid w:val="00D45F33"/>
    <w:rsid w:val="00D46404"/>
    <w:rsid w:val="00D47048"/>
    <w:rsid w:val="00D47144"/>
    <w:rsid w:val="00D51C48"/>
    <w:rsid w:val="00D52132"/>
    <w:rsid w:val="00D521D6"/>
    <w:rsid w:val="00D52729"/>
    <w:rsid w:val="00D52B3F"/>
    <w:rsid w:val="00D52D24"/>
    <w:rsid w:val="00D537BA"/>
    <w:rsid w:val="00D53987"/>
    <w:rsid w:val="00D54559"/>
    <w:rsid w:val="00D559B6"/>
    <w:rsid w:val="00D55D63"/>
    <w:rsid w:val="00D55E73"/>
    <w:rsid w:val="00D5683B"/>
    <w:rsid w:val="00D56F06"/>
    <w:rsid w:val="00D5700B"/>
    <w:rsid w:val="00D575BE"/>
    <w:rsid w:val="00D61781"/>
    <w:rsid w:val="00D61C6E"/>
    <w:rsid w:val="00D61F92"/>
    <w:rsid w:val="00D63147"/>
    <w:rsid w:val="00D63244"/>
    <w:rsid w:val="00D63409"/>
    <w:rsid w:val="00D636D9"/>
    <w:rsid w:val="00D63AEE"/>
    <w:rsid w:val="00D63F70"/>
    <w:rsid w:val="00D64E3A"/>
    <w:rsid w:val="00D653B5"/>
    <w:rsid w:val="00D6578A"/>
    <w:rsid w:val="00D672F2"/>
    <w:rsid w:val="00D674D5"/>
    <w:rsid w:val="00D67874"/>
    <w:rsid w:val="00D67AB0"/>
    <w:rsid w:val="00D67AF0"/>
    <w:rsid w:val="00D70014"/>
    <w:rsid w:val="00D70993"/>
    <w:rsid w:val="00D710E9"/>
    <w:rsid w:val="00D71294"/>
    <w:rsid w:val="00D7181B"/>
    <w:rsid w:val="00D72827"/>
    <w:rsid w:val="00D7354F"/>
    <w:rsid w:val="00D740A6"/>
    <w:rsid w:val="00D74349"/>
    <w:rsid w:val="00D74B12"/>
    <w:rsid w:val="00D74C23"/>
    <w:rsid w:val="00D751EB"/>
    <w:rsid w:val="00D75D9E"/>
    <w:rsid w:val="00D76114"/>
    <w:rsid w:val="00D76E9F"/>
    <w:rsid w:val="00D770A2"/>
    <w:rsid w:val="00D77A20"/>
    <w:rsid w:val="00D77D2B"/>
    <w:rsid w:val="00D8018E"/>
    <w:rsid w:val="00D801AC"/>
    <w:rsid w:val="00D80598"/>
    <w:rsid w:val="00D80B70"/>
    <w:rsid w:val="00D80CBB"/>
    <w:rsid w:val="00D80E1A"/>
    <w:rsid w:val="00D81171"/>
    <w:rsid w:val="00D817FF"/>
    <w:rsid w:val="00D81A6A"/>
    <w:rsid w:val="00D825F3"/>
    <w:rsid w:val="00D8278E"/>
    <w:rsid w:val="00D82C0C"/>
    <w:rsid w:val="00D8323B"/>
    <w:rsid w:val="00D874E1"/>
    <w:rsid w:val="00D9026B"/>
    <w:rsid w:val="00D906FB"/>
    <w:rsid w:val="00D90DF4"/>
    <w:rsid w:val="00D91839"/>
    <w:rsid w:val="00D91F1A"/>
    <w:rsid w:val="00D92F08"/>
    <w:rsid w:val="00D92F5C"/>
    <w:rsid w:val="00D9318B"/>
    <w:rsid w:val="00D933F1"/>
    <w:rsid w:val="00D93AD3"/>
    <w:rsid w:val="00D951DF"/>
    <w:rsid w:val="00D953A6"/>
    <w:rsid w:val="00D956B9"/>
    <w:rsid w:val="00D96B26"/>
    <w:rsid w:val="00DA09D2"/>
    <w:rsid w:val="00DA19D1"/>
    <w:rsid w:val="00DA253C"/>
    <w:rsid w:val="00DA33E7"/>
    <w:rsid w:val="00DA3BD8"/>
    <w:rsid w:val="00DA5782"/>
    <w:rsid w:val="00DA594D"/>
    <w:rsid w:val="00DA5B34"/>
    <w:rsid w:val="00DA5C6D"/>
    <w:rsid w:val="00DA632C"/>
    <w:rsid w:val="00DA7D73"/>
    <w:rsid w:val="00DA7E2E"/>
    <w:rsid w:val="00DA7EC9"/>
    <w:rsid w:val="00DB016F"/>
    <w:rsid w:val="00DB0D33"/>
    <w:rsid w:val="00DB187E"/>
    <w:rsid w:val="00DB24A3"/>
    <w:rsid w:val="00DB299F"/>
    <w:rsid w:val="00DB2B89"/>
    <w:rsid w:val="00DB2DE8"/>
    <w:rsid w:val="00DB3B7B"/>
    <w:rsid w:val="00DB40E1"/>
    <w:rsid w:val="00DB40FC"/>
    <w:rsid w:val="00DB4259"/>
    <w:rsid w:val="00DB5652"/>
    <w:rsid w:val="00DB5E61"/>
    <w:rsid w:val="00DB6404"/>
    <w:rsid w:val="00DB6B13"/>
    <w:rsid w:val="00DB6CFF"/>
    <w:rsid w:val="00DC09CE"/>
    <w:rsid w:val="00DC0CB2"/>
    <w:rsid w:val="00DC2ABE"/>
    <w:rsid w:val="00DC32E9"/>
    <w:rsid w:val="00DC34F9"/>
    <w:rsid w:val="00DC3A17"/>
    <w:rsid w:val="00DC3D5F"/>
    <w:rsid w:val="00DC51E8"/>
    <w:rsid w:val="00DC5581"/>
    <w:rsid w:val="00DC5FCC"/>
    <w:rsid w:val="00DC72AB"/>
    <w:rsid w:val="00DC7575"/>
    <w:rsid w:val="00DD02A8"/>
    <w:rsid w:val="00DD0ACD"/>
    <w:rsid w:val="00DD0CA4"/>
    <w:rsid w:val="00DD15A2"/>
    <w:rsid w:val="00DD1D64"/>
    <w:rsid w:val="00DD1F50"/>
    <w:rsid w:val="00DD2DD7"/>
    <w:rsid w:val="00DD2F45"/>
    <w:rsid w:val="00DD4000"/>
    <w:rsid w:val="00DD473E"/>
    <w:rsid w:val="00DD544D"/>
    <w:rsid w:val="00DD5AEB"/>
    <w:rsid w:val="00DD5D6E"/>
    <w:rsid w:val="00DD614C"/>
    <w:rsid w:val="00DD634A"/>
    <w:rsid w:val="00DD68FD"/>
    <w:rsid w:val="00DD6E46"/>
    <w:rsid w:val="00DD6FE4"/>
    <w:rsid w:val="00DE04D0"/>
    <w:rsid w:val="00DE1808"/>
    <w:rsid w:val="00DE32FC"/>
    <w:rsid w:val="00DE33B3"/>
    <w:rsid w:val="00DE40E6"/>
    <w:rsid w:val="00DE4622"/>
    <w:rsid w:val="00DE5406"/>
    <w:rsid w:val="00DE5805"/>
    <w:rsid w:val="00DE5CA1"/>
    <w:rsid w:val="00DE6595"/>
    <w:rsid w:val="00DE67B6"/>
    <w:rsid w:val="00DE6D79"/>
    <w:rsid w:val="00DE7C6E"/>
    <w:rsid w:val="00DF0158"/>
    <w:rsid w:val="00DF03BC"/>
    <w:rsid w:val="00DF1148"/>
    <w:rsid w:val="00DF1E17"/>
    <w:rsid w:val="00DF1FC7"/>
    <w:rsid w:val="00DF28A3"/>
    <w:rsid w:val="00DF3159"/>
    <w:rsid w:val="00DF3479"/>
    <w:rsid w:val="00DF40BE"/>
    <w:rsid w:val="00DF4B12"/>
    <w:rsid w:val="00DF4BA1"/>
    <w:rsid w:val="00DF59D2"/>
    <w:rsid w:val="00DF5AA8"/>
    <w:rsid w:val="00DF5B0E"/>
    <w:rsid w:val="00DF7508"/>
    <w:rsid w:val="00DF781A"/>
    <w:rsid w:val="00DF7C42"/>
    <w:rsid w:val="00E00A1A"/>
    <w:rsid w:val="00E01CA8"/>
    <w:rsid w:val="00E027C9"/>
    <w:rsid w:val="00E02B9F"/>
    <w:rsid w:val="00E03020"/>
    <w:rsid w:val="00E04355"/>
    <w:rsid w:val="00E04AA3"/>
    <w:rsid w:val="00E04E07"/>
    <w:rsid w:val="00E054C1"/>
    <w:rsid w:val="00E0715A"/>
    <w:rsid w:val="00E078E1"/>
    <w:rsid w:val="00E07ACB"/>
    <w:rsid w:val="00E07CC0"/>
    <w:rsid w:val="00E10EED"/>
    <w:rsid w:val="00E10FC9"/>
    <w:rsid w:val="00E11844"/>
    <w:rsid w:val="00E122C6"/>
    <w:rsid w:val="00E135E9"/>
    <w:rsid w:val="00E14A8F"/>
    <w:rsid w:val="00E1517A"/>
    <w:rsid w:val="00E152D1"/>
    <w:rsid w:val="00E15EC2"/>
    <w:rsid w:val="00E16410"/>
    <w:rsid w:val="00E17D06"/>
    <w:rsid w:val="00E20061"/>
    <w:rsid w:val="00E204BE"/>
    <w:rsid w:val="00E20A11"/>
    <w:rsid w:val="00E20BD9"/>
    <w:rsid w:val="00E2226A"/>
    <w:rsid w:val="00E232A4"/>
    <w:rsid w:val="00E234D9"/>
    <w:rsid w:val="00E23CAB"/>
    <w:rsid w:val="00E23E79"/>
    <w:rsid w:val="00E242CF"/>
    <w:rsid w:val="00E25092"/>
    <w:rsid w:val="00E25EBA"/>
    <w:rsid w:val="00E26CDB"/>
    <w:rsid w:val="00E26F00"/>
    <w:rsid w:val="00E273AF"/>
    <w:rsid w:val="00E27A7D"/>
    <w:rsid w:val="00E27C79"/>
    <w:rsid w:val="00E30BF6"/>
    <w:rsid w:val="00E31837"/>
    <w:rsid w:val="00E32089"/>
    <w:rsid w:val="00E32670"/>
    <w:rsid w:val="00E32898"/>
    <w:rsid w:val="00E32ACE"/>
    <w:rsid w:val="00E332D9"/>
    <w:rsid w:val="00E344BF"/>
    <w:rsid w:val="00E3457B"/>
    <w:rsid w:val="00E34D25"/>
    <w:rsid w:val="00E3568B"/>
    <w:rsid w:val="00E35E54"/>
    <w:rsid w:val="00E36ACE"/>
    <w:rsid w:val="00E40129"/>
    <w:rsid w:val="00E4090E"/>
    <w:rsid w:val="00E40EC9"/>
    <w:rsid w:val="00E415D9"/>
    <w:rsid w:val="00E44FC6"/>
    <w:rsid w:val="00E45270"/>
    <w:rsid w:val="00E45640"/>
    <w:rsid w:val="00E45757"/>
    <w:rsid w:val="00E45BB9"/>
    <w:rsid w:val="00E45F7A"/>
    <w:rsid w:val="00E468A2"/>
    <w:rsid w:val="00E46A36"/>
    <w:rsid w:val="00E46D08"/>
    <w:rsid w:val="00E50667"/>
    <w:rsid w:val="00E50979"/>
    <w:rsid w:val="00E51324"/>
    <w:rsid w:val="00E51627"/>
    <w:rsid w:val="00E51991"/>
    <w:rsid w:val="00E51B4F"/>
    <w:rsid w:val="00E52869"/>
    <w:rsid w:val="00E53053"/>
    <w:rsid w:val="00E532FB"/>
    <w:rsid w:val="00E534CC"/>
    <w:rsid w:val="00E543D8"/>
    <w:rsid w:val="00E54B70"/>
    <w:rsid w:val="00E55F31"/>
    <w:rsid w:val="00E56355"/>
    <w:rsid w:val="00E5650C"/>
    <w:rsid w:val="00E57C1B"/>
    <w:rsid w:val="00E57C40"/>
    <w:rsid w:val="00E60E1A"/>
    <w:rsid w:val="00E61254"/>
    <w:rsid w:val="00E61388"/>
    <w:rsid w:val="00E61D3C"/>
    <w:rsid w:val="00E621BF"/>
    <w:rsid w:val="00E6228D"/>
    <w:rsid w:val="00E63A95"/>
    <w:rsid w:val="00E63BAB"/>
    <w:rsid w:val="00E63D0C"/>
    <w:rsid w:val="00E64229"/>
    <w:rsid w:val="00E6507E"/>
    <w:rsid w:val="00E6545B"/>
    <w:rsid w:val="00E657E0"/>
    <w:rsid w:val="00E66C3C"/>
    <w:rsid w:val="00E679CE"/>
    <w:rsid w:val="00E67AAE"/>
    <w:rsid w:val="00E67D68"/>
    <w:rsid w:val="00E70A8F"/>
    <w:rsid w:val="00E70CD2"/>
    <w:rsid w:val="00E7115C"/>
    <w:rsid w:val="00E713A1"/>
    <w:rsid w:val="00E72280"/>
    <w:rsid w:val="00E72630"/>
    <w:rsid w:val="00E72BFA"/>
    <w:rsid w:val="00E74A79"/>
    <w:rsid w:val="00E74DD5"/>
    <w:rsid w:val="00E75C67"/>
    <w:rsid w:val="00E75E76"/>
    <w:rsid w:val="00E76DAC"/>
    <w:rsid w:val="00E7753C"/>
    <w:rsid w:val="00E77776"/>
    <w:rsid w:val="00E77C3F"/>
    <w:rsid w:val="00E77CD2"/>
    <w:rsid w:val="00E80A23"/>
    <w:rsid w:val="00E81094"/>
    <w:rsid w:val="00E812A6"/>
    <w:rsid w:val="00E8131C"/>
    <w:rsid w:val="00E81428"/>
    <w:rsid w:val="00E816E4"/>
    <w:rsid w:val="00E81FE4"/>
    <w:rsid w:val="00E82F8A"/>
    <w:rsid w:val="00E837CF"/>
    <w:rsid w:val="00E83B55"/>
    <w:rsid w:val="00E844EB"/>
    <w:rsid w:val="00E84CD1"/>
    <w:rsid w:val="00E84CE6"/>
    <w:rsid w:val="00E8516F"/>
    <w:rsid w:val="00E855B7"/>
    <w:rsid w:val="00E855D7"/>
    <w:rsid w:val="00E85D01"/>
    <w:rsid w:val="00E85F02"/>
    <w:rsid w:val="00E864D0"/>
    <w:rsid w:val="00E86707"/>
    <w:rsid w:val="00E86CA3"/>
    <w:rsid w:val="00E86E2A"/>
    <w:rsid w:val="00E8717B"/>
    <w:rsid w:val="00E87EE9"/>
    <w:rsid w:val="00E907C8"/>
    <w:rsid w:val="00E9158F"/>
    <w:rsid w:val="00E91627"/>
    <w:rsid w:val="00E92A24"/>
    <w:rsid w:val="00E93682"/>
    <w:rsid w:val="00E93C56"/>
    <w:rsid w:val="00E93D04"/>
    <w:rsid w:val="00E941EB"/>
    <w:rsid w:val="00E945D0"/>
    <w:rsid w:val="00E94763"/>
    <w:rsid w:val="00E94FED"/>
    <w:rsid w:val="00E9516A"/>
    <w:rsid w:val="00E958BD"/>
    <w:rsid w:val="00E9629C"/>
    <w:rsid w:val="00E97425"/>
    <w:rsid w:val="00E97580"/>
    <w:rsid w:val="00E97760"/>
    <w:rsid w:val="00E97DB7"/>
    <w:rsid w:val="00EA001B"/>
    <w:rsid w:val="00EA11BE"/>
    <w:rsid w:val="00EA195B"/>
    <w:rsid w:val="00EA2940"/>
    <w:rsid w:val="00EA29DD"/>
    <w:rsid w:val="00EA2DDF"/>
    <w:rsid w:val="00EA329B"/>
    <w:rsid w:val="00EA359D"/>
    <w:rsid w:val="00EA3A2D"/>
    <w:rsid w:val="00EA422F"/>
    <w:rsid w:val="00EA4F62"/>
    <w:rsid w:val="00EA4FE8"/>
    <w:rsid w:val="00EA7404"/>
    <w:rsid w:val="00EB01A8"/>
    <w:rsid w:val="00EB03A5"/>
    <w:rsid w:val="00EB0AEE"/>
    <w:rsid w:val="00EB0F7A"/>
    <w:rsid w:val="00EB1477"/>
    <w:rsid w:val="00EB1749"/>
    <w:rsid w:val="00EB228C"/>
    <w:rsid w:val="00EB371D"/>
    <w:rsid w:val="00EB3EE2"/>
    <w:rsid w:val="00EB4888"/>
    <w:rsid w:val="00EB52FD"/>
    <w:rsid w:val="00EB54CB"/>
    <w:rsid w:val="00EB5B7D"/>
    <w:rsid w:val="00EB5F42"/>
    <w:rsid w:val="00EB7A26"/>
    <w:rsid w:val="00EB7C91"/>
    <w:rsid w:val="00EC0941"/>
    <w:rsid w:val="00EC0C2D"/>
    <w:rsid w:val="00EC0F6D"/>
    <w:rsid w:val="00EC159D"/>
    <w:rsid w:val="00EC2BE4"/>
    <w:rsid w:val="00EC3075"/>
    <w:rsid w:val="00EC33FE"/>
    <w:rsid w:val="00EC40F8"/>
    <w:rsid w:val="00EC4F70"/>
    <w:rsid w:val="00EC6D3A"/>
    <w:rsid w:val="00EC7029"/>
    <w:rsid w:val="00EC76AB"/>
    <w:rsid w:val="00ED07A7"/>
    <w:rsid w:val="00ED1F95"/>
    <w:rsid w:val="00ED22F0"/>
    <w:rsid w:val="00ED45F4"/>
    <w:rsid w:val="00ED61CC"/>
    <w:rsid w:val="00ED69F5"/>
    <w:rsid w:val="00ED6F8B"/>
    <w:rsid w:val="00ED7785"/>
    <w:rsid w:val="00EE09A3"/>
    <w:rsid w:val="00EE1738"/>
    <w:rsid w:val="00EE1841"/>
    <w:rsid w:val="00EE1CA7"/>
    <w:rsid w:val="00EE2753"/>
    <w:rsid w:val="00EE280B"/>
    <w:rsid w:val="00EE282B"/>
    <w:rsid w:val="00EE2A4F"/>
    <w:rsid w:val="00EE3C45"/>
    <w:rsid w:val="00EE3D28"/>
    <w:rsid w:val="00EE42ED"/>
    <w:rsid w:val="00EE4B49"/>
    <w:rsid w:val="00EE62F8"/>
    <w:rsid w:val="00EE76B6"/>
    <w:rsid w:val="00EE7CFB"/>
    <w:rsid w:val="00EF0674"/>
    <w:rsid w:val="00EF0839"/>
    <w:rsid w:val="00EF0FD1"/>
    <w:rsid w:val="00EF1085"/>
    <w:rsid w:val="00EF3C41"/>
    <w:rsid w:val="00EF4075"/>
    <w:rsid w:val="00EF4E8B"/>
    <w:rsid w:val="00EF5107"/>
    <w:rsid w:val="00EF569D"/>
    <w:rsid w:val="00EF5C5A"/>
    <w:rsid w:val="00EF752C"/>
    <w:rsid w:val="00EF7F66"/>
    <w:rsid w:val="00F00D3D"/>
    <w:rsid w:val="00F015B8"/>
    <w:rsid w:val="00F018A3"/>
    <w:rsid w:val="00F01F3D"/>
    <w:rsid w:val="00F01F51"/>
    <w:rsid w:val="00F03904"/>
    <w:rsid w:val="00F0411D"/>
    <w:rsid w:val="00F046EE"/>
    <w:rsid w:val="00F04D99"/>
    <w:rsid w:val="00F05E7C"/>
    <w:rsid w:val="00F05F92"/>
    <w:rsid w:val="00F06185"/>
    <w:rsid w:val="00F07389"/>
    <w:rsid w:val="00F07B67"/>
    <w:rsid w:val="00F1017C"/>
    <w:rsid w:val="00F10EFD"/>
    <w:rsid w:val="00F11064"/>
    <w:rsid w:val="00F11142"/>
    <w:rsid w:val="00F1256E"/>
    <w:rsid w:val="00F135FF"/>
    <w:rsid w:val="00F14F12"/>
    <w:rsid w:val="00F152DB"/>
    <w:rsid w:val="00F153DA"/>
    <w:rsid w:val="00F15E63"/>
    <w:rsid w:val="00F167E6"/>
    <w:rsid w:val="00F167F4"/>
    <w:rsid w:val="00F16DD4"/>
    <w:rsid w:val="00F17C4F"/>
    <w:rsid w:val="00F17C80"/>
    <w:rsid w:val="00F17D94"/>
    <w:rsid w:val="00F20143"/>
    <w:rsid w:val="00F215AE"/>
    <w:rsid w:val="00F22AA7"/>
    <w:rsid w:val="00F22AB4"/>
    <w:rsid w:val="00F23025"/>
    <w:rsid w:val="00F24235"/>
    <w:rsid w:val="00F24D55"/>
    <w:rsid w:val="00F2651C"/>
    <w:rsid w:val="00F265CE"/>
    <w:rsid w:val="00F2663B"/>
    <w:rsid w:val="00F274AF"/>
    <w:rsid w:val="00F305DA"/>
    <w:rsid w:val="00F305DD"/>
    <w:rsid w:val="00F316E8"/>
    <w:rsid w:val="00F3341A"/>
    <w:rsid w:val="00F35BF7"/>
    <w:rsid w:val="00F363D3"/>
    <w:rsid w:val="00F366C9"/>
    <w:rsid w:val="00F3789B"/>
    <w:rsid w:val="00F37A57"/>
    <w:rsid w:val="00F4092C"/>
    <w:rsid w:val="00F409BE"/>
    <w:rsid w:val="00F41EFB"/>
    <w:rsid w:val="00F43AA5"/>
    <w:rsid w:val="00F43D0B"/>
    <w:rsid w:val="00F43EEE"/>
    <w:rsid w:val="00F4432E"/>
    <w:rsid w:val="00F4487B"/>
    <w:rsid w:val="00F45763"/>
    <w:rsid w:val="00F464CD"/>
    <w:rsid w:val="00F46906"/>
    <w:rsid w:val="00F46FBD"/>
    <w:rsid w:val="00F474DF"/>
    <w:rsid w:val="00F50399"/>
    <w:rsid w:val="00F503D1"/>
    <w:rsid w:val="00F51436"/>
    <w:rsid w:val="00F519AD"/>
    <w:rsid w:val="00F51BB5"/>
    <w:rsid w:val="00F523E7"/>
    <w:rsid w:val="00F52707"/>
    <w:rsid w:val="00F52ABD"/>
    <w:rsid w:val="00F52B14"/>
    <w:rsid w:val="00F53529"/>
    <w:rsid w:val="00F53DB6"/>
    <w:rsid w:val="00F5401F"/>
    <w:rsid w:val="00F5410A"/>
    <w:rsid w:val="00F54466"/>
    <w:rsid w:val="00F547D9"/>
    <w:rsid w:val="00F549CE"/>
    <w:rsid w:val="00F55253"/>
    <w:rsid w:val="00F553DC"/>
    <w:rsid w:val="00F5609C"/>
    <w:rsid w:val="00F565E9"/>
    <w:rsid w:val="00F56DDA"/>
    <w:rsid w:val="00F61A2F"/>
    <w:rsid w:val="00F62324"/>
    <w:rsid w:val="00F62717"/>
    <w:rsid w:val="00F62BF5"/>
    <w:rsid w:val="00F636B3"/>
    <w:rsid w:val="00F63E2E"/>
    <w:rsid w:val="00F6536B"/>
    <w:rsid w:val="00F65BB6"/>
    <w:rsid w:val="00F65C3F"/>
    <w:rsid w:val="00F6631B"/>
    <w:rsid w:val="00F66E4C"/>
    <w:rsid w:val="00F70007"/>
    <w:rsid w:val="00F712C8"/>
    <w:rsid w:val="00F7182C"/>
    <w:rsid w:val="00F72EA1"/>
    <w:rsid w:val="00F7338A"/>
    <w:rsid w:val="00F74104"/>
    <w:rsid w:val="00F74433"/>
    <w:rsid w:val="00F747C4"/>
    <w:rsid w:val="00F74A2C"/>
    <w:rsid w:val="00F76A85"/>
    <w:rsid w:val="00F77647"/>
    <w:rsid w:val="00F81391"/>
    <w:rsid w:val="00F82640"/>
    <w:rsid w:val="00F83E47"/>
    <w:rsid w:val="00F83EE1"/>
    <w:rsid w:val="00F8442D"/>
    <w:rsid w:val="00F84971"/>
    <w:rsid w:val="00F84FA1"/>
    <w:rsid w:val="00F854CF"/>
    <w:rsid w:val="00F85A94"/>
    <w:rsid w:val="00F85E0E"/>
    <w:rsid w:val="00F8675F"/>
    <w:rsid w:val="00F87A20"/>
    <w:rsid w:val="00F90557"/>
    <w:rsid w:val="00F9083F"/>
    <w:rsid w:val="00F9252E"/>
    <w:rsid w:val="00F92B4F"/>
    <w:rsid w:val="00F936A4"/>
    <w:rsid w:val="00F938D9"/>
    <w:rsid w:val="00F93BE7"/>
    <w:rsid w:val="00F9497B"/>
    <w:rsid w:val="00F94F07"/>
    <w:rsid w:val="00F952F3"/>
    <w:rsid w:val="00F95CDC"/>
    <w:rsid w:val="00F95E5F"/>
    <w:rsid w:val="00F95FE5"/>
    <w:rsid w:val="00F96A2A"/>
    <w:rsid w:val="00F97812"/>
    <w:rsid w:val="00F97D84"/>
    <w:rsid w:val="00FA0105"/>
    <w:rsid w:val="00FA0900"/>
    <w:rsid w:val="00FA1300"/>
    <w:rsid w:val="00FA1707"/>
    <w:rsid w:val="00FA1C4C"/>
    <w:rsid w:val="00FA3352"/>
    <w:rsid w:val="00FA3579"/>
    <w:rsid w:val="00FA35AC"/>
    <w:rsid w:val="00FA3FFD"/>
    <w:rsid w:val="00FA4D11"/>
    <w:rsid w:val="00FA6C52"/>
    <w:rsid w:val="00FA7E0C"/>
    <w:rsid w:val="00FB03BE"/>
    <w:rsid w:val="00FB0F9D"/>
    <w:rsid w:val="00FB1C71"/>
    <w:rsid w:val="00FB3648"/>
    <w:rsid w:val="00FB369B"/>
    <w:rsid w:val="00FB4FD2"/>
    <w:rsid w:val="00FB5013"/>
    <w:rsid w:val="00FB6064"/>
    <w:rsid w:val="00FB7068"/>
    <w:rsid w:val="00FB7C79"/>
    <w:rsid w:val="00FB7D39"/>
    <w:rsid w:val="00FC04E2"/>
    <w:rsid w:val="00FC064B"/>
    <w:rsid w:val="00FC11C2"/>
    <w:rsid w:val="00FC1601"/>
    <w:rsid w:val="00FC22FC"/>
    <w:rsid w:val="00FC2C70"/>
    <w:rsid w:val="00FC3DCA"/>
    <w:rsid w:val="00FC4207"/>
    <w:rsid w:val="00FC458E"/>
    <w:rsid w:val="00FC4993"/>
    <w:rsid w:val="00FC56D7"/>
    <w:rsid w:val="00FC5A0C"/>
    <w:rsid w:val="00FC6FCE"/>
    <w:rsid w:val="00FD0330"/>
    <w:rsid w:val="00FD0CA3"/>
    <w:rsid w:val="00FD25C2"/>
    <w:rsid w:val="00FD3619"/>
    <w:rsid w:val="00FD3F8A"/>
    <w:rsid w:val="00FD413B"/>
    <w:rsid w:val="00FD6341"/>
    <w:rsid w:val="00FE0030"/>
    <w:rsid w:val="00FE1937"/>
    <w:rsid w:val="00FE20FF"/>
    <w:rsid w:val="00FE3729"/>
    <w:rsid w:val="00FE4488"/>
    <w:rsid w:val="00FE5031"/>
    <w:rsid w:val="00FE58C7"/>
    <w:rsid w:val="00FE5AFE"/>
    <w:rsid w:val="00FE668C"/>
    <w:rsid w:val="00FE6CA2"/>
    <w:rsid w:val="00FE6FC7"/>
    <w:rsid w:val="00FE71B2"/>
    <w:rsid w:val="00FE7267"/>
    <w:rsid w:val="00FF045F"/>
    <w:rsid w:val="00FF0649"/>
    <w:rsid w:val="00FF09B4"/>
    <w:rsid w:val="00FF0AB6"/>
    <w:rsid w:val="00FF0BEE"/>
    <w:rsid w:val="00FF1EFC"/>
    <w:rsid w:val="00FF2144"/>
    <w:rsid w:val="00FF2CA4"/>
    <w:rsid w:val="00FF35FF"/>
    <w:rsid w:val="00FF458C"/>
    <w:rsid w:val="00FF55E8"/>
    <w:rsid w:val="00FF6006"/>
    <w:rsid w:val="00FF6387"/>
    <w:rsid w:val="00FF64A5"/>
    <w:rsid w:val="00FF709E"/>
    <w:rsid w:val="1B359007"/>
    <w:rsid w:val="2614719F"/>
    <w:rsid w:val="390D395F"/>
    <w:rsid w:val="518AC99E"/>
    <w:rsid w:val="7240B4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F06CB"/>
  <w15:chartTrackingRefBased/>
  <w15:docId w15:val="{FE17B00D-37D3-4E6B-A618-0E9A0447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24CF"/>
    <w:pPr>
      <w:widowControl w:val="0"/>
      <w:jc w:val="both"/>
    </w:pPr>
  </w:style>
  <w:style w:type="paragraph" w:styleId="1">
    <w:name w:val="heading 1"/>
    <w:basedOn w:val="a"/>
    <w:next w:val="a"/>
    <w:link w:val="10"/>
    <w:qFormat/>
    <w:rsid w:val="00CB7737"/>
    <w:pPr>
      <w:keepNext/>
      <w:keepLines/>
      <w:spacing w:before="280" w:after="80"/>
      <w:outlineLvl w:val="0"/>
    </w:pPr>
    <w:rPr>
      <w:rFonts w:asciiTheme="majorHAnsi" w:eastAsia="Times New Roman" w:hAnsiTheme="majorHAnsi" w:cstheme="majorBidi"/>
      <w:color w:val="000000" w:themeColor="text1"/>
      <w:szCs w:val="32"/>
    </w:rPr>
  </w:style>
  <w:style w:type="paragraph" w:styleId="2">
    <w:name w:val="heading 2"/>
    <w:basedOn w:val="a"/>
    <w:next w:val="a"/>
    <w:link w:val="20"/>
    <w:unhideWhenUsed/>
    <w:qFormat/>
    <w:rsid w:val="00CB7737"/>
    <w:pPr>
      <w:keepNext/>
      <w:keepLines/>
      <w:spacing w:before="160" w:after="80"/>
      <w:outlineLvl w:val="1"/>
    </w:pPr>
    <w:rPr>
      <w:rFonts w:asciiTheme="majorHAnsi" w:eastAsia="Times New Roman" w:hAnsiTheme="majorHAnsi" w:cstheme="majorBidi"/>
      <w:color w:val="000000" w:themeColor="text1"/>
      <w:szCs w:val="28"/>
    </w:rPr>
  </w:style>
  <w:style w:type="paragraph" w:styleId="3">
    <w:name w:val="heading 3"/>
    <w:basedOn w:val="a"/>
    <w:next w:val="a"/>
    <w:link w:val="30"/>
    <w:uiPriority w:val="9"/>
    <w:unhideWhenUsed/>
    <w:qFormat/>
    <w:rsid w:val="00093673"/>
    <w:pPr>
      <w:keepNext/>
      <w:keepLines/>
      <w:spacing w:before="160" w:after="80"/>
      <w:outlineLvl w:val="2"/>
    </w:pPr>
    <w:rPr>
      <w:rFonts w:asciiTheme="majorHAnsi" w:eastAsia="Times New Roman" w:hAnsiTheme="majorHAnsi" w:cstheme="majorBidi"/>
      <w:color w:val="000000" w:themeColor="text1"/>
      <w:szCs w:val="24"/>
    </w:rPr>
  </w:style>
  <w:style w:type="paragraph" w:styleId="4">
    <w:name w:val="heading 4"/>
    <w:basedOn w:val="a"/>
    <w:next w:val="a"/>
    <w:link w:val="40"/>
    <w:uiPriority w:val="9"/>
    <w:unhideWhenUsed/>
    <w:qFormat/>
    <w:rsid w:val="00B7380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7380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7380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7380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7380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7380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B7737"/>
    <w:rPr>
      <w:rFonts w:asciiTheme="majorHAnsi" w:eastAsia="Times New Roman" w:hAnsiTheme="majorHAnsi" w:cstheme="majorBidi"/>
      <w:color w:val="000000" w:themeColor="text1"/>
      <w:szCs w:val="32"/>
    </w:rPr>
  </w:style>
  <w:style w:type="character" w:customStyle="1" w:styleId="20">
    <w:name w:val="見出し 2 (文字)"/>
    <w:basedOn w:val="a0"/>
    <w:link w:val="2"/>
    <w:uiPriority w:val="9"/>
    <w:rsid w:val="00CB7737"/>
    <w:rPr>
      <w:rFonts w:asciiTheme="majorHAnsi" w:eastAsia="Times New Roman" w:hAnsiTheme="majorHAnsi" w:cstheme="majorBidi"/>
      <w:color w:val="000000" w:themeColor="text1"/>
      <w:szCs w:val="28"/>
    </w:rPr>
  </w:style>
  <w:style w:type="character" w:customStyle="1" w:styleId="30">
    <w:name w:val="見出し 3 (文字)"/>
    <w:basedOn w:val="a0"/>
    <w:link w:val="3"/>
    <w:uiPriority w:val="9"/>
    <w:rsid w:val="00093673"/>
    <w:rPr>
      <w:rFonts w:asciiTheme="majorHAnsi" w:eastAsia="Times New Roman" w:hAnsiTheme="majorHAnsi" w:cstheme="majorBidi"/>
      <w:color w:val="000000" w:themeColor="text1"/>
      <w:szCs w:val="24"/>
    </w:rPr>
  </w:style>
  <w:style w:type="character" w:customStyle="1" w:styleId="40">
    <w:name w:val="見出し 4 (文字)"/>
    <w:basedOn w:val="a0"/>
    <w:link w:val="4"/>
    <w:uiPriority w:val="9"/>
    <w:rsid w:val="00B7380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7380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7380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7380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7380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7380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7380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7380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7380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7380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7380F"/>
    <w:pPr>
      <w:spacing w:before="160" w:after="160"/>
      <w:jc w:val="center"/>
    </w:pPr>
    <w:rPr>
      <w:i/>
      <w:iCs/>
      <w:color w:val="404040" w:themeColor="text1" w:themeTint="BF"/>
    </w:rPr>
  </w:style>
  <w:style w:type="character" w:customStyle="1" w:styleId="a8">
    <w:name w:val="引用文 (文字)"/>
    <w:basedOn w:val="a0"/>
    <w:link w:val="a7"/>
    <w:uiPriority w:val="29"/>
    <w:rsid w:val="00B7380F"/>
    <w:rPr>
      <w:i/>
      <w:iCs/>
      <w:color w:val="404040" w:themeColor="text1" w:themeTint="BF"/>
    </w:rPr>
  </w:style>
  <w:style w:type="paragraph" w:styleId="a9">
    <w:name w:val="List Paragraph"/>
    <w:basedOn w:val="a"/>
    <w:uiPriority w:val="34"/>
    <w:qFormat/>
    <w:rsid w:val="00B7380F"/>
    <w:pPr>
      <w:ind w:left="720"/>
      <w:contextualSpacing/>
    </w:pPr>
  </w:style>
  <w:style w:type="character" w:styleId="21">
    <w:name w:val="Intense Emphasis"/>
    <w:basedOn w:val="a0"/>
    <w:uiPriority w:val="21"/>
    <w:qFormat/>
    <w:rsid w:val="00B7380F"/>
    <w:rPr>
      <w:i/>
      <w:iCs/>
      <w:color w:val="2F5496" w:themeColor="accent1" w:themeShade="BF"/>
    </w:rPr>
  </w:style>
  <w:style w:type="paragraph" w:styleId="22">
    <w:name w:val="Intense Quote"/>
    <w:basedOn w:val="a"/>
    <w:next w:val="a"/>
    <w:link w:val="23"/>
    <w:uiPriority w:val="30"/>
    <w:qFormat/>
    <w:rsid w:val="00B738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B7380F"/>
    <w:rPr>
      <w:i/>
      <w:iCs/>
      <w:color w:val="2F5496" w:themeColor="accent1" w:themeShade="BF"/>
    </w:rPr>
  </w:style>
  <w:style w:type="character" w:styleId="24">
    <w:name w:val="Intense Reference"/>
    <w:basedOn w:val="a0"/>
    <w:uiPriority w:val="32"/>
    <w:qFormat/>
    <w:rsid w:val="00B7380F"/>
    <w:rPr>
      <w:b/>
      <w:bCs/>
      <w:smallCaps/>
      <w:color w:val="2F5496" w:themeColor="accent1" w:themeShade="BF"/>
      <w:spacing w:val="5"/>
    </w:rPr>
  </w:style>
  <w:style w:type="character" w:styleId="aa">
    <w:name w:val="Hyperlink"/>
    <w:basedOn w:val="a0"/>
    <w:uiPriority w:val="99"/>
    <w:unhideWhenUsed/>
    <w:rsid w:val="0046568E"/>
    <w:rPr>
      <w:color w:val="0563C1" w:themeColor="hyperlink"/>
      <w:u w:val="single"/>
    </w:rPr>
  </w:style>
  <w:style w:type="character" w:customStyle="1" w:styleId="11">
    <w:name w:val="未解決のメンション1"/>
    <w:basedOn w:val="a0"/>
    <w:uiPriority w:val="99"/>
    <w:semiHidden/>
    <w:unhideWhenUsed/>
    <w:rsid w:val="0046568E"/>
    <w:rPr>
      <w:color w:val="605E5C"/>
      <w:shd w:val="clear" w:color="auto" w:fill="E1DFDD"/>
    </w:rPr>
  </w:style>
  <w:style w:type="character" w:styleId="ab">
    <w:name w:val="annotation reference"/>
    <w:basedOn w:val="a0"/>
    <w:uiPriority w:val="99"/>
    <w:semiHidden/>
    <w:unhideWhenUsed/>
    <w:rsid w:val="00C600DE"/>
    <w:rPr>
      <w:sz w:val="18"/>
      <w:szCs w:val="18"/>
    </w:rPr>
  </w:style>
  <w:style w:type="paragraph" w:styleId="ac">
    <w:name w:val="annotation text"/>
    <w:basedOn w:val="a"/>
    <w:link w:val="ad"/>
    <w:uiPriority w:val="99"/>
    <w:unhideWhenUsed/>
    <w:rsid w:val="00C600DE"/>
    <w:pPr>
      <w:jc w:val="left"/>
    </w:pPr>
  </w:style>
  <w:style w:type="character" w:customStyle="1" w:styleId="ad">
    <w:name w:val="コメント文字列 (文字)"/>
    <w:basedOn w:val="a0"/>
    <w:link w:val="ac"/>
    <w:uiPriority w:val="99"/>
    <w:rsid w:val="00C600DE"/>
  </w:style>
  <w:style w:type="paragraph" w:styleId="ae">
    <w:name w:val="annotation subject"/>
    <w:basedOn w:val="ac"/>
    <w:next w:val="ac"/>
    <w:link w:val="af"/>
    <w:uiPriority w:val="99"/>
    <w:semiHidden/>
    <w:unhideWhenUsed/>
    <w:rsid w:val="00C600DE"/>
    <w:rPr>
      <w:b/>
      <w:bCs/>
    </w:rPr>
  </w:style>
  <w:style w:type="character" w:customStyle="1" w:styleId="af">
    <w:name w:val="コメント内容 (文字)"/>
    <w:basedOn w:val="ad"/>
    <w:link w:val="ae"/>
    <w:uiPriority w:val="99"/>
    <w:semiHidden/>
    <w:rsid w:val="00C600DE"/>
    <w:rPr>
      <w:b/>
      <w:bCs/>
    </w:rPr>
  </w:style>
  <w:style w:type="paragraph" w:styleId="af0">
    <w:name w:val="Bibliography"/>
    <w:basedOn w:val="a"/>
    <w:next w:val="a"/>
    <w:uiPriority w:val="37"/>
    <w:unhideWhenUsed/>
    <w:rsid w:val="00831A3B"/>
    <w:pPr>
      <w:tabs>
        <w:tab w:val="left" w:pos="384"/>
      </w:tabs>
      <w:spacing w:line="480" w:lineRule="auto"/>
      <w:ind w:left="384" w:hanging="384"/>
    </w:pPr>
  </w:style>
  <w:style w:type="paragraph" w:styleId="af1">
    <w:name w:val="header"/>
    <w:basedOn w:val="a"/>
    <w:link w:val="af2"/>
    <w:uiPriority w:val="99"/>
    <w:unhideWhenUsed/>
    <w:rsid w:val="007C0516"/>
    <w:pPr>
      <w:tabs>
        <w:tab w:val="center" w:pos="4252"/>
        <w:tab w:val="right" w:pos="8504"/>
      </w:tabs>
      <w:snapToGrid w:val="0"/>
    </w:pPr>
  </w:style>
  <w:style w:type="character" w:customStyle="1" w:styleId="af2">
    <w:name w:val="ヘッダー (文字)"/>
    <w:basedOn w:val="a0"/>
    <w:link w:val="af1"/>
    <w:uiPriority w:val="99"/>
    <w:rsid w:val="007C0516"/>
  </w:style>
  <w:style w:type="paragraph" w:styleId="af3">
    <w:name w:val="footer"/>
    <w:basedOn w:val="a"/>
    <w:link w:val="af4"/>
    <w:uiPriority w:val="99"/>
    <w:unhideWhenUsed/>
    <w:rsid w:val="007C0516"/>
    <w:pPr>
      <w:tabs>
        <w:tab w:val="center" w:pos="4252"/>
        <w:tab w:val="right" w:pos="8504"/>
      </w:tabs>
      <w:snapToGrid w:val="0"/>
    </w:pPr>
  </w:style>
  <w:style w:type="character" w:customStyle="1" w:styleId="af4">
    <w:name w:val="フッター (文字)"/>
    <w:basedOn w:val="a0"/>
    <w:link w:val="af3"/>
    <w:uiPriority w:val="99"/>
    <w:rsid w:val="007C0516"/>
  </w:style>
  <w:style w:type="paragraph" w:customStyle="1" w:styleId="my-0">
    <w:name w:val="my-0"/>
    <w:basedOn w:val="a"/>
    <w:rsid w:val="003139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3139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y-2">
    <w:name w:val="my-2"/>
    <w:basedOn w:val="a"/>
    <w:rsid w:val="009106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5">
    <w:name w:val="Table Grid"/>
    <w:basedOn w:val="a1"/>
    <w:uiPriority w:val="39"/>
    <w:rsid w:val="00BA0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823654"/>
    <w:rPr>
      <w:color w:val="666666"/>
    </w:rPr>
  </w:style>
  <w:style w:type="paragraph" w:styleId="af7">
    <w:name w:val="No Spacing"/>
    <w:uiPriority w:val="1"/>
    <w:qFormat/>
    <w:rsid w:val="00F37A57"/>
    <w:pPr>
      <w:widowControl w:val="0"/>
      <w:jc w:val="both"/>
    </w:pPr>
  </w:style>
  <w:style w:type="paragraph" w:customStyle="1" w:styleId="paragraph">
    <w:name w:val="paragraph"/>
    <w:basedOn w:val="a"/>
    <w:rsid w:val="00B523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op">
    <w:name w:val="eop"/>
    <w:basedOn w:val="a0"/>
    <w:rsid w:val="00B52338"/>
  </w:style>
  <w:style w:type="character" w:customStyle="1" w:styleId="normaltextrun">
    <w:name w:val="normaltextrun"/>
    <w:basedOn w:val="a0"/>
    <w:rsid w:val="00B52338"/>
  </w:style>
  <w:style w:type="character" w:styleId="af8">
    <w:name w:val="FollowedHyperlink"/>
    <w:basedOn w:val="a0"/>
    <w:uiPriority w:val="99"/>
    <w:semiHidden/>
    <w:unhideWhenUsed/>
    <w:rsid w:val="00A7757F"/>
    <w:rPr>
      <w:color w:val="954F72" w:themeColor="followedHyperlink"/>
      <w:u w:val="single"/>
    </w:rPr>
  </w:style>
  <w:style w:type="paragraph" w:styleId="af9">
    <w:name w:val="caption"/>
    <w:basedOn w:val="a"/>
    <w:next w:val="a"/>
    <w:uiPriority w:val="35"/>
    <w:unhideWhenUsed/>
    <w:qFormat/>
    <w:rsid w:val="007B09C9"/>
    <w:pPr>
      <w:spacing w:after="160" w:line="259" w:lineRule="auto"/>
    </w:pPr>
    <w:rPr>
      <w:rFonts w:asciiTheme="minorHAnsi" w:hAnsiTheme="minorHAnsi"/>
      <w:b/>
      <w:bCs/>
    </w:rPr>
  </w:style>
  <w:style w:type="paragraph" w:styleId="afa">
    <w:name w:val="Revision"/>
    <w:hidden/>
    <w:uiPriority w:val="99"/>
    <w:semiHidden/>
    <w:rsid w:val="00CA79FA"/>
  </w:style>
  <w:style w:type="paragraph" w:styleId="afb">
    <w:name w:val="Balloon Text"/>
    <w:basedOn w:val="a"/>
    <w:link w:val="afc"/>
    <w:uiPriority w:val="99"/>
    <w:semiHidden/>
    <w:unhideWhenUsed/>
    <w:rsid w:val="001F3E34"/>
    <w:rPr>
      <w:rFonts w:ascii="Segoe UI" w:hAnsi="Segoe UI" w:cs="Segoe UI"/>
      <w:sz w:val="18"/>
      <w:szCs w:val="18"/>
    </w:rPr>
  </w:style>
  <w:style w:type="character" w:customStyle="1" w:styleId="afc">
    <w:name w:val="吹き出し (文字)"/>
    <w:basedOn w:val="a0"/>
    <w:link w:val="afb"/>
    <w:uiPriority w:val="99"/>
    <w:semiHidden/>
    <w:rsid w:val="001F3E34"/>
    <w:rPr>
      <w:rFonts w:ascii="Segoe UI" w:hAnsi="Segoe UI" w:cs="Segoe UI"/>
      <w:sz w:val="18"/>
      <w:szCs w:val="18"/>
    </w:rPr>
  </w:style>
  <w:style w:type="character" w:styleId="afd">
    <w:name w:val="Strong"/>
    <w:basedOn w:val="a0"/>
    <w:uiPriority w:val="22"/>
    <w:qFormat/>
    <w:rsid w:val="008E6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hi-tian@phs.osaka-u.ac.j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lain003.phs.osaka-u.ac.jp/AES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554CA-328F-46F6-9CC2-E9E60FD8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33</Pages>
  <Words>8633</Words>
  <Characters>49212</Characters>
  <Application>Microsoft Office Word</Application>
  <DocSecurity>0</DocSecurity>
  <Lines>410</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ASANO Hiroto</cp:lastModifiedBy>
  <cp:revision>272</cp:revision>
  <dcterms:created xsi:type="dcterms:W3CDTF">2026-01-22T00:39:00Z</dcterms:created>
  <dcterms:modified xsi:type="dcterms:W3CDTF">2026-02-19T05:14:00Z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f6d38f3e-14fb-4e5d-a141-6f6c05ee145a</vt:lpwstr>
  </property>
  <property fmtid="{D5CDD505-2E9C-101B-9397-08002B2CF9AE}" pid="3" name="ZOTERO_PREF_1">
    <vt:lpwstr>&lt;data data-version="3" zotero-version="7.0.27"&gt;&lt;session id="pvE94xLY"/&gt;&lt;style id="http://www.zotero.org/styles/nature-doi" hasBibliography="1" bibliographyStyleHasBeenSet="1"/&gt;&lt;prefs&gt;&lt;pref name="fieldType" value="Field"/&gt;&lt;/prefs&gt;&lt;/data&gt;</vt:lpwstr>
  </property>
</Properties>
</file>