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6D04" w14:textId="5574A45C" w:rsidR="009C2AC1" w:rsidRDefault="009C2AC1" w:rsidP="00CD475B">
      <w:pPr>
        <w:pStyle w:val="BodyA"/>
        <w:spacing w:before="200" w:after="240" w:line="240" w:lineRule="auto"/>
      </w:pPr>
    </w:p>
    <w:p w14:paraId="04F1ED47" w14:textId="77777777" w:rsidR="009C2AC1" w:rsidRDefault="00000000">
      <w:pPr>
        <w:pStyle w:val="BodyA"/>
        <w:shd w:val="clear" w:color="auto" w:fill="FFFFFF"/>
        <w:spacing w:after="180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Table 1. Variable source, associated hypothesis, level of data, and inclusion in reduced model</w:t>
      </w:r>
    </w:p>
    <w:p w14:paraId="50286075" w14:textId="77777777" w:rsidR="009C2AC1" w:rsidRDefault="009C2AC1">
      <w:pPr>
        <w:pStyle w:val="BodyA"/>
        <w:spacing w:before="200" w:after="240" w:line="240" w:lineRule="auto"/>
        <w:ind w:left="72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0"/>
        <w:gridCol w:w="4803"/>
        <w:gridCol w:w="2756"/>
      </w:tblGrid>
      <w:tr w:rsidR="009C2AC1" w14:paraId="0312372D" w14:textId="77777777">
        <w:trPr>
          <w:trHeight w:val="62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95407" w14:textId="77777777" w:rsidR="009C2AC1" w:rsidRDefault="009C2AC1"/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5D1E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Source: CGSS or  NBSC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63A2B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Associated with Hypothesis?</w:t>
            </w:r>
          </w:p>
        </w:tc>
      </w:tr>
      <w:tr w:rsidR="009C2AC1" w14:paraId="481488A5" w14:textId="77777777">
        <w:trPr>
          <w:trHeight w:val="62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B6B9F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Zero Fertility Desire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CAE66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CGSS: Without policy restrictions how many children do you want?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3E5F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N/A (dependent variable)</w:t>
            </w:r>
          </w:p>
        </w:tc>
      </w:tr>
      <w:tr w:rsidR="009C2AC1" w14:paraId="1D12E822" w14:textId="77777777">
        <w:trPr>
          <w:trHeight w:val="32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AFC61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0F84B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CGSS: gender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23409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Hypothesis 3,4,5</w:t>
            </w:r>
          </w:p>
        </w:tc>
      </w:tr>
      <w:tr w:rsidR="009C2AC1" w14:paraId="60CCB403" w14:textId="77777777">
        <w:trPr>
          <w:trHeight w:val="62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0FEE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Rural Hukou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00469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CGSS: what is your current household registration status?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6202A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Hypothesis 2</w:t>
            </w:r>
          </w:p>
        </w:tc>
      </w:tr>
      <w:tr w:rsidR="009C2AC1" w14:paraId="2B2E76FB" w14:textId="77777777">
        <w:trPr>
          <w:trHeight w:val="48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2BF3E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F736E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CGSS: what is your highest level of education?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C2EDB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Hypothesis 1</w:t>
            </w:r>
          </w:p>
        </w:tc>
      </w:tr>
      <w:tr w:rsidR="009C2AC1" w14:paraId="6F14273D" w14:textId="77777777">
        <w:trPr>
          <w:trHeight w:val="48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327B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Student status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87479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CGSS: what is your highest level of education?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90CFE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Control</w:t>
            </w:r>
          </w:p>
        </w:tc>
      </w:tr>
      <w:tr w:rsidR="009C2AC1" w14:paraId="33EC4F13" w14:textId="77777777">
        <w:trPr>
          <w:trHeight w:val="665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24D7D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Parent College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397D6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CGSS: What is the highest level of education received by your father and/or your mother?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4EE72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Control</w:t>
            </w:r>
          </w:p>
        </w:tc>
      </w:tr>
      <w:tr w:rsidR="009C2AC1" w14:paraId="57B71A8A" w14:textId="77777777">
        <w:trPr>
          <w:trHeight w:val="62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26692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Full time mom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59A45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CGSS: What is your mother’s employment status when you were 14?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C41DA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Control</w:t>
            </w:r>
          </w:p>
        </w:tc>
      </w:tr>
      <w:tr w:rsidR="009C2AC1" w14:paraId="72549625" w14:textId="77777777">
        <w:trPr>
          <w:trHeight w:val="62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211E0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Has partner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8DDF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CGSS: what is your marital status? (Married, cohabiting)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39980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Control</w:t>
            </w:r>
          </w:p>
        </w:tc>
      </w:tr>
      <w:tr w:rsidR="009C2AC1" w14:paraId="6152D415" w14:textId="77777777">
        <w:trPr>
          <w:trHeight w:val="32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0F0B2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Has sibling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9BD4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CGSS: family members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CF294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Control</w:t>
            </w:r>
          </w:p>
        </w:tc>
      </w:tr>
      <w:tr w:rsidR="009C2AC1" w14:paraId="499573DB" w14:textId="77777777">
        <w:trPr>
          <w:trHeight w:val="32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F0BEF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Has brother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9B5A8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CGSS: family members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A9BBC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Control</w:t>
            </w:r>
          </w:p>
        </w:tc>
      </w:tr>
      <w:tr w:rsidR="009C2AC1" w14:paraId="63F8D28F" w14:textId="77777777">
        <w:trPr>
          <w:trHeight w:val="92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A7C5E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Subjective Income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1D387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CGSS: What do you think your family income compared to an average Chinese family when you were 15?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CB06C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Control</w:t>
            </w:r>
          </w:p>
        </w:tc>
      </w:tr>
      <w:tr w:rsidR="009C2AC1" w14:paraId="0FBDE0B3" w14:textId="77777777">
        <w:trPr>
          <w:trHeight w:val="62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2A20C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Self-rated Health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F87FD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CGSS: How do you rate your current health condition on a 5-point scale?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0E8BF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Control</w:t>
            </w:r>
          </w:p>
        </w:tc>
      </w:tr>
      <w:tr w:rsidR="009C2AC1" w14:paraId="4F668CFA" w14:textId="77777777">
        <w:trPr>
          <w:trHeight w:val="182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1E96E" w14:textId="77777777" w:rsidR="009C2AC1" w:rsidRDefault="00000000">
            <w:pPr>
              <w:pStyle w:val="BodyA"/>
              <w:spacing w:line="240" w:lineRule="auto"/>
              <w:rPr>
                <w:rStyle w:val="Non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Economic Region</w:t>
            </w:r>
          </w:p>
          <w:p w14:paraId="0144CF7F" w14:textId="77777777" w:rsidR="009C2AC1" w:rsidRDefault="00000000">
            <w:pPr>
              <w:pStyle w:val="BodyA"/>
              <w:spacing w:line="240" w:lineRule="auto"/>
              <w:rPr>
                <w:rStyle w:val="Non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(East==1, Middle==2,</w:t>
            </w:r>
          </w:p>
          <w:p w14:paraId="47D8E6E6" w14:textId="77777777" w:rsidR="009C2AC1" w:rsidRDefault="00000000">
            <w:pPr>
              <w:pStyle w:val="BodyA"/>
              <w:spacing w:line="240" w:lineRule="auto"/>
              <w:rPr>
                <w:rStyle w:val="Non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Northeast==3,</w:t>
            </w:r>
          </w:p>
          <w:p w14:paraId="671ED306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West==4)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2733C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CGSS: interview location, provincial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B8769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Control</w:t>
            </w:r>
          </w:p>
        </w:tc>
      </w:tr>
    </w:tbl>
    <w:p w14:paraId="2C3B37C0" w14:textId="77777777" w:rsidR="009C2AC1" w:rsidRDefault="009C2AC1">
      <w:pPr>
        <w:pStyle w:val="BodyA"/>
        <w:widowControl w:val="0"/>
        <w:spacing w:before="200" w:after="240" w:line="240" w:lineRule="auto"/>
        <w:ind w:left="108" w:hanging="108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76D68DEC" w14:textId="77777777" w:rsidR="009C2AC1" w:rsidRDefault="009C2AC1">
      <w:pPr>
        <w:pStyle w:val="BodyA"/>
        <w:widowControl w:val="0"/>
        <w:spacing w:before="200" w:after="24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200F9A63" w14:textId="77777777" w:rsidR="009C2AC1" w:rsidRDefault="009C2AC1">
      <w:pPr>
        <w:pStyle w:val="BodyA"/>
        <w:shd w:val="clear" w:color="auto" w:fill="FFFFFF"/>
        <w:spacing w:after="18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11A280FD" w14:textId="77777777" w:rsidR="009C2AC1" w:rsidRDefault="00000000">
      <w:pPr>
        <w:pStyle w:val="BodyA"/>
        <w:shd w:val="clear" w:color="auto" w:fill="FFFFFF"/>
        <w:spacing w:after="180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Table 2. Young adults with zero fertility desire, grouped by education (percentage)</w:t>
      </w:r>
    </w:p>
    <w:p w14:paraId="223B2628" w14:textId="77777777" w:rsidR="009C2AC1" w:rsidRDefault="009C2AC1">
      <w:pPr>
        <w:pStyle w:val="BodyA"/>
        <w:spacing w:before="200" w:after="240" w:line="240" w:lineRule="auto"/>
        <w:ind w:left="72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08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25"/>
        <w:gridCol w:w="885"/>
        <w:gridCol w:w="1155"/>
        <w:gridCol w:w="1155"/>
        <w:gridCol w:w="1155"/>
        <w:gridCol w:w="1155"/>
        <w:gridCol w:w="1155"/>
      </w:tblGrid>
      <w:tr w:rsidR="009C2AC1" w14:paraId="2CE3CE1C" w14:textId="77777777">
        <w:trPr>
          <w:trHeight w:val="62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38181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Highest Education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C1BD0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3CE43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C8FB3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171B6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428FB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52B88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9C2AC1" w14:paraId="02E61301" w14:textId="77777777">
        <w:trPr>
          <w:trHeight w:val="62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6C983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9 years or less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D690E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10.23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3F5FB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6.17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08B5B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EE8F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12.47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2CF3F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12.43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581EB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5.78</w:t>
            </w:r>
          </w:p>
        </w:tc>
      </w:tr>
      <w:tr w:rsidR="009C2AC1" w14:paraId="3F57793E" w14:textId="77777777">
        <w:trPr>
          <w:trHeight w:val="62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BFF0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Secondary 9+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74B55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22.50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1D100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38.38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BADAA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31.58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2233B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29.87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E6B6C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23.15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BD1AC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19.05</w:t>
            </w:r>
          </w:p>
        </w:tc>
      </w:tr>
      <w:tr w:rsidR="009C2AC1" w14:paraId="50F31BCE" w14:textId="77777777">
        <w:trPr>
          <w:trHeight w:val="92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31D7C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Post Secondary 12+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EEF58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67.27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0DFE1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55.46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99D92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57.4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EB3EC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57.65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91BF5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64.42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25AD2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75.15</w:t>
            </w:r>
          </w:p>
        </w:tc>
      </w:tr>
    </w:tbl>
    <w:p w14:paraId="197E8EDF" w14:textId="77777777" w:rsidR="009C2AC1" w:rsidRDefault="009C2AC1">
      <w:pPr>
        <w:pStyle w:val="BodyA"/>
        <w:widowControl w:val="0"/>
        <w:spacing w:before="200" w:after="240" w:line="240" w:lineRule="auto"/>
        <w:ind w:left="108" w:hanging="108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273BBD1B" w14:textId="77777777" w:rsidR="009C2AC1" w:rsidRDefault="009C2AC1">
      <w:pPr>
        <w:pStyle w:val="BodyA"/>
        <w:widowControl w:val="0"/>
        <w:spacing w:before="200" w:after="24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39D28236" w14:textId="77777777" w:rsidR="009C2AC1" w:rsidRDefault="009C2AC1">
      <w:pPr>
        <w:pStyle w:val="BodyA"/>
        <w:spacing w:before="200" w:after="240" w:line="240" w:lineRule="auto"/>
        <w:ind w:left="72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5BDA1D71" w14:textId="77777777" w:rsidR="009C2AC1" w:rsidRDefault="00000000">
      <w:pPr>
        <w:pStyle w:val="BodyA"/>
        <w:shd w:val="clear" w:color="auto" w:fill="FFFFFF"/>
        <w:spacing w:after="180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Table 3. Young adults with zero fertility desire, grouped by Hukou status (percentage)</w:t>
      </w:r>
    </w:p>
    <w:p w14:paraId="59A8715C" w14:textId="77777777" w:rsidR="009C2AC1" w:rsidRDefault="009C2AC1">
      <w:pPr>
        <w:pStyle w:val="BodyA"/>
        <w:spacing w:before="200" w:after="240" w:line="240" w:lineRule="auto"/>
        <w:ind w:left="72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1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</w:tblGrid>
      <w:tr w:rsidR="009C2AC1" w14:paraId="3F387BAF" w14:textId="77777777">
        <w:trPr>
          <w:trHeight w:val="32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1B32F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Hukou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3E6F7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08A37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33CD0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0F9CA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B8888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FB3B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1B48E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9C2AC1" w14:paraId="6049373D" w14:textId="77777777">
        <w:trPr>
          <w:trHeight w:val="32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DC914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Rural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802AB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33.91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B4472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43.79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D9997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61.53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9F6F7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47.07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45C03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45.11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AC9B7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61.63</w:t>
            </w:r>
          </w:p>
        </w:tc>
      </w:tr>
      <w:tr w:rsidR="009C2AC1" w14:paraId="385DC3D3" w14:textId="77777777">
        <w:trPr>
          <w:trHeight w:val="32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8FD1E" w14:textId="77777777" w:rsidR="009C2AC1" w:rsidRDefault="00000000">
            <w:pPr>
              <w:pStyle w:val="BodyA"/>
              <w:spacing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Urban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35F8F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66.09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5CDEF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56.21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A33A0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38.47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B46E1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52.93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B2A10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54.89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97943" w14:textId="77777777" w:rsidR="009C2AC1" w:rsidRDefault="00000000">
            <w:pPr>
              <w:pStyle w:val="BodyA"/>
              <w:spacing w:line="240" w:lineRule="auto"/>
              <w:jc w:val="right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38.37</w:t>
            </w:r>
          </w:p>
        </w:tc>
      </w:tr>
    </w:tbl>
    <w:p w14:paraId="002E503F" w14:textId="77777777" w:rsidR="009C2AC1" w:rsidRDefault="009C2AC1">
      <w:pPr>
        <w:pStyle w:val="BodyA"/>
        <w:widowControl w:val="0"/>
        <w:spacing w:before="200" w:after="240" w:line="240" w:lineRule="auto"/>
        <w:ind w:left="108" w:hanging="108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0BC92528" w14:textId="77777777" w:rsidR="009C2AC1" w:rsidRDefault="009C2AC1">
      <w:pPr>
        <w:pStyle w:val="BodyA"/>
        <w:widowControl w:val="0"/>
        <w:spacing w:before="200" w:after="24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3EA31FB6" w14:textId="77777777" w:rsidR="009C2AC1" w:rsidRDefault="009C2AC1">
      <w:pPr>
        <w:pStyle w:val="BodyA"/>
        <w:spacing w:before="200" w:after="24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13046978" w14:textId="77777777" w:rsidR="009C2AC1" w:rsidRDefault="009C2AC1">
      <w:pPr>
        <w:pStyle w:val="BodyA"/>
        <w:spacing w:before="200" w:after="24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2B4EDB6A" w14:textId="77777777" w:rsidR="009C2AC1" w:rsidRDefault="009C2AC1">
      <w:pPr>
        <w:pStyle w:val="BodyA"/>
        <w:spacing w:before="200" w:after="24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0B443B8A" w14:textId="77777777" w:rsidR="009C2AC1" w:rsidRDefault="009C2AC1">
      <w:pPr>
        <w:pStyle w:val="BodyA"/>
        <w:spacing w:before="200" w:after="24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53ACE24A" w14:textId="77777777" w:rsidR="009C2AC1" w:rsidRDefault="00000000">
      <w:pPr>
        <w:pStyle w:val="BodyA"/>
        <w:spacing w:before="200" w:after="240" w:line="240" w:lineRule="auto"/>
      </w:pPr>
      <w:r>
        <w:rPr>
          <w:rStyle w:val="None"/>
          <w:rFonts w:ascii="Arial Unicode MS" w:hAnsi="Arial Unicode MS"/>
          <w:sz w:val="24"/>
          <w:szCs w:val="24"/>
        </w:rPr>
        <w:br w:type="page"/>
      </w:r>
    </w:p>
    <w:p w14:paraId="2A7223D3" w14:textId="77777777" w:rsidR="009C2AC1" w:rsidRDefault="00000000">
      <w:pPr>
        <w:pStyle w:val="Body"/>
        <w:suppressAutoHyphens/>
        <w:outlineLvl w:val="0"/>
        <w:rPr>
          <w:rStyle w:val="Non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Table 4. Logistic Regressions of Zero Fertility Desire, Odds Ratios.</w:t>
      </w:r>
    </w:p>
    <w:p w14:paraId="77D5218D" w14:textId="77777777" w:rsidR="009C2AC1" w:rsidRDefault="00000000">
      <w:pPr>
        <w:pStyle w:val="Default"/>
        <w:spacing w:before="0" w:line="240" w:lineRule="auto"/>
        <w:rPr>
          <w:rStyle w:val="None"/>
          <w:rFonts w:ascii="Times New Roman" w:eastAsia="Times New Roman" w:hAnsi="Times New Roman" w:cs="Times New Roman"/>
          <w:sz w:val="32"/>
          <w:szCs w:val="32"/>
        </w:rPr>
      </w:pPr>
      <w:r>
        <w:rPr>
          <w:rStyle w:val="None"/>
          <w:rFonts w:ascii="Times New Roman" w:eastAsia="Times New Roman" w:hAnsi="Times New Roman" w:cs="Times New Roman"/>
          <w:noProof/>
          <w:sz w:val="32"/>
          <w:szCs w:val="32"/>
        </w:rPr>
        <w:drawing>
          <wp:anchor distT="152400" distB="152400" distL="152400" distR="152400" simplePos="0" relativeHeight="251659264" behindDoc="0" locked="0" layoutInCell="1" allowOverlap="1" wp14:anchorId="5C86C163" wp14:editId="38B5ED40">
            <wp:simplePos x="0" y="0"/>
            <wp:positionH relativeFrom="page">
              <wp:posOffset>908050</wp:posOffset>
            </wp:positionH>
            <wp:positionV relativeFrom="page">
              <wp:posOffset>1412239</wp:posOffset>
            </wp:positionV>
            <wp:extent cx="5943600" cy="6594269"/>
            <wp:effectExtent l="0" t="0" r="0" b="0"/>
            <wp:wrapThrough wrapText="bothSides" distL="152400" distR="152400">
              <wp:wrapPolygon edited="1">
                <wp:start x="0" y="0"/>
                <wp:lineTo x="21601" y="0"/>
                <wp:lineTo x="21601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942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6751E80" w14:textId="77777777" w:rsidR="009C2AC1" w:rsidRDefault="009C2AC1">
      <w:pPr>
        <w:pStyle w:val="BodyA"/>
        <w:spacing w:before="200" w:after="24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161FED25" w14:textId="77777777" w:rsidR="009C2AC1" w:rsidRDefault="009C2AC1">
      <w:pPr>
        <w:pStyle w:val="BodyA"/>
        <w:spacing w:before="200" w:after="240" w:line="240" w:lineRule="auto"/>
        <w:sectPr w:rsidR="009C2AC1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1D95358" w14:textId="77777777" w:rsidR="009C2AC1" w:rsidRDefault="00000000">
      <w:pPr>
        <w:pStyle w:val="BodyA"/>
        <w:shd w:val="clear" w:color="auto" w:fill="FFFFFF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lastRenderedPageBreak/>
        <w:t>Table 5. Logistic Regression of Zero Fertilit</w:t>
      </w:r>
      <w:r>
        <w:rPr>
          <w:rStyle w:val="NoneA"/>
          <w:noProof/>
        </w:rPr>
        <w:drawing>
          <wp:anchor distT="152400" distB="152400" distL="152400" distR="152400" simplePos="0" relativeHeight="251660288" behindDoc="0" locked="0" layoutInCell="1" allowOverlap="1" wp14:anchorId="365B7483" wp14:editId="6D918B45">
            <wp:simplePos x="0" y="0"/>
            <wp:positionH relativeFrom="page">
              <wp:posOffset>914400</wp:posOffset>
            </wp:positionH>
            <wp:positionV relativeFrom="page">
              <wp:posOffset>1320800</wp:posOffset>
            </wp:positionV>
            <wp:extent cx="4503379" cy="5943600"/>
            <wp:effectExtent l="0" t="0" r="0" b="0"/>
            <wp:wrapThrough wrapText="bothSides" distL="152400" distR="152400">
              <wp:wrapPolygon edited="1">
                <wp:start x="0" y="0"/>
                <wp:lineTo x="21604" y="0"/>
                <wp:lineTo x="21604" y="21621"/>
                <wp:lineTo x="0" y="21621"/>
                <wp:lineTo x="0" y="0"/>
              </wp:wrapPolygon>
            </wp:wrapThrough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3379" cy="594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Hyperlink0"/>
          <w:rFonts w:eastAsia="Arial Unicode MS"/>
        </w:rPr>
        <w:t>y Desire with Gender x Education Interaction</w:t>
      </w:r>
    </w:p>
    <w:p w14:paraId="695F4BEE" w14:textId="77777777" w:rsidR="009C2AC1" w:rsidRDefault="00000000">
      <w:pPr>
        <w:pStyle w:val="BodyA"/>
        <w:widowControl w:val="0"/>
        <w:spacing w:line="240" w:lineRule="auto"/>
      </w:pPr>
      <w:r>
        <w:rPr>
          <w:rStyle w:val="None"/>
          <w:rFonts w:ascii="Arial Unicode MS" w:hAnsi="Arial Unicode MS"/>
        </w:rPr>
        <w:br w:type="page"/>
      </w:r>
    </w:p>
    <w:p w14:paraId="07F0D80F" w14:textId="77777777" w:rsidR="009C2AC1" w:rsidRDefault="00000000">
      <w:pPr>
        <w:pStyle w:val="BodyA"/>
        <w:shd w:val="clear" w:color="auto" w:fill="FFFFFF"/>
        <w:spacing w:after="180"/>
      </w:pPr>
      <w:r>
        <w:rPr>
          <w:rStyle w:val="Hyperlink0"/>
          <w:rFonts w:eastAsia="Arial Unicode MS"/>
        </w:rPr>
        <w:lastRenderedPageBreak/>
        <w:t>Table 6. Logistic Regression of Zero fertility Desire with Interaction Gender x Hukou</w:t>
      </w:r>
      <w:r>
        <w:rPr>
          <w:rStyle w:val="Hyperlink0"/>
          <w:rFonts w:eastAsia="Arial Unicode MS"/>
          <w:noProof/>
        </w:rPr>
        <w:drawing>
          <wp:anchor distT="152400" distB="152400" distL="152400" distR="152400" simplePos="0" relativeHeight="251661312" behindDoc="0" locked="0" layoutInCell="1" allowOverlap="1" wp14:anchorId="0398D36D" wp14:editId="18F3ABBB">
            <wp:simplePos x="0" y="0"/>
            <wp:positionH relativeFrom="page">
              <wp:posOffset>908050</wp:posOffset>
            </wp:positionH>
            <wp:positionV relativeFrom="line">
              <wp:posOffset>233679</wp:posOffset>
            </wp:positionV>
            <wp:extent cx="5076157" cy="5943600"/>
            <wp:effectExtent l="0" t="0" r="0" b="0"/>
            <wp:wrapThrough wrapText="bothSides" distL="152400" distR="152400">
              <wp:wrapPolygon edited="1">
                <wp:start x="0" y="0"/>
                <wp:lineTo x="21611" y="0"/>
                <wp:lineTo x="21611" y="21621"/>
                <wp:lineTo x="0" y="21621"/>
                <wp:lineTo x="0" y="0"/>
              </wp:wrapPolygon>
            </wp:wrapThrough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6157" cy="594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"/>
          <w:rFonts w:ascii="Arial Unicode MS" w:hAnsi="Arial Unicode MS"/>
        </w:rPr>
        <w:br w:type="page"/>
      </w:r>
    </w:p>
    <w:p w14:paraId="3D9D6ED2" w14:textId="77777777" w:rsidR="009C2AC1" w:rsidRDefault="00000000">
      <w:pPr>
        <w:pStyle w:val="BodyA"/>
        <w:shd w:val="clear" w:color="auto" w:fill="FFFFFF"/>
        <w:spacing w:after="180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lastRenderedPageBreak/>
        <w:t>Table 7. Tabulation of young adults aged 18 to 24 by province, 2021</w:t>
      </w:r>
    </w:p>
    <w:p w14:paraId="5BB1510B" w14:textId="77777777" w:rsidR="009C2AC1" w:rsidRDefault="009C2AC1">
      <w:pPr>
        <w:pStyle w:val="BodyA"/>
        <w:spacing w:before="200" w:after="24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8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70"/>
        <w:gridCol w:w="1470"/>
        <w:gridCol w:w="1470"/>
        <w:gridCol w:w="1470"/>
      </w:tblGrid>
      <w:tr w:rsidR="009C2AC1" w14:paraId="006DF14C" w14:textId="77777777">
        <w:trPr>
          <w:trHeight w:val="342"/>
        </w:trPr>
        <w:tc>
          <w:tcPr>
            <w:tcW w:w="1470" w:type="dxa"/>
            <w:tcBorders>
              <w:top w:val="single" w:sz="12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FC45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Province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0C4C5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Freq.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9B460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Percent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95A1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Cum.</w:t>
            </w:r>
          </w:p>
        </w:tc>
      </w:tr>
      <w:tr w:rsidR="009C2AC1" w14:paraId="7D964168" w14:textId="77777777">
        <w:trPr>
          <w:trHeight w:val="620"/>
        </w:trPr>
        <w:tc>
          <w:tcPr>
            <w:tcW w:w="14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E9FBE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Inner Mongolia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2F92A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DADFE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8B075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1.04</w:t>
            </w:r>
          </w:p>
        </w:tc>
      </w:tr>
      <w:tr w:rsidR="009C2AC1" w14:paraId="6B87BF9E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828DF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Beijing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4B0AE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AC97E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5.54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0CF27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6.57</w:t>
            </w:r>
          </w:p>
        </w:tc>
      </w:tr>
      <w:tr w:rsidR="009C2AC1" w14:paraId="3CE87CAD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EEFEF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Ningxia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77C78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EB681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2.60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1B1A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9.17</w:t>
            </w:r>
          </w:p>
        </w:tc>
      </w:tr>
      <w:tr w:rsidR="009C2AC1" w14:paraId="51E3DF93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3D695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Anhui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BF4E3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E6B60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1.56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A2396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10.73</w:t>
            </w:r>
          </w:p>
        </w:tc>
      </w:tr>
      <w:tr w:rsidR="009C2AC1" w14:paraId="454A3D56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4D914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Shangdong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8A378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3E5D8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5.36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729A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16.09</w:t>
            </w:r>
          </w:p>
        </w:tc>
      </w:tr>
      <w:tr w:rsidR="009C2AC1" w14:paraId="7A45740E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FD958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Shanxi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1DB48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662F2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EDF9E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21.11</w:t>
            </w:r>
          </w:p>
        </w:tc>
      </w:tr>
      <w:tr w:rsidR="009C2AC1" w14:paraId="64130B13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23E1D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Guangxi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5B049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89A85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4.33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C840F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25.43</w:t>
            </w:r>
          </w:p>
        </w:tc>
      </w:tr>
      <w:tr w:rsidR="009C2AC1" w14:paraId="77F47916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CD555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Jiangsu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0FA45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DDB1E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5.54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BF4A0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30.97</w:t>
            </w:r>
          </w:p>
        </w:tc>
      </w:tr>
      <w:tr w:rsidR="009C2AC1" w14:paraId="633B0E5C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62E76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Jiangxi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14D3E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D1E69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16.61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488A5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47.58</w:t>
            </w:r>
          </w:p>
        </w:tc>
      </w:tr>
      <w:tr w:rsidR="009C2AC1" w14:paraId="072527DA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2D941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Hebei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579CA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E18DD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2.94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CD85C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50.52</w:t>
            </w:r>
          </w:p>
        </w:tc>
      </w:tr>
      <w:tr w:rsidR="009C2AC1" w14:paraId="48614E50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69549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Henan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9E91C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0BDF9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6.75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4DB64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57.27</w:t>
            </w:r>
          </w:p>
        </w:tc>
      </w:tr>
      <w:tr w:rsidR="009C2AC1" w14:paraId="5236925A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63BBC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Zhejiang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E91FD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33F98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5.54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B9C43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62.80</w:t>
            </w:r>
          </w:p>
        </w:tc>
      </w:tr>
      <w:tr w:rsidR="009C2AC1" w14:paraId="6C9ACBE0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962A3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Hubei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9B5D3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11260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4.50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AEBF4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67.30</w:t>
            </w:r>
          </w:p>
        </w:tc>
      </w:tr>
      <w:tr w:rsidR="009C2AC1" w14:paraId="5499CD49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C4138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Hunan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ECA19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C093C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9.52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B08B5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76.82</w:t>
            </w:r>
          </w:p>
        </w:tc>
      </w:tr>
      <w:tr w:rsidR="009C2AC1" w14:paraId="7A8C9B13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558F1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Gansu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1CCD8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C7C9E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5A6CB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81.83</w:t>
            </w:r>
          </w:p>
        </w:tc>
      </w:tr>
      <w:tr w:rsidR="009C2AC1" w14:paraId="30AACBAF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6263A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Fujian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588DC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061A0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0.87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DFAC8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82.70</w:t>
            </w:r>
          </w:p>
        </w:tc>
      </w:tr>
      <w:tr w:rsidR="009C2AC1" w14:paraId="3FA1E163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4CA53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Liaoning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28C27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757E9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3.81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451C5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86.51</w:t>
            </w:r>
          </w:p>
        </w:tc>
      </w:tr>
      <w:tr w:rsidR="009C2AC1" w14:paraId="1ECBBF2B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5F3E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Chongqing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2A3EA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73267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11.07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596EC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97.58</w:t>
            </w:r>
          </w:p>
        </w:tc>
      </w:tr>
      <w:tr w:rsidR="009C2AC1" w14:paraId="6FF74D7C" w14:textId="77777777">
        <w:trPr>
          <w:trHeight w:val="320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18999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Shaanxi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8762A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A2351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2.42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9B025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100.00</w:t>
            </w:r>
          </w:p>
        </w:tc>
      </w:tr>
      <w:tr w:rsidR="009C2AC1" w14:paraId="723AA4AF" w14:textId="77777777">
        <w:trPr>
          <w:trHeight w:val="335"/>
        </w:trPr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48A46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9A5EE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F50BD" w14:textId="77777777" w:rsidR="009C2AC1" w:rsidRDefault="00000000">
            <w:pPr>
              <w:pStyle w:val="BodyA"/>
              <w:widowControl w:val="0"/>
              <w:spacing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4"/>
                <w:szCs w:val="24"/>
              </w:rPr>
              <w:t>100.00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91BC1" w14:textId="77777777" w:rsidR="009C2AC1" w:rsidRDefault="009C2AC1"/>
        </w:tc>
      </w:tr>
    </w:tbl>
    <w:p w14:paraId="4ECCCB27" w14:textId="77777777" w:rsidR="009C2AC1" w:rsidRDefault="009C2AC1">
      <w:pPr>
        <w:pStyle w:val="BodyA"/>
        <w:widowControl w:val="0"/>
        <w:spacing w:before="200" w:after="240" w:line="240" w:lineRule="auto"/>
        <w:ind w:left="108" w:hanging="108"/>
      </w:pPr>
    </w:p>
    <w:sectPr w:rsidR="009C2AC1">
      <w:head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27DB" w14:textId="77777777" w:rsidR="00521FF6" w:rsidRDefault="00521FF6">
      <w:r>
        <w:separator/>
      </w:r>
    </w:p>
  </w:endnote>
  <w:endnote w:type="continuationSeparator" w:id="0">
    <w:p w14:paraId="0E694683" w14:textId="77777777" w:rsidR="00521FF6" w:rsidRDefault="0052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AB0E" w14:textId="77777777" w:rsidR="009C2AC1" w:rsidRDefault="009C2AC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9A3D" w14:textId="77777777" w:rsidR="00521FF6" w:rsidRDefault="00521FF6">
      <w:r>
        <w:separator/>
      </w:r>
    </w:p>
  </w:footnote>
  <w:footnote w:type="continuationSeparator" w:id="0">
    <w:p w14:paraId="3FC01EB3" w14:textId="77777777" w:rsidR="00521FF6" w:rsidRDefault="00521FF6">
      <w:r>
        <w:continuationSeparator/>
      </w:r>
    </w:p>
  </w:footnote>
  <w:footnote w:type="continuationNotice" w:id="1">
    <w:p w14:paraId="1F572044" w14:textId="77777777" w:rsidR="00521FF6" w:rsidRDefault="00521F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3C74" w14:textId="77777777" w:rsidR="009C2AC1" w:rsidRDefault="009C2AC1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D089" w14:textId="77777777" w:rsidR="009C2AC1" w:rsidRDefault="009C2AC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22B69"/>
    <w:multiLevelType w:val="hybridMultilevel"/>
    <w:tmpl w:val="4C5E089E"/>
    <w:styleLink w:val="Bullets"/>
    <w:lvl w:ilvl="0" w:tplc="E1260122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3663D4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423FBC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F82FC0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DE1A2C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B08A42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5A65BE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5CD04A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B27BFE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9E13209"/>
    <w:multiLevelType w:val="hybridMultilevel"/>
    <w:tmpl w:val="4C5E089E"/>
    <w:numStyleLink w:val="Bullets"/>
  </w:abstractNum>
  <w:num w:numId="1" w16cid:durableId="1357846471">
    <w:abstractNumId w:val="0"/>
  </w:num>
  <w:num w:numId="2" w16cid:durableId="79005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AC1"/>
    <w:rsid w:val="00521FF6"/>
    <w:rsid w:val="00902B1C"/>
    <w:rsid w:val="009C2AC1"/>
    <w:rsid w:val="00CD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F49E9"/>
  <w15:docId w15:val="{FCCBD63A-741D-4789-A1F8-FCCC1DCC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rPr>
      <w:rFonts w:ascii="Times New Roman" w:eastAsia="Times New Roman" w:hAnsi="Times New Roman" w:cs="Times New Roman"/>
      <w:sz w:val="24"/>
      <w:szCs w:val="24"/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Hyperlink3">
    <w:name w:val="Hyperlink.3"/>
    <w:basedOn w:val="None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Hyperlink10">
    <w:name w:val="Hyperlink.1.0"/>
    <w:rPr>
      <w:rFonts w:ascii="Times New Roman" w:hAnsi="Times New Roman"/>
      <w:i/>
      <w:iCs/>
      <w:sz w:val="24"/>
      <w:szCs w:val="24"/>
      <w:lang w:val="en-US"/>
    </w:rPr>
  </w:style>
  <w:style w:type="character" w:customStyle="1" w:styleId="Hyperlink4">
    <w:name w:val="Hyperlink.4"/>
    <w:basedOn w:val="None"/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Hyperlink5">
    <w:name w:val="Hyperlink.5"/>
    <w:basedOn w:val="None"/>
    <w:rPr>
      <w:rFonts w:ascii="Times New Roman" w:eastAsia="Times New Roman" w:hAnsi="Times New Roman" w:cs="Times New Roman"/>
      <w:i/>
      <w:iCs/>
      <w:sz w:val="24"/>
      <w:szCs w:val="24"/>
      <w:lang w:val="fr-FR"/>
    </w:rPr>
  </w:style>
  <w:style w:type="character" w:customStyle="1" w:styleId="Hyperlink6">
    <w:name w:val="Hyperlink.6"/>
    <w:basedOn w:val="None"/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Hyperlink7">
    <w:name w:val="Hyperlink.7"/>
    <w:basedOn w:val="None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yperlink8">
    <w:name w:val="Hyperlink.8"/>
    <w:basedOn w:val="None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Hyperlink9">
    <w:name w:val="Hyperlink.9"/>
    <w:basedOn w:val="Non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yperlink100">
    <w:name w:val="Hyperlink.10"/>
    <w:basedOn w:val="None"/>
    <w:rPr>
      <w:rFonts w:ascii="Times New Roman" w:eastAsia="Times New Roman" w:hAnsi="Times New Roman" w:cs="Times New Roman"/>
      <w:i/>
      <w:iCs/>
      <w:sz w:val="24"/>
      <w:szCs w:val="24"/>
      <w:lang w:val="de-D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2159</Characters>
  <Application>Microsoft Office Word</Application>
  <DocSecurity>0</DocSecurity>
  <Lines>17</Lines>
  <Paragraphs>5</Paragraphs>
  <ScaleCrop>false</ScaleCrop>
  <Company>Springer Nature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Nilesh Nawale</dc:creator>
  <cp:lastModifiedBy>Nilesh Nawale</cp:lastModifiedBy>
  <cp:revision>3</cp:revision>
  <dcterms:created xsi:type="dcterms:W3CDTF">2026-04-27T08:43:00Z</dcterms:created>
  <dcterms:modified xsi:type="dcterms:W3CDTF">2026-04-27T08:43:00Z</dcterms:modified>
</cp:coreProperties>
</file>