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642A" w:rsidRDefault="0021642A" w:rsidP="0021642A">
      <w:pPr>
        <w:jc w:val="both"/>
      </w:pPr>
      <w:r>
        <w:t>Supplementary information</w:t>
      </w:r>
    </w:p>
    <w:p w:rsidR="0021642A" w:rsidRPr="004739A6" w:rsidRDefault="0021642A" w:rsidP="0021642A"/>
    <w:p w:rsidR="0021642A" w:rsidRDefault="0021642A" w:rsidP="0021642A">
      <w:pPr>
        <w:jc w:val="both"/>
      </w:pPr>
      <w:r>
        <w:rPr>
          <w:b/>
          <w:bCs/>
        </w:rPr>
        <w:t>Supplementary Table 1. Search strategy.</w:t>
      </w:r>
      <w:r>
        <w:t xml:space="preserve"> Equivalent search strategies were applied to </w:t>
      </w:r>
      <w:bookmarkStart w:id="0" w:name="_GoBack"/>
      <w:bookmarkEnd w:id="0"/>
      <w:r>
        <w:t xml:space="preserve">MEDLINE (via Ovid) database and Scopus database considering their different syntax. </w:t>
      </w:r>
      <w:proofErr w:type="spellStart"/>
      <w:r>
        <w:t>MeSH</w:t>
      </w:r>
      <w:proofErr w:type="spellEnd"/>
      <w:r>
        <w:t xml:space="preserve"> terms were discarded from the final search strategy since the relevant articles in the field were not annotated with the logical </w:t>
      </w:r>
      <w:proofErr w:type="spellStart"/>
      <w:r>
        <w:t>MeSH</w:t>
      </w:r>
      <w:proofErr w:type="spellEnd"/>
      <w:r>
        <w:t xml:space="preserve"> terms, consequently their use resulted in the retrieval of unspecific records.</w:t>
      </w:r>
    </w:p>
    <w:p w:rsidR="0021642A" w:rsidRDefault="0021642A" w:rsidP="0021642A">
      <w:pPr>
        <w:jc w:val="both"/>
      </w:pPr>
    </w:p>
    <w:tbl>
      <w:tblPr>
        <w:tblW w:w="90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70"/>
        <w:gridCol w:w="7080"/>
        <w:gridCol w:w="1365"/>
      </w:tblGrid>
      <w:tr w:rsidR="0021642A" w:rsidTr="009407ED">
        <w:trPr>
          <w:trHeight w:val="20"/>
        </w:trPr>
        <w:tc>
          <w:tcPr>
            <w:tcW w:w="7650" w:type="dxa"/>
            <w:gridSpan w:val="2"/>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b/>
                <w:bCs/>
                <w:sz w:val="18"/>
              </w:rPr>
            </w:pPr>
            <w:r w:rsidRPr="00876600">
              <w:rPr>
                <w:b/>
                <w:bCs/>
                <w:sz w:val="18"/>
              </w:rPr>
              <w:t>SEARCH STRATEGY</w:t>
            </w:r>
          </w:p>
        </w:tc>
        <w:tc>
          <w:tcPr>
            <w:tcW w:w="1365"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b/>
                <w:bCs/>
                <w:sz w:val="18"/>
              </w:rPr>
            </w:pPr>
            <w:r w:rsidRPr="00876600">
              <w:rPr>
                <w:b/>
                <w:bCs/>
                <w:sz w:val="18"/>
              </w:rPr>
              <w:t>RECORDS</w:t>
            </w:r>
          </w:p>
        </w:tc>
      </w:tr>
      <w:tr w:rsidR="0021642A" w:rsidTr="009407ED">
        <w:trPr>
          <w:trHeight w:val="20"/>
        </w:trPr>
        <w:tc>
          <w:tcPr>
            <w:tcW w:w="9015" w:type="dxa"/>
            <w:gridSpan w:val="3"/>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b/>
                <w:bCs/>
                <w:sz w:val="18"/>
              </w:rPr>
            </w:pPr>
            <w:r>
              <w:rPr>
                <w:b/>
                <w:bCs/>
                <w:sz w:val="18"/>
              </w:rPr>
              <w:t>MEDLINE</w:t>
            </w:r>
          </w:p>
        </w:tc>
      </w:tr>
      <w:tr w:rsidR="0021642A" w:rsidTr="009407ED">
        <w:trPr>
          <w:trHeight w:val="20"/>
        </w:trPr>
        <w:tc>
          <w:tcPr>
            <w:tcW w:w="57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1</w:t>
            </w:r>
          </w:p>
        </w:tc>
        <w:tc>
          <w:tcPr>
            <w:tcW w:w="708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 xml:space="preserve">((superior or </w:t>
            </w:r>
            <w:proofErr w:type="spellStart"/>
            <w:r w:rsidRPr="00876600">
              <w:rPr>
                <w:sz w:val="18"/>
              </w:rPr>
              <w:t>successfull</w:t>
            </w:r>
            <w:proofErr w:type="spellEnd"/>
            <w:r w:rsidRPr="00876600">
              <w:rPr>
                <w:sz w:val="18"/>
              </w:rPr>
              <w:t xml:space="preserve">) </w:t>
            </w:r>
            <w:proofErr w:type="spellStart"/>
            <w:r w:rsidRPr="00876600">
              <w:rPr>
                <w:sz w:val="18"/>
              </w:rPr>
              <w:t>adj</w:t>
            </w:r>
            <w:proofErr w:type="spellEnd"/>
            <w:r w:rsidRPr="00876600">
              <w:rPr>
                <w:sz w:val="18"/>
              </w:rPr>
              <w:t xml:space="preserve"> (memory or episodic or </w:t>
            </w:r>
            <w:proofErr w:type="spellStart"/>
            <w:r w:rsidRPr="00876600">
              <w:rPr>
                <w:sz w:val="18"/>
              </w:rPr>
              <w:t>cogniti</w:t>
            </w:r>
            <w:proofErr w:type="spellEnd"/>
            <w:r w:rsidRPr="00876600">
              <w:rPr>
                <w:sz w:val="18"/>
              </w:rPr>
              <w:t>* or ageing or aging)).</w:t>
            </w:r>
            <w:proofErr w:type="spellStart"/>
            <w:r w:rsidRPr="00876600">
              <w:rPr>
                <w:sz w:val="18"/>
              </w:rPr>
              <w:t>tw,kf</w:t>
            </w:r>
            <w:proofErr w:type="spellEnd"/>
            <w:r w:rsidRPr="00876600">
              <w:rPr>
                <w:sz w:val="18"/>
              </w:rPr>
              <w:t>.</w:t>
            </w:r>
          </w:p>
        </w:tc>
        <w:tc>
          <w:tcPr>
            <w:tcW w:w="1365"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461</w:t>
            </w:r>
          </w:p>
        </w:tc>
      </w:tr>
      <w:tr w:rsidR="0021642A" w:rsidTr="009407ED">
        <w:trPr>
          <w:trHeight w:val="20"/>
        </w:trPr>
        <w:tc>
          <w:tcPr>
            <w:tcW w:w="57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2</w:t>
            </w:r>
          </w:p>
        </w:tc>
        <w:tc>
          <w:tcPr>
            <w:tcW w:w="708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 xml:space="preserve">(memory </w:t>
            </w:r>
            <w:proofErr w:type="spellStart"/>
            <w:r w:rsidRPr="00876600">
              <w:rPr>
                <w:sz w:val="18"/>
              </w:rPr>
              <w:t>adj</w:t>
            </w:r>
            <w:proofErr w:type="spellEnd"/>
            <w:r w:rsidRPr="00876600">
              <w:rPr>
                <w:sz w:val="18"/>
              </w:rPr>
              <w:t xml:space="preserve"> (maintenance or maintainer*)).</w:t>
            </w:r>
            <w:proofErr w:type="spellStart"/>
            <w:r w:rsidRPr="00876600">
              <w:rPr>
                <w:sz w:val="18"/>
              </w:rPr>
              <w:t>tw,kf</w:t>
            </w:r>
            <w:proofErr w:type="spellEnd"/>
            <w:r w:rsidRPr="00876600">
              <w:rPr>
                <w:sz w:val="18"/>
              </w:rPr>
              <w:t>.</w:t>
            </w:r>
          </w:p>
        </w:tc>
        <w:tc>
          <w:tcPr>
            <w:tcW w:w="1365"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643</w:t>
            </w:r>
          </w:p>
        </w:tc>
      </w:tr>
      <w:tr w:rsidR="0021642A" w:rsidTr="009407ED">
        <w:trPr>
          <w:trHeight w:val="20"/>
        </w:trPr>
        <w:tc>
          <w:tcPr>
            <w:tcW w:w="57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3</w:t>
            </w:r>
          </w:p>
        </w:tc>
        <w:tc>
          <w:tcPr>
            <w:tcW w:w="708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 xml:space="preserve">(superager* or super-ager* or </w:t>
            </w:r>
            <w:proofErr w:type="spellStart"/>
            <w:r w:rsidRPr="00876600">
              <w:rPr>
                <w:sz w:val="18"/>
              </w:rPr>
              <w:t>superaging</w:t>
            </w:r>
            <w:proofErr w:type="spellEnd"/>
            <w:r w:rsidRPr="00876600">
              <w:rPr>
                <w:sz w:val="18"/>
              </w:rPr>
              <w:t xml:space="preserve"> or superageing or (supernormal* and (memory or </w:t>
            </w:r>
            <w:proofErr w:type="spellStart"/>
            <w:r w:rsidRPr="00876600">
              <w:rPr>
                <w:sz w:val="18"/>
              </w:rPr>
              <w:t>cogniti</w:t>
            </w:r>
            <w:proofErr w:type="spellEnd"/>
            <w:r w:rsidRPr="00876600">
              <w:rPr>
                <w:sz w:val="18"/>
              </w:rPr>
              <w:t>*))).</w:t>
            </w:r>
            <w:proofErr w:type="spellStart"/>
            <w:r w:rsidRPr="00876600">
              <w:rPr>
                <w:sz w:val="18"/>
              </w:rPr>
              <w:t>tw,kf</w:t>
            </w:r>
            <w:proofErr w:type="spellEnd"/>
            <w:r w:rsidRPr="00876600">
              <w:rPr>
                <w:sz w:val="18"/>
              </w:rPr>
              <w:t>.</w:t>
            </w:r>
          </w:p>
        </w:tc>
        <w:tc>
          <w:tcPr>
            <w:tcW w:w="1365"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151</w:t>
            </w:r>
          </w:p>
        </w:tc>
      </w:tr>
      <w:tr w:rsidR="0021642A" w:rsidTr="009407ED">
        <w:trPr>
          <w:trHeight w:val="20"/>
        </w:trPr>
        <w:tc>
          <w:tcPr>
            <w:tcW w:w="57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4</w:t>
            </w:r>
          </w:p>
        </w:tc>
        <w:tc>
          <w:tcPr>
            <w:tcW w:w="708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1 or 2 or 3</w:t>
            </w:r>
          </w:p>
        </w:tc>
        <w:tc>
          <w:tcPr>
            <w:tcW w:w="1365"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b/>
                <w:bCs/>
                <w:sz w:val="18"/>
              </w:rPr>
            </w:pPr>
            <w:r w:rsidRPr="00876600">
              <w:rPr>
                <w:b/>
                <w:bCs/>
                <w:sz w:val="18"/>
              </w:rPr>
              <w:t>1,227</w:t>
            </w:r>
          </w:p>
        </w:tc>
      </w:tr>
      <w:tr w:rsidR="0021642A" w:rsidTr="009407ED">
        <w:trPr>
          <w:trHeight w:val="20"/>
        </w:trPr>
        <w:tc>
          <w:tcPr>
            <w:tcW w:w="9015" w:type="dxa"/>
            <w:gridSpan w:val="3"/>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b/>
                <w:bCs/>
                <w:sz w:val="18"/>
              </w:rPr>
            </w:pPr>
            <w:r w:rsidRPr="00876600">
              <w:rPr>
                <w:b/>
                <w:bCs/>
                <w:sz w:val="18"/>
              </w:rPr>
              <w:t>Scopus</w:t>
            </w:r>
          </w:p>
        </w:tc>
      </w:tr>
      <w:tr w:rsidR="0021642A" w:rsidTr="009407ED">
        <w:trPr>
          <w:trHeight w:val="20"/>
        </w:trPr>
        <w:tc>
          <w:tcPr>
            <w:tcW w:w="57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1</w:t>
            </w:r>
          </w:p>
        </w:tc>
        <w:tc>
          <w:tcPr>
            <w:tcW w:w="708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 xml:space="preserve">TITLE-ABS-KEY: (superior W/1 ( memory OR episodic OR </w:t>
            </w:r>
            <w:proofErr w:type="spellStart"/>
            <w:r w:rsidRPr="00876600">
              <w:rPr>
                <w:sz w:val="18"/>
              </w:rPr>
              <w:t>cogniti</w:t>
            </w:r>
            <w:proofErr w:type="spellEnd"/>
            <w:r w:rsidRPr="00876600">
              <w:rPr>
                <w:sz w:val="18"/>
              </w:rPr>
              <w:t xml:space="preserve">* OR ageing OR aging ) OR successful W/1 ( memory OR episodic OR </w:t>
            </w:r>
            <w:proofErr w:type="spellStart"/>
            <w:r w:rsidRPr="00876600">
              <w:rPr>
                <w:sz w:val="18"/>
              </w:rPr>
              <w:t>cogniti</w:t>
            </w:r>
            <w:proofErr w:type="spellEnd"/>
            <w:r w:rsidRPr="00876600">
              <w:rPr>
                <w:sz w:val="18"/>
              </w:rPr>
              <w:t>* OR ageing OR aging ))</w:t>
            </w:r>
          </w:p>
        </w:tc>
        <w:tc>
          <w:tcPr>
            <w:tcW w:w="1365"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1,519</w:t>
            </w:r>
          </w:p>
        </w:tc>
      </w:tr>
      <w:tr w:rsidR="0021642A" w:rsidTr="009407ED">
        <w:trPr>
          <w:trHeight w:val="20"/>
        </w:trPr>
        <w:tc>
          <w:tcPr>
            <w:tcW w:w="57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2</w:t>
            </w:r>
          </w:p>
        </w:tc>
        <w:tc>
          <w:tcPr>
            <w:tcW w:w="708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 xml:space="preserve">TITLE-ABS-KEY: ("memory maintenance" OR "memory maintainer*") </w:t>
            </w:r>
          </w:p>
        </w:tc>
        <w:tc>
          <w:tcPr>
            <w:tcW w:w="1365"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722</w:t>
            </w:r>
          </w:p>
        </w:tc>
      </w:tr>
      <w:tr w:rsidR="0021642A" w:rsidTr="009407ED">
        <w:trPr>
          <w:trHeight w:val="20"/>
        </w:trPr>
        <w:tc>
          <w:tcPr>
            <w:tcW w:w="57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3</w:t>
            </w:r>
          </w:p>
        </w:tc>
        <w:tc>
          <w:tcPr>
            <w:tcW w:w="708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 xml:space="preserve">TITLE-ABS-KEY: (superager* OR "super-ager*" OR </w:t>
            </w:r>
            <w:proofErr w:type="spellStart"/>
            <w:r w:rsidRPr="00876600">
              <w:rPr>
                <w:sz w:val="18"/>
              </w:rPr>
              <w:t>superaging</w:t>
            </w:r>
            <w:proofErr w:type="spellEnd"/>
            <w:r w:rsidRPr="00876600">
              <w:rPr>
                <w:sz w:val="18"/>
              </w:rPr>
              <w:t xml:space="preserve"> OR superageing OR (supernormal* AND (memory OR </w:t>
            </w:r>
            <w:proofErr w:type="spellStart"/>
            <w:r w:rsidRPr="00876600">
              <w:rPr>
                <w:sz w:val="18"/>
              </w:rPr>
              <w:t>cogniti</w:t>
            </w:r>
            <w:proofErr w:type="spellEnd"/>
            <w:r w:rsidRPr="00876600">
              <w:rPr>
                <w:sz w:val="18"/>
              </w:rPr>
              <w:t xml:space="preserve">*))) </w:t>
            </w:r>
          </w:p>
        </w:tc>
        <w:tc>
          <w:tcPr>
            <w:tcW w:w="1365"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197</w:t>
            </w:r>
          </w:p>
        </w:tc>
      </w:tr>
      <w:tr w:rsidR="0021642A" w:rsidTr="009407ED">
        <w:trPr>
          <w:trHeight w:val="57"/>
        </w:trPr>
        <w:tc>
          <w:tcPr>
            <w:tcW w:w="57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4</w:t>
            </w:r>
          </w:p>
        </w:tc>
        <w:tc>
          <w:tcPr>
            <w:tcW w:w="7080"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sz w:val="18"/>
              </w:rPr>
            </w:pPr>
            <w:r w:rsidRPr="00876600">
              <w:rPr>
                <w:sz w:val="18"/>
              </w:rPr>
              <w:t>1 OR 2 OR 3</w:t>
            </w:r>
          </w:p>
        </w:tc>
        <w:tc>
          <w:tcPr>
            <w:tcW w:w="1365" w:type="dxa"/>
            <w:tcMar>
              <w:top w:w="100" w:type="dxa"/>
              <w:left w:w="100" w:type="dxa"/>
              <w:bottom w:w="100" w:type="dxa"/>
              <w:right w:w="100" w:type="dxa"/>
            </w:tcMar>
          </w:tcPr>
          <w:p w:rsidR="0021642A" w:rsidRPr="00876600" w:rsidRDefault="0021642A" w:rsidP="009407ED">
            <w:pPr>
              <w:widowControl w:val="0"/>
              <w:pBdr>
                <w:top w:val="nil"/>
                <w:left w:val="nil"/>
                <w:bottom w:val="nil"/>
                <w:right w:val="nil"/>
                <w:between w:val="nil"/>
              </w:pBdr>
              <w:jc w:val="both"/>
              <w:rPr>
                <w:b/>
                <w:bCs/>
                <w:sz w:val="18"/>
              </w:rPr>
            </w:pPr>
            <w:r w:rsidRPr="00876600">
              <w:rPr>
                <w:b/>
                <w:bCs/>
                <w:sz w:val="18"/>
              </w:rPr>
              <w:t>2,405</w:t>
            </w:r>
          </w:p>
        </w:tc>
      </w:tr>
    </w:tbl>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pPr>
    </w:p>
    <w:p w:rsidR="0021642A" w:rsidRDefault="0021642A" w:rsidP="0021642A">
      <w:pPr>
        <w:jc w:val="both"/>
        <w:rPr>
          <w:b/>
        </w:rPr>
      </w:pPr>
      <w:r w:rsidRPr="00E5349F">
        <w:rPr>
          <w:b/>
        </w:rPr>
        <w:lastRenderedPageBreak/>
        <w:t xml:space="preserve">Supplementary Methods. Plotting details for Figure 2. </w:t>
      </w:r>
    </w:p>
    <w:p w:rsidR="0021642A" w:rsidRDefault="0021642A" w:rsidP="0021642A">
      <w:pPr>
        <w:jc w:val="both"/>
      </w:pPr>
      <w:r>
        <w:t>The selection criteria reported in Figure 2 memory and non-memory assessments were simplified to facilitate a more illustrative classification scheme (further details can be found in Table 1). The assumptions adopted to support interpretation of Figure 2 are described below.</w:t>
      </w:r>
    </w:p>
    <w:p w:rsidR="0021642A" w:rsidRDefault="0021642A" w:rsidP="0021642A">
      <w:pPr>
        <w:jc w:val="both"/>
        <w:rPr>
          <w:b/>
        </w:rPr>
      </w:pPr>
    </w:p>
    <w:p w:rsidR="0021642A" w:rsidRDefault="0021642A" w:rsidP="0021642A">
      <w:pPr>
        <w:jc w:val="both"/>
      </w:pPr>
      <w:r w:rsidRPr="00706D6B">
        <w:t xml:space="preserve">Memory </w:t>
      </w:r>
      <w:r>
        <w:t>A</w:t>
      </w:r>
      <w:r w:rsidRPr="00706D6B">
        <w:t xml:space="preserve">ssessment </w:t>
      </w:r>
      <w:r>
        <w:t>T</w:t>
      </w:r>
      <w:r w:rsidRPr="00706D6B">
        <w:t>asks:</w:t>
      </w:r>
      <w:r>
        <w:t xml:space="preserve"> Individual memory tests are reported when a single memory test was used as the selection criterion for superagers, or when multiple scores derived from the same test were used. In studies in which two different memory tests were administered to different participant groups (e.g. when separate cohorts were screened in the same study using different cognitive instruments), the memory test used to identify the largest number of superagers is reported in Figure 2. The </w:t>
      </w:r>
      <w:r>
        <w:rPr>
          <w:rStyle w:val="Emphasis"/>
        </w:rPr>
        <w:t>Memory composite</w:t>
      </w:r>
      <w:r>
        <w:t xml:space="preserve"> label was assigned to studies that administered two or more different memory tests to the same participants to assess memory performance. The Alzheimer’s Disease Assessment Scale–Cognitive Subscale (ADAS-Cog) was treated as a memory battery. The </w:t>
      </w:r>
      <w:r>
        <w:rPr>
          <w:rStyle w:val="Emphasis"/>
        </w:rPr>
        <w:t>Cognitive composite</w:t>
      </w:r>
      <w:r>
        <w:t xml:space="preserve"> label was assigned to studies that administered two or more different cognitive tests to the same participants, including at least one test not primarily focused on memory. As the Mini-Mental State Examination (MMSE) is considered a cognitive screening tool, classification of memory assessment tasks was based on the remaining tests. The MMSE was therefore not counted as either a memory or a non-memory assessment.</w:t>
      </w:r>
    </w:p>
    <w:p w:rsidR="0021642A" w:rsidRDefault="0021642A" w:rsidP="0021642A">
      <w:pPr>
        <w:jc w:val="both"/>
      </w:pPr>
    </w:p>
    <w:p w:rsidR="0021642A" w:rsidRDefault="0021642A" w:rsidP="0021642A">
      <w:pPr>
        <w:jc w:val="both"/>
        <w:rPr>
          <w:b/>
          <w:bCs/>
        </w:rPr>
      </w:pPr>
      <w:r>
        <w:rPr>
          <w:bCs/>
        </w:rPr>
        <w:t>Non-memory A</w:t>
      </w:r>
      <w:r w:rsidRPr="00706D6B">
        <w:rPr>
          <w:bCs/>
        </w:rPr>
        <w:t>ssessment:</w:t>
      </w:r>
      <w:r>
        <w:rPr>
          <w:b/>
          <w:bCs/>
        </w:rPr>
        <w:t xml:space="preserve"> </w:t>
      </w:r>
      <w:r>
        <w:t xml:space="preserve">Studies were classified as including a non-memory assessment (labelled </w:t>
      </w:r>
      <w:r>
        <w:rPr>
          <w:rStyle w:val="Emphasis"/>
        </w:rPr>
        <w:t>Yes</w:t>
      </w:r>
      <w:r>
        <w:t xml:space="preserve">) when at least one non-memory cognitive test was applied, either as an independent selection criterion or in combination with memory tests (in which case the study was also classified under </w:t>
      </w:r>
      <w:r>
        <w:rPr>
          <w:rStyle w:val="Emphasis"/>
        </w:rPr>
        <w:t>Cognitive composite</w:t>
      </w:r>
      <w:r>
        <w:t xml:space="preserve"> within the Memory Assessment Tasks classification). Studies were classified as </w:t>
      </w:r>
      <w:r>
        <w:rPr>
          <w:rStyle w:val="Emphasis"/>
        </w:rPr>
        <w:t>No</w:t>
      </w:r>
      <w:r>
        <w:t xml:space="preserve"> when no non-memory cognitive tests were applied. As the MMSE is considered a cognitive screening tool, classification of non-memory assessments was based on all other tests administered, excluding the MMSE.</w:t>
      </w:r>
    </w:p>
    <w:p w:rsidR="008F035C" w:rsidRDefault="008F035C"/>
    <w:sectPr w:rsidR="008F035C">
      <w:headerReference w:type="default" r:id="rId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642A" w:rsidRDefault="0021642A" w:rsidP="0021642A">
      <w:pPr>
        <w:spacing w:line="240" w:lineRule="auto"/>
      </w:pPr>
      <w:r>
        <w:separator/>
      </w:r>
    </w:p>
  </w:endnote>
  <w:endnote w:type="continuationSeparator" w:id="0">
    <w:p w:rsidR="0021642A" w:rsidRDefault="0021642A" w:rsidP="002164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642A" w:rsidRDefault="0021642A" w:rsidP="0021642A">
      <w:pPr>
        <w:spacing w:line="240" w:lineRule="auto"/>
      </w:pPr>
      <w:r>
        <w:separator/>
      </w:r>
    </w:p>
  </w:footnote>
  <w:footnote w:type="continuationSeparator" w:id="0">
    <w:p w:rsidR="0021642A" w:rsidRDefault="0021642A" w:rsidP="0021642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90835158"/>
      <w:docPartObj>
        <w:docPartGallery w:val="Page Numbers (Top of Page)"/>
        <w:docPartUnique/>
      </w:docPartObj>
    </w:sdtPr>
    <w:sdtContent>
      <w:p w:rsidR="0021642A" w:rsidRDefault="0021642A" w:rsidP="0021642A">
        <w:pPr>
          <w:pStyle w:val="Header"/>
          <w:ind w:right="360"/>
        </w:pPr>
        <w:r>
          <w:t>Garo-Pascual et al., 2026</w:t>
        </w:r>
        <w:r>
          <w:tab/>
        </w:r>
        <w:r>
          <w:tab/>
        </w:r>
        <w:r>
          <w:fldChar w:fldCharType="begin"/>
        </w:r>
        <w:r>
          <w:instrText>PAGE   \* MERGEFORMAT</w:instrText>
        </w:r>
        <w:r>
          <w:fldChar w:fldCharType="separate"/>
        </w:r>
        <w:r w:rsidRPr="0021642A">
          <w:rPr>
            <w:noProof/>
            <w:lang w:val="de-DE"/>
          </w:rPr>
          <w:t>1</w:t>
        </w:r>
        <w:r>
          <w:fldChar w:fldCharType="end"/>
        </w:r>
      </w:p>
    </w:sdtContent>
  </w:sdt>
  <w:p w:rsidR="0021642A" w:rsidRDefault="0021642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A17"/>
    <w:rsid w:val="0021642A"/>
    <w:rsid w:val="00395A17"/>
    <w:rsid w:val="008F035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745F32"/>
  <w15:chartTrackingRefBased/>
  <w15:docId w15:val="{55948D0D-D953-433A-9F98-1CB8296E07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1642A"/>
    <w:pPr>
      <w:spacing w:after="0" w:line="276" w:lineRule="auto"/>
    </w:pPr>
    <w:rPr>
      <w:rFonts w:ascii="Arial" w:eastAsia="Arial" w:hAnsi="Arial" w:cs="Arial"/>
      <w:lang w:val="en-GB"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21642A"/>
    <w:rPr>
      <w:i/>
      <w:iCs/>
    </w:rPr>
  </w:style>
  <w:style w:type="paragraph" w:styleId="Header">
    <w:name w:val="header"/>
    <w:basedOn w:val="Normal"/>
    <w:link w:val="HeaderChar"/>
    <w:uiPriority w:val="99"/>
    <w:unhideWhenUsed/>
    <w:rsid w:val="0021642A"/>
    <w:pPr>
      <w:tabs>
        <w:tab w:val="center" w:pos="4536"/>
        <w:tab w:val="right" w:pos="9072"/>
      </w:tabs>
      <w:spacing w:line="240" w:lineRule="auto"/>
    </w:pPr>
  </w:style>
  <w:style w:type="character" w:customStyle="1" w:styleId="HeaderChar">
    <w:name w:val="Header Char"/>
    <w:basedOn w:val="DefaultParagraphFont"/>
    <w:link w:val="Header"/>
    <w:uiPriority w:val="99"/>
    <w:rsid w:val="0021642A"/>
    <w:rPr>
      <w:rFonts w:ascii="Arial" w:eastAsia="Arial" w:hAnsi="Arial" w:cs="Arial"/>
      <w:lang w:val="en-GB" w:eastAsia="de-DE"/>
    </w:rPr>
  </w:style>
  <w:style w:type="paragraph" w:styleId="Footer">
    <w:name w:val="footer"/>
    <w:basedOn w:val="Normal"/>
    <w:link w:val="FooterChar"/>
    <w:uiPriority w:val="99"/>
    <w:unhideWhenUsed/>
    <w:rsid w:val="0021642A"/>
    <w:pPr>
      <w:tabs>
        <w:tab w:val="center" w:pos="4536"/>
        <w:tab w:val="right" w:pos="9072"/>
      </w:tabs>
      <w:spacing w:line="240" w:lineRule="auto"/>
    </w:pPr>
  </w:style>
  <w:style w:type="character" w:customStyle="1" w:styleId="FooterChar">
    <w:name w:val="Footer Char"/>
    <w:basedOn w:val="DefaultParagraphFont"/>
    <w:link w:val="Footer"/>
    <w:uiPriority w:val="99"/>
    <w:rsid w:val="0021642A"/>
    <w:rPr>
      <w:rFonts w:ascii="Arial" w:eastAsia="Arial" w:hAnsi="Arial" w:cs="Arial"/>
      <w:lang w:val="en-GB"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448</Words>
  <Characters>2825</Characters>
  <Application>Microsoft Office Word</Application>
  <DocSecurity>0</DocSecurity>
  <Lines>23</Lines>
  <Paragraphs>6</Paragraphs>
  <ScaleCrop>false</ScaleCrop>
  <Company>Orgname</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Garo Pascual, Marta</dc:creator>
  <cp:keywords/>
  <dc:description/>
  <cp:lastModifiedBy>Garo Pascual, Marta</cp:lastModifiedBy>
  <cp:revision>2</cp:revision>
  <dcterms:created xsi:type="dcterms:W3CDTF">2026-02-15T10:02:00Z</dcterms:created>
  <dcterms:modified xsi:type="dcterms:W3CDTF">2026-02-15T10:04:00Z</dcterms:modified>
</cp:coreProperties>
</file>