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FF21C9" w14:textId="77777777" w:rsidR="00BC7BFA" w:rsidRDefault="00BC7BFA" w:rsidP="00BC7BFA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 w:rsidRPr="00CE7B7F">
        <w:rPr>
          <w:rFonts w:ascii="Times New Roman" w:hAnsi="Times New Roman" w:cs="Times New Roman"/>
          <w:b/>
          <w:bCs/>
          <w:color w:val="000000"/>
        </w:rPr>
        <w:t>SUPPLEMENTARY MATERIAL</w:t>
      </w:r>
    </w:p>
    <w:p w14:paraId="15C00B11" w14:textId="77777777" w:rsidR="00BC7BFA" w:rsidRPr="00CE7B7F" w:rsidRDefault="00BC7BFA" w:rsidP="00BC7BFA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Extended Data Figures</w:t>
      </w:r>
    </w:p>
    <w:p w14:paraId="03754600" w14:textId="77777777" w:rsidR="00BC7BFA" w:rsidRPr="002575F1" w:rsidRDefault="00BC7BFA" w:rsidP="00BC7BFA">
      <w:pPr>
        <w:spacing w:line="480" w:lineRule="auto"/>
        <w:rPr>
          <w:rFonts w:asciiTheme="majorBidi" w:hAnsiTheme="majorBidi" w:cstheme="majorBidi"/>
          <w:color w:val="000000"/>
        </w:rPr>
      </w:pPr>
      <w:r w:rsidRPr="002575F1">
        <w:rPr>
          <w:rFonts w:asciiTheme="majorBidi" w:hAnsiTheme="majorBidi" w:cstheme="majorBidi"/>
          <w:color w:val="000000"/>
        </w:rPr>
        <w:t xml:space="preserve">Extended Data Fig. 1. </w:t>
      </w:r>
      <w:r w:rsidRPr="002575F1">
        <w:rPr>
          <w:rFonts w:asciiTheme="majorBidi" w:hAnsiTheme="majorBidi" w:cstheme="majorBidi"/>
        </w:rPr>
        <w:t>Quality assessment of kidney tissue composition and proteomics data.</w:t>
      </w:r>
    </w:p>
    <w:p w14:paraId="450B11AA" w14:textId="77777777" w:rsidR="00BC7BFA" w:rsidRPr="002575F1" w:rsidRDefault="00BC7BFA" w:rsidP="00BC7BFA">
      <w:pPr>
        <w:spacing w:line="480" w:lineRule="auto"/>
        <w:rPr>
          <w:rFonts w:asciiTheme="majorBidi" w:hAnsiTheme="majorBidi" w:cstheme="majorBidi"/>
          <w:color w:val="000000"/>
        </w:rPr>
      </w:pPr>
      <w:r w:rsidRPr="002575F1">
        <w:rPr>
          <w:rFonts w:asciiTheme="majorBidi" w:hAnsiTheme="majorBidi" w:cstheme="majorBidi"/>
          <w:color w:val="000000"/>
        </w:rPr>
        <w:t xml:space="preserve">Extended Data Fig. 2. </w:t>
      </w:r>
      <w:r w:rsidRPr="002575F1">
        <w:rPr>
          <w:rFonts w:ascii="Times New Roman" w:hAnsi="Times New Roman" w:cs="Times New Roman"/>
        </w:rPr>
        <w:t>Differential protein abundance in FSGS and disease controls</w:t>
      </w:r>
      <w:r w:rsidRPr="002575F1">
        <w:rPr>
          <w:rFonts w:asciiTheme="majorBidi" w:hAnsiTheme="majorBidi" w:cstheme="majorBidi"/>
          <w:szCs w:val="32"/>
        </w:rPr>
        <w:t>.</w:t>
      </w:r>
    </w:p>
    <w:p w14:paraId="54B19247" w14:textId="77777777" w:rsidR="00BC7BFA" w:rsidRPr="002575F1" w:rsidRDefault="00BC7BFA" w:rsidP="00BC7BFA">
      <w:pPr>
        <w:spacing w:line="480" w:lineRule="auto"/>
        <w:rPr>
          <w:rFonts w:asciiTheme="majorBidi" w:hAnsiTheme="majorBidi" w:cstheme="majorBidi"/>
          <w:color w:val="000000"/>
        </w:rPr>
      </w:pPr>
      <w:r w:rsidRPr="002575F1">
        <w:rPr>
          <w:rFonts w:asciiTheme="majorBidi" w:hAnsiTheme="majorBidi" w:cstheme="majorBidi"/>
          <w:color w:val="000000"/>
        </w:rPr>
        <w:t xml:space="preserve">Extended Data Fig. 3. </w:t>
      </w:r>
      <w:r w:rsidRPr="002575F1">
        <w:rPr>
          <w:rFonts w:asciiTheme="majorBidi" w:hAnsiTheme="majorBidi" w:cstheme="majorBidi"/>
        </w:rPr>
        <w:t>Eleven proteins elevated in FSGS relative to healthy and disease controls.</w:t>
      </w:r>
    </w:p>
    <w:p w14:paraId="3B45A0BC" w14:textId="77777777" w:rsidR="00BC7BFA" w:rsidRPr="002575F1" w:rsidRDefault="00BC7BFA" w:rsidP="00BC7BFA">
      <w:pPr>
        <w:spacing w:line="480" w:lineRule="auto"/>
        <w:rPr>
          <w:rFonts w:asciiTheme="majorBidi" w:hAnsiTheme="majorBidi" w:cstheme="majorBidi"/>
          <w:color w:val="000000"/>
        </w:rPr>
      </w:pPr>
      <w:r w:rsidRPr="002575F1">
        <w:rPr>
          <w:rFonts w:asciiTheme="majorBidi" w:hAnsiTheme="majorBidi" w:cstheme="majorBidi"/>
          <w:color w:val="000000"/>
        </w:rPr>
        <w:t xml:space="preserve">Extended Data Fig. 4. </w:t>
      </w:r>
      <w:r w:rsidRPr="002575F1">
        <w:rPr>
          <w:rFonts w:asciiTheme="majorBidi" w:hAnsiTheme="majorBidi" w:cstheme="majorBidi"/>
        </w:rPr>
        <w:t>Integration, annotation, and refinement of Xenium spatial cell states.</w:t>
      </w:r>
    </w:p>
    <w:p w14:paraId="79341832" w14:textId="77777777" w:rsidR="00BC7BFA" w:rsidRPr="002575F1" w:rsidRDefault="00BC7BFA" w:rsidP="00BC7BFA">
      <w:pPr>
        <w:spacing w:line="480" w:lineRule="auto"/>
        <w:rPr>
          <w:rFonts w:asciiTheme="majorBidi" w:hAnsiTheme="majorBidi" w:cstheme="majorBidi"/>
          <w:color w:val="000000"/>
        </w:rPr>
      </w:pPr>
      <w:r w:rsidRPr="002575F1">
        <w:rPr>
          <w:rFonts w:asciiTheme="majorBidi" w:hAnsiTheme="majorBidi" w:cstheme="majorBidi"/>
          <w:color w:val="000000"/>
        </w:rPr>
        <w:t xml:space="preserve">Extended Data Fig. 5. </w:t>
      </w:r>
      <w:r w:rsidRPr="002575F1">
        <w:rPr>
          <w:rFonts w:asciiTheme="majorBidi" w:hAnsiTheme="majorBidi" w:cstheme="majorBidi"/>
        </w:rPr>
        <w:t>Pseudotime analysis of glomerular cells reveals disease-associated transcriptional trajectories.</w:t>
      </w:r>
    </w:p>
    <w:p w14:paraId="5E913671" w14:textId="77777777" w:rsidR="00BC7BFA" w:rsidRPr="002575F1" w:rsidRDefault="00BC7BFA" w:rsidP="00BC7BFA">
      <w:pPr>
        <w:spacing w:line="480" w:lineRule="auto"/>
        <w:rPr>
          <w:rFonts w:asciiTheme="majorBidi" w:hAnsiTheme="majorBidi" w:cstheme="majorBidi"/>
          <w:color w:val="000000"/>
        </w:rPr>
      </w:pPr>
      <w:r w:rsidRPr="002575F1">
        <w:rPr>
          <w:rFonts w:asciiTheme="majorBidi" w:hAnsiTheme="majorBidi" w:cstheme="majorBidi"/>
          <w:color w:val="000000"/>
        </w:rPr>
        <w:t xml:space="preserve">Extended Data Fig. 6. Glomerular </w:t>
      </w:r>
      <w:r w:rsidRPr="002575F1">
        <w:rPr>
          <w:rFonts w:asciiTheme="majorBidi" w:hAnsiTheme="majorBidi" w:cstheme="majorBidi"/>
        </w:rPr>
        <w:t>cell type distribution in FSGS and donors.</w:t>
      </w:r>
    </w:p>
    <w:p w14:paraId="03E265B2" w14:textId="77777777" w:rsidR="00BC7BFA" w:rsidRPr="002575F1" w:rsidRDefault="00BC7BFA" w:rsidP="00BC7BFA">
      <w:pPr>
        <w:spacing w:line="480" w:lineRule="auto"/>
        <w:rPr>
          <w:rFonts w:asciiTheme="majorBidi" w:hAnsiTheme="majorBidi" w:cstheme="majorBidi"/>
        </w:rPr>
      </w:pPr>
      <w:r w:rsidRPr="002575F1">
        <w:rPr>
          <w:rFonts w:asciiTheme="majorBidi" w:hAnsiTheme="majorBidi" w:cstheme="majorBidi"/>
          <w:color w:val="000000"/>
        </w:rPr>
        <w:t xml:space="preserve">Extended Data Fig. 7. </w:t>
      </w:r>
      <w:r w:rsidRPr="002575F1">
        <w:rPr>
          <w:rFonts w:asciiTheme="majorBidi" w:hAnsiTheme="majorBidi" w:cstheme="majorBidi"/>
        </w:rPr>
        <w:t>Classification of interstitial regions according to glomerular pseudotime and distance.</w:t>
      </w:r>
    </w:p>
    <w:p w14:paraId="1F640C92" w14:textId="77777777" w:rsidR="00BC7BFA" w:rsidRPr="002575F1" w:rsidRDefault="00BC7BFA" w:rsidP="00BC7BFA">
      <w:pPr>
        <w:spacing w:line="480" w:lineRule="auto"/>
        <w:rPr>
          <w:rFonts w:asciiTheme="majorBidi" w:hAnsiTheme="majorBidi" w:cstheme="majorBidi"/>
          <w:color w:val="000000"/>
        </w:rPr>
      </w:pPr>
      <w:r w:rsidRPr="002575F1">
        <w:rPr>
          <w:rFonts w:asciiTheme="majorBidi" w:hAnsiTheme="majorBidi" w:cstheme="majorBidi"/>
          <w:color w:val="000000"/>
        </w:rPr>
        <w:t>Extended Data Fig. 8. Cell–cell interaction analyses across disease states and glomerular pseudotime in glomerular and periglomerular regions.</w:t>
      </w:r>
    </w:p>
    <w:p w14:paraId="5C430BA3" w14:textId="77777777" w:rsidR="00BC7BFA" w:rsidRPr="00613130" w:rsidRDefault="00BC7BFA" w:rsidP="00BC7BFA">
      <w:pPr>
        <w:spacing w:line="480" w:lineRule="auto"/>
        <w:rPr>
          <w:rFonts w:asciiTheme="majorBidi" w:hAnsiTheme="majorBidi" w:cstheme="majorBidi"/>
          <w:color w:val="000000"/>
        </w:rPr>
      </w:pPr>
    </w:p>
    <w:p w14:paraId="13225AD0" w14:textId="77777777" w:rsidR="00BC7BFA" w:rsidRPr="00600659" w:rsidRDefault="00BC7BFA" w:rsidP="00BC7BFA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 w:rsidRPr="00600659">
        <w:rPr>
          <w:rFonts w:ascii="Times New Roman" w:hAnsi="Times New Roman" w:cs="Times New Roman"/>
          <w:b/>
          <w:bCs/>
          <w:color w:val="000000"/>
        </w:rPr>
        <w:t>Supplementary information</w:t>
      </w:r>
    </w:p>
    <w:p w14:paraId="280294F0" w14:textId="77777777" w:rsidR="00BC7BFA" w:rsidRPr="00CE7B7F" w:rsidRDefault="00BC7BFA" w:rsidP="00BC7BFA">
      <w:pPr>
        <w:spacing w:line="48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Method</w:t>
      </w:r>
    </w:p>
    <w:p w14:paraId="06187795" w14:textId="77777777" w:rsidR="00BC7BFA" w:rsidRPr="004C6694" w:rsidRDefault="00BC7BFA" w:rsidP="00BC7BFA">
      <w:pPr>
        <w:spacing w:line="480" w:lineRule="auto"/>
        <w:rPr>
          <w:rFonts w:asciiTheme="majorBidi" w:hAnsiTheme="majorBidi" w:cstheme="majorBidi"/>
        </w:rPr>
      </w:pPr>
      <w:r w:rsidRPr="00CE7B7F">
        <w:rPr>
          <w:rFonts w:ascii="Times New Roman" w:hAnsi="Times New Roman" w:cs="Times New Roman"/>
          <w:color w:val="000000"/>
        </w:rPr>
        <w:t xml:space="preserve">Supplementary TableS1. </w:t>
      </w:r>
      <w:r w:rsidRPr="004C6694">
        <w:rPr>
          <w:rFonts w:asciiTheme="majorBidi" w:hAnsiTheme="majorBidi" w:cstheme="majorBidi"/>
        </w:rPr>
        <w:t xml:space="preserve">The patients background at </w:t>
      </w:r>
      <w:r>
        <w:rPr>
          <w:rFonts w:asciiTheme="majorBidi" w:hAnsiTheme="majorBidi" w:cstheme="majorBidi"/>
        </w:rPr>
        <w:t>kidney</w:t>
      </w:r>
      <w:r w:rsidRPr="004C6694">
        <w:rPr>
          <w:rFonts w:asciiTheme="majorBidi" w:hAnsiTheme="majorBidi" w:cstheme="majorBidi"/>
        </w:rPr>
        <w:t xml:space="preserve"> biopsy in proteomics cohort.</w:t>
      </w:r>
    </w:p>
    <w:p w14:paraId="73B05209" w14:textId="77777777" w:rsidR="00BC7BFA" w:rsidRPr="004C6694" w:rsidRDefault="00BC7BFA" w:rsidP="00BC7BFA">
      <w:pPr>
        <w:spacing w:line="480" w:lineRule="auto"/>
        <w:rPr>
          <w:rFonts w:asciiTheme="majorBidi" w:hAnsiTheme="majorBidi" w:cstheme="majorBidi"/>
          <w:szCs w:val="32"/>
        </w:rPr>
      </w:pPr>
      <w:r w:rsidRPr="004C6694">
        <w:rPr>
          <w:rFonts w:asciiTheme="majorBidi" w:hAnsiTheme="majorBidi" w:cstheme="majorBidi"/>
        </w:rPr>
        <w:t xml:space="preserve">Supplementary </w:t>
      </w:r>
      <w:r w:rsidRPr="00CE7B7F">
        <w:rPr>
          <w:rFonts w:ascii="Times New Roman" w:hAnsi="Times New Roman" w:cs="Times New Roman"/>
          <w:color w:val="000000"/>
        </w:rPr>
        <w:t>T</w:t>
      </w:r>
      <w:r w:rsidRPr="004C6694">
        <w:rPr>
          <w:rFonts w:asciiTheme="majorBidi" w:hAnsiTheme="majorBidi" w:cstheme="majorBidi"/>
        </w:rPr>
        <w:t>able S</w:t>
      </w:r>
      <w:r w:rsidRPr="004C6694">
        <w:rPr>
          <w:rFonts w:asciiTheme="majorBidi" w:hAnsiTheme="majorBidi" w:cstheme="majorBidi"/>
          <w:szCs w:val="32"/>
        </w:rPr>
        <w:t xml:space="preserve">2. The patients background at </w:t>
      </w:r>
      <w:r>
        <w:rPr>
          <w:rFonts w:asciiTheme="majorBidi" w:hAnsiTheme="majorBidi" w:cstheme="majorBidi"/>
          <w:szCs w:val="32"/>
        </w:rPr>
        <w:t>kidney</w:t>
      </w:r>
      <w:r w:rsidRPr="004C6694">
        <w:rPr>
          <w:rFonts w:asciiTheme="majorBidi" w:hAnsiTheme="majorBidi" w:cstheme="majorBidi"/>
          <w:szCs w:val="32"/>
        </w:rPr>
        <w:t xml:space="preserve"> biopsy in spatial transcriptomics cohort.</w:t>
      </w:r>
    </w:p>
    <w:p w14:paraId="4E482B57" w14:textId="77777777" w:rsidR="00BC7BFA" w:rsidRPr="004C6694" w:rsidRDefault="00BC7BFA" w:rsidP="00BC7BFA">
      <w:pPr>
        <w:spacing w:line="480" w:lineRule="auto"/>
        <w:rPr>
          <w:rFonts w:asciiTheme="majorBidi" w:hAnsiTheme="majorBidi" w:cstheme="majorBidi"/>
          <w:szCs w:val="32"/>
        </w:rPr>
      </w:pPr>
      <w:r w:rsidRPr="004C6694">
        <w:rPr>
          <w:rFonts w:asciiTheme="majorBidi" w:hAnsiTheme="majorBidi" w:cstheme="majorBidi"/>
        </w:rPr>
        <w:t xml:space="preserve">Supplementary </w:t>
      </w:r>
      <w:r w:rsidRPr="00CE7B7F">
        <w:rPr>
          <w:rFonts w:ascii="Times New Roman" w:hAnsi="Times New Roman" w:cs="Times New Roman"/>
          <w:color w:val="000000"/>
        </w:rPr>
        <w:t>T</w:t>
      </w:r>
      <w:r w:rsidRPr="004C6694">
        <w:rPr>
          <w:rFonts w:asciiTheme="majorBidi" w:hAnsiTheme="majorBidi" w:cstheme="majorBidi"/>
        </w:rPr>
        <w:t>able S</w:t>
      </w:r>
      <w:r w:rsidRPr="004C6694">
        <w:rPr>
          <w:rFonts w:asciiTheme="majorBidi" w:hAnsiTheme="majorBidi" w:cstheme="majorBidi"/>
          <w:szCs w:val="32"/>
        </w:rPr>
        <w:t>3. Classification, treatment, and electron microscopic findings of FSGS groups used in proteomics and spatial transcriptomics cohorts.</w:t>
      </w:r>
    </w:p>
    <w:p w14:paraId="41B37D0D" w14:textId="77777777" w:rsidR="00BC7BFA" w:rsidRPr="00CE7B7F" w:rsidRDefault="00BC7BFA" w:rsidP="00BC7BFA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</w:rPr>
      </w:pPr>
      <w:r w:rsidRPr="004C6694">
        <w:rPr>
          <w:rFonts w:asciiTheme="majorBidi" w:hAnsiTheme="majorBidi" w:cstheme="majorBidi"/>
        </w:rPr>
        <w:t xml:space="preserve">Supplementary </w:t>
      </w:r>
      <w:r w:rsidRPr="00CE7B7F">
        <w:rPr>
          <w:rFonts w:ascii="Times New Roman" w:hAnsi="Times New Roman" w:cs="Times New Roman"/>
          <w:color w:val="000000"/>
        </w:rPr>
        <w:t>T</w:t>
      </w:r>
      <w:r w:rsidRPr="004C6694">
        <w:rPr>
          <w:rFonts w:asciiTheme="majorBidi" w:hAnsiTheme="majorBidi" w:cstheme="majorBidi"/>
        </w:rPr>
        <w:t xml:space="preserve">able S4. Evaluation of pathological differences in the </w:t>
      </w:r>
      <w:r>
        <w:rPr>
          <w:rFonts w:asciiTheme="majorBidi" w:hAnsiTheme="majorBidi" w:cstheme="majorBidi"/>
        </w:rPr>
        <w:t>kidney</w:t>
      </w:r>
      <w:r w:rsidRPr="004C6694">
        <w:rPr>
          <w:rFonts w:asciiTheme="majorBidi" w:hAnsiTheme="majorBidi" w:cstheme="majorBidi"/>
        </w:rPr>
        <w:t xml:space="preserve"> biopsy samples among the four groups in proteomics cohort.</w:t>
      </w:r>
    </w:p>
    <w:p w14:paraId="1DD12A66" w14:textId="77777777" w:rsidR="00BC7BFA" w:rsidRPr="00DE1A49" w:rsidRDefault="00BC7BFA" w:rsidP="00BC7BFA">
      <w:pPr>
        <w:spacing w:line="480" w:lineRule="auto"/>
        <w:rPr>
          <w:rFonts w:asciiTheme="majorBidi" w:hAnsiTheme="majorBidi" w:cstheme="majorBidi"/>
        </w:rPr>
      </w:pPr>
      <w:r w:rsidRPr="009C788D">
        <w:rPr>
          <w:rFonts w:ascii="Times New Roman" w:hAnsi="Times New Roman" w:cs="Times New Roman"/>
          <w:color w:val="000000"/>
        </w:rPr>
        <w:lastRenderedPageBreak/>
        <w:t>Supplementary TableS5</w:t>
      </w:r>
      <w:r w:rsidRPr="00CE7B7F">
        <w:rPr>
          <w:rFonts w:ascii="Times New Roman" w:hAnsi="Times New Roman" w:cs="Times New Roman"/>
          <w:color w:val="000000"/>
        </w:rPr>
        <w:t xml:space="preserve">. </w:t>
      </w:r>
      <w:r w:rsidRPr="00CE7B7F">
        <w:rPr>
          <w:rFonts w:asciiTheme="majorBidi" w:hAnsiTheme="majorBidi" w:cstheme="majorBidi"/>
        </w:rPr>
        <w:t xml:space="preserve">Evaluation of pathological differences in the </w:t>
      </w:r>
      <w:r>
        <w:rPr>
          <w:rFonts w:asciiTheme="majorBidi" w:hAnsiTheme="majorBidi" w:cstheme="majorBidi"/>
        </w:rPr>
        <w:t>kidney</w:t>
      </w:r>
      <w:r w:rsidRPr="00CE7B7F">
        <w:rPr>
          <w:rFonts w:asciiTheme="majorBidi" w:hAnsiTheme="majorBidi" w:cstheme="majorBidi"/>
        </w:rPr>
        <w:t xml:space="preserve"> biopsy samples among the </w:t>
      </w:r>
      <w:r>
        <w:rPr>
          <w:rFonts w:asciiTheme="majorBidi" w:hAnsiTheme="majorBidi" w:cstheme="majorBidi"/>
        </w:rPr>
        <w:t xml:space="preserve">two </w:t>
      </w:r>
      <w:r w:rsidRPr="00CE7B7F">
        <w:rPr>
          <w:rFonts w:asciiTheme="majorBidi" w:hAnsiTheme="majorBidi" w:cstheme="majorBidi"/>
        </w:rPr>
        <w:t>groups</w:t>
      </w:r>
      <w:r>
        <w:rPr>
          <w:rFonts w:asciiTheme="majorBidi" w:hAnsiTheme="majorBidi" w:cstheme="majorBidi"/>
        </w:rPr>
        <w:t xml:space="preserve"> in spatial transcriptomics cohort</w:t>
      </w:r>
      <w:r w:rsidRPr="00CE7B7F">
        <w:rPr>
          <w:rFonts w:asciiTheme="majorBidi" w:hAnsiTheme="majorBidi" w:cstheme="majorBidi"/>
        </w:rPr>
        <w:t>.</w:t>
      </w:r>
    </w:p>
    <w:p w14:paraId="7C545A40" w14:textId="77777777" w:rsidR="00BC7BFA" w:rsidRPr="00CE7B7F" w:rsidRDefault="00BC7BFA" w:rsidP="00BC7BFA">
      <w:pPr>
        <w:spacing w:line="480" w:lineRule="auto"/>
        <w:rPr>
          <w:rFonts w:ascii="Times New Roman" w:hAnsi="Times New Roman" w:cs="Times New Roman"/>
          <w:color w:val="000000"/>
        </w:rPr>
      </w:pPr>
      <w:r w:rsidRPr="00CE7B7F">
        <w:rPr>
          <w:rFonts w:ascii="Times New Roman" w:hAnsi="Times New Roman" w:cs="Times New Roman"/>
          <w:color w:val="000000"/>
        </w:rPr>
        <w:t>Supplementary TableS</w:t>
      </w:r>
      <w:r>
        <w:rPr>
          <w:rFonts w:ascii="Times New Roman" w:hAnsi="Times New Roman" w:cs="Times New Roman"/>
          <w:color w:val="000000"/>
        </w:rPr>
        <w:t>6</w:t>
      </w:r>
      <w:r w:rsidRPr="00CE7B7F">
        <w:rPr>
          <w:rFonts w:ascii="Times New Roman" w:hAnsi="Times New Roman" w:cs="Times New Roman"/>
          <w:color w:val="000000"/>
        </w:rPr>
        <w:t>. All groups consensus proteome with quantification (exported from Proteome Discoverer 2.5)</w:t>
      </w:r>
    </w:p>
    <w:p w14:paraId="4B17493A" w14:textId="77777777" w:rsidR="00BC7BFA" w:rsidRPr="00CE7B7F" w:rsidRDefault="00BC7BFA" w:rsidP="00BC7BFA">
      <w:pPr>
        <w:spacing w:line="480" w:lineRule="auto"/>
        <w:rPr>
          <w:rFonts w:ascii="Times New Roman" w:hAnsi="Times New Roman" w:cs="Times New Roman"/>
          <w:color w:val="000000"/>
        </w:rPr>
      </w:pPr>
      <w:r w:rsidRPr="00CE7B7F">
        <w:rPr>
          <w:rFonts w:ascii="Times New Roman" w:hAnsi="Times New Roman" w:cs="Times New Roman"/>
          <w:color w:val="000000"/>
        </w:rPr>
        <w:t>Supplementary TableS</w:t>
      </w:r>
      <w:r>
        <w:rPr>
          <w:rFonts w:ascii="Times New Roman" w:hAnsi="Times New Roman" w:cs="Times New Roman"/>
          <w:color w:val="000000"/>
        </w:rPr>
        <w:t>7</w:t>
      </w:r>
      <w:r w:rsidRPr="00CE7B7F">
        <w:rPr>
          <w:rFonts w:ascii="Times New Roman" w:hAnsi="Times New Roman" w:cs="Times New Roman"/>
          <w:color w:val="000000"/>
        </w:rPr>
        <w:t xml:space="preserve">a. FSGS vs </w:t>
      </w:r>
      <w:r>
        <w:rPr>
          <w:rFonts w:ascii="Times New Roman" w:hAnsi="Times New Roman" w:cs="Times New Roman"/>
          <w:color w:val="000000"/>
        </w:rPr>
        <w:t>Kidney</w:t>
      </w:r>
      <w:r w:rsidRPr="00CE7B7F">
        <w:rPr>
          <w:rFonts w:ascii="Times New Roman" w:hAnsi="Times New Roman" w:cs="Times New Roman"/>
          <w:color w:val="000000"/>
        </w:rPr>
        <w:t xml:space="preserve"> Donor_DAP results</w:t>
      </w:r>
    </w:p>
    <w:p w14:paraId="57611933" w14:textId="77777777" w:rsidR="00BC7BFA" w:rsidRPr="00CE7B7F" w:rsidRDefault="00BC7BFA" w:rsidP="00BC7BFA">
      <w:pPr>
        <w:spacing w:line="480" w:lineRule="auto"/>
        <w:rPr>
          <w:rFonts w:ascii="Times New Roman" w:hAnsi="Times New Roman" w:cs="Times New Roman"/>
          <w:color w:val="000000"/>
        </w:rPr>
      </w:pPr>
      <w:r w:rsidRPr="00CE7B7F">
        <w:rPr>
          <w:rFonts w:ascii="Times New Roman" w:hAnsi="Times New Roman" w:cs="Times New Roman"/>
          <w:color w:val="000000"/>
        </w:rPr>
        <w:t>Supplementary TableS</w:t>
      </w:r>
      <w:r>
        <w:rPr>
          <w:rFonts w:ascii="Times New Roman" w:hAnsi="Times New Roman" w:cs="Times New Roman"/>
          <w:color w:val="000000"/>
        </w:rPr>
        <w:t>7</w:t>
      </w:r>
      <w:r w:rsidRPr="00CE7B7F">
        <w:rPr>
          <w:rFonts w:ascii="Times New Roman" w:hAnsi="Times New Roman" w:cs="Times New Roman"/>
          <w:color w:val="000000"/>
        </w:rPr>
        <w:t xml:space="preserve">b. FSGS vs </w:t>
      </w:r>
      <w:r>
        <w:rPr>
          <w:rFonts w:ascii="Times New Roman" w:hAnsi="Times New Roman" w:cs="Times New Roman"/>
          <w:color w:val="000000"/>
        </w:rPr>
        <w:t>Kidney</w:t>
      </w:r>
      <w:r w:rsidRPr="00CE7B7F">
        <w:rPr>
          <w:rFonts w:ascii="Times New Roman" w:hAnsi="Times New Roman" w:cs="Times New Roman"/>
          <w:color w:val="000000"/>
        </w:rPr>
        <w:t xml:space="preserve"> Donor_GO ORA_enriched in FSGS</w:t>
      </w:r>
    </w:p>
    <w:p w14:paraId="43109F48" w14:textId="77777777" w:rsidR="00BC7BFA" w:rsidRPr="00CE7B7F" w:rsidRDefault="00BC7BFA" w:rsidP="00BC7BFA">
      <w:pPr>
        <w:spacing w:line="480" w:lineRule="auto"/>
        <w:rPr>
          <w:rFonts w:ascii="Times New Roman" w:hAnsi="Times New Roman" w:cs="Times New Roman"/>
          <w:color w:val="000000"/>
        </w:rPr>
      </w:pPr>
      <w:r w:rsidRPr="00CE7B7F">
        <w:rPr>
          <w:rFonts w:ascii="Times New Roman" w:hAnsi="Times New Roman" w:cs="Times New Roman"/>
          <w:color w:val="000000"/>
        </w:rPr>
        <w:t>Supplementary TableS</w:t>
      </w:r>
      <w:r>
        <w:rPr>
          <w:rFonts w:ascii="Times New Roman" w:hAnsi="Times New Roman" w:cs="Times New Roman"/>
          <w:color w:val="000000"/>
        </w:rPr>
        <w:t>7</w:t>
      </w:r>
      <w:r w:rsidRPr="00CE7B7F">
        <w:rPr>
          <w:rFonts w:ascii="Times New Roman" w:hAnsi="Times New Roman" w:cs="Times New Roman"/>
          <w:color w:val="000000"/>
        </w:rPr>
        <w:t xml:space="preserve">c. FSGS vs </w:t>
      </w:r>
      <w:r>
        <w:rPr>
          <w:rFonts w:ascii="Times New Roman" w:hAnsi="Times New Roman" w:cs="Times New Roman"/>
          <w:color w:val="000000"/>
        </w:rPr>
        <w:t>Kidney</w:t>
      </w:r>
      <w:r w:rsidRPr="00CE7B7F">
        <w:rPr>
          <w:rFonts w:ascii="Times New Roman" w:hAnsi="Times New Roman" w:cs="Times New Roman"/>
          <w:color w:val="000000"/>
        </w:rPr>
        <w:t xml:space="preserve"> Donor_GSEA</w:t>
      </w:r>
    </w:p>
    <w:p w14:paraId="6FBB5A41" w14:textId="77777777" w:rsidR="00BC7BFA" w:rsidRPr="00CE7B7F" w:rsidRDefault="00BC7BFA" w:rsidP="00BC7BFA">
      <w:pPr>
        <w:spacing w:line="480" w:lineRule="auto"/>
        <w:rPr>
          <w:rFonts w:ascii="Times New Roman" w:hAnsi="Times New Roman" w:cs="Times New Roman"/>
          <w:color w:val="000000"/>
        </w:rPr>
      </w:pPr>
      <w:r w:rsidRPr="00CE7B7F">
        <w:rPr>
          <w:rFonts w:ascii="Times New Roman" w:hAnsi="Times New Roman" w:cs="Times New Roman"/>
          <w:color w:val="000000"/>
        </w:rPr>
        <w:t>Supplementary TableS</w:t>
      </w:r>
      <w:r>
        <w:rPr>
          <w:rFonts w:ascii="Times New Roman" w:hAnsi="Times New Roman" w:cs="Times New Roman"/>
          <w:color w:val="000000"/>
        </w:rPr>
        <w:t>8</w:t>
      </w:r>
      <w:r w:rsidRPr="00CE7B7F">
        <w:rPr>
          <w:rFonts w:ascii="Times New Roman" w:hAnsi="Times New Roman" w:cs="Times New Roman"/>
          <w:color w:val="000000"/>
        </w:rPr>
        <w:t>a. FSGS vs MCD_DAP results</w:t>
      </w:r>
    </w:p>
    <w:p w14:paraId="01826C4C" w14:textId="77777777" w:rsidR="00BC7BFA" w:rsidRPr="00CE7B7F" w:rsidRDefault="00BC7BFA" w:rsidP="00BC7BFA">
      <w:pPr>
        <w:spacing w:line="480" w:lineRule="auto"/>
        <w:rPr>
          <w:rFonts w:ascii="Times New Roman" w:hAnsi="Times New Roman" w:cs="Times New Roman"/>
          <w:color w:val="000000"/>
        </w:rPr>
      </w:pPr>
      <w:r w:rsidRPr="00CE7B7F">
        <w:rPr>
          <w:rFonts w:ascii="Times New Roman" w:hAnsi="Times New Roman" w:cs="Times New Roman"/>
          <w:color w:val="000000"/>
        </w:rPr>
        <w:t>Supplementary TableS</w:t>
      </w:r>
      <w:r>
        <w:rPr>
          <w:rFonts w:ascii="Times New Roman" w:hAnsi="Times New Roman" w:cs="Times New Roman"/>
          <w:color w:val="000000"/>
        </w:rPr>
        <w:t>8</w:t>
      </w:r>
      <w:r w:rsidRPr="00CE7B7F">
        <w:rPr>
          <w:rFonts w:ascii="Times New Roman" w:hAnsi="Times New Roman" w:cs="Times New Roman"/>
          <w:color w:val="000000"/>
        </w:rPr>
        <w:t>b. FSGS vs MCD _GO ORA_enriched in FSGS</w:t>
      </w:r>
    </w:p>
    <w:p w14:paraId="03815CAE" w14:textId="77777777" w:rsidR="00BC7BFA" w:rsidRPr="00CE7B7F" w:rsidRDefault="00BC7BFA" w:rsidP="00BC7BFA">
      <w:pPr>
        <w:spacing w:line="480" w:lineRule="auto"/>
        <w:rPr>
          <w:rFonts w:ascii="Times New Roman" w:hAnsi="Times New Roman" w:cs="Times New Roman"/>
          <w:color w:val="000000"/>
        </w:rPr>
      </w:pPr>
      <w:r w:rsidRPr="00CE7B7F">
        <w:rPr>
          <w:rFonts w:ascii="Times New Roman" w:hAnsi="Times New Roman" w:cs="Times New Roman"/>
          <w:color w:val="000000"/>
        </w:rPr>
        <w:t>Supplementary TableS</w:t>
      </w:r>
      <w:r>
        <w:rPr>
          <w:rFonts w:ascii="Times New Roman" w:hAnsi="Times New Roman" w:cs="Times New Roman"/>
          <w:color w:val="000000"/>
        </w:rPr>
        <w:t>8</w:t>
      </w:r>
      <w:r w:rsidRPr="00CE7B7F">
        <w:rPr>
          <w:rFonts w:ascii="Times New Roman" w:hAnsi="Times New Roman" w:cs="Times New Roman"/>
          <w:color w:val="000000"/>
        </w:rPr>
        <w:t>c. FSGS vs MCD _GSEA</w:t>
      </w:r>
    </w:p>
    <w:p w14:paraId="14CD341D" w14:textId="77777777" w:rsidR="00BC7BFA" w:rsidRPr="00CE7B7F" w:rsidRDefault="00BC7BFA" w:rsidP="00BC7BFA">
      <w:pPr>
        <w:spacing w:line="480" w:lineRule="auto"/>
        <w:rPr>
          <w:rFonts w:ascii="Times New Roman" w:hAnsi="Times New Roman" w:cs="Times New Roman"/>
          <w:color w:val="000000"/>
        </w:rPr>
      </w:pPr>
      <w:r w:rsidRPr="00CE7B7F">
        <w:rPr>
          <w:rFonts w:ascii="Times New Roman" w:hAnsi="Times New Roman" w:cs="Times New Roman"/>
          <w:color w:val="000000"/>
        </w:rPr>
        <w:t>Supplementary TableS</w:t>
      </w:r>
      <w:r>
        <w:rPr>
          <w:rFonts w:ascii="Times New Roman" w:hAnsi="Times New Roman" w:cs="Times New Roman"/>
          <w:color w:val="000000"/>
        </w:rPr>
        <w:t>9</w:t>
      </w:r>
      <w:r w:rsidRPr="00CE7B7F">
        <w:rPr>
          <w:rFonts w:ascii="Times New Roman" w:hAnsi="Times New Roman" w:cs="Times New Roman"/>
          <w:color w:val="000000"/>
        </w:rPr>
        <w:t>a. FSGS vs IgAN_DAP results</w:t>
      </w:r>
    </w:p>
    <w:p w14:paraId="1F5504A7" w14:textId="77777777" w:rsidR="00BC7BFA" w:rsidRPr="00CE7B7F" w:rsidRDefault="00BC7BFA" w:rsidP="00BC7BFA">
      <w:pPr>
        <w:spacing w:line="480" w:lineRule="auto"/>
        <w:rPr>
          <w:rFonts w:ascii="Times New Roman" w:hAnsi="Times New Roman" w:cs="Times New Roman"/>
          <w:color w:val="000000"/>
        </w:rPr>
      </w:pPr>
      <w:r w:rsidRPr="00CE7B7F">
        <w:rPr>
          <w:rFonts w:ascii="Times New Roman" w:hAnsi="Times New Roman" w:cs="Times New Roman"/>
          <w:color w:val="000000"/>
        </w:rPr>
        <w:t>Supplementary TableS</w:t>
      </w:r>
      <w:r>
        <w:rPr>
          <w:rFonts w:ascii="Times New Roman" w:hAnsi="Times New Roman" w:cs="Times New Roman"/>
          <w:color w:val="000000"/>
        </w:rPr>
        <w:t>9</w:t>
      </w:r>
      <w:r w:rsidRPr="00CE7B7F">
        <w:rPr>
          <w:rFonts w:ascii="Times New Roman" w:hAnsi="Times New Roman" w:cs="Times New Roman"/>
          <w:color w:val="000000"/>
        </w:rPr>
        <w:t>b. FSGS vs IgAN _GO ORA_enriched in FSGS</w:t>
      </w:r>
    </w:p>
    <w:p w14:paraId="1BA03326" w14:textId="77777777" w:rsidR="00BC7BFA" w:rsidRPr="00CE7B7F" w:rsidRDefault="00BC7BFA" w:rsidP="00BC7BFA">
      <w:pPr>
        <w:spacing w:line="480" w:lineRule="auto"/>
        <w:rPr>
          <w:rFonts w:ascii="Times New Roman" w:hAnsi="Times New Roman" w:cs="Times New Roman"/>
          <w:color w:val="000000"/>
        </w:rPr>
      </w:pPr>
      <w:r w:rsidRPr="00CE7B7F">
        <w:rPr>
          <w:rFonts w:ascii="Times New Roman" w:hAnsi="Times New Roman" w:cs="Times New Roman"/>
          <w:color w:val="000000"/>
        </w:rPr>
        <w:t>Supplementary TableS</w:t>
      </w:r>
      <w:r>
        <w:rPr>
          <w:rFonts w:ascii="Times New Roman" w:hAnsi="Times New Roman" w:cs="Times New Roman"/>
          <w:color w:val="000000"/>
        </w:rPr>
        <w:t>9</w:t>
      </w:r>
      <w:r w:rsidRPr="00CE7B7F">
        <w:rPr>
          <w:rFonts w:ascii="Times New Roman" w:hAnsi="Times New Roman" w:cs="Times New Roman"/>
          <w:color w:val="000000"/>
        </w:rPr>
        <w:t>c. FSGS vs IgAN _GSEA</w:t>
      </w:r>
    </w:p>
    <w:p w14:paraId="6BD6F27F" w14:textId="77777777" w:rsidR="00BC7BFA" w:rsidRPr="00CE7B7F" w:rsidRDefault="00BC7BFA" w:rsidP="00BC7BFA">
      <w:pPr>
        <w:spacing w:line="480" w:lineRule="auto"/>
        <w:rPr>
          <w:rFonts w:ascii="Times New Roman" w:hAnsi="Times New Roman" w:cs="Times New Roman"/>
          <w:color w:val="000000"/>
        </w:rPr>
      </w:pPr>
      <w:r w:rsidRPr="00CE7B7F">
        <w:rPr>
          <w:rFonts w:ascii="Times New Roman" w:hAnsi="Times New Roman" w:cs="Times New Roman"/>
          <w:color w:val="000000"/>
        </w:rPr>
        <w:t>Supplementary TableS</w:t>
      </w:r>
      <w:r>
        <w:rPr>
          <w:rFonts w:ascii="Times New Roman" w:hAnsi="Times New Roman" w:cs="Times New Roman"/>
          <w:color w:val="000000"/>
        </w:rPr>
        <w:t>10</w:t>
      </w:r>
      <w:r w:rsidRPr="00CE7B7F">
        <w:rPr>
          <w:rFonts w:ascii="Times New Roman" w:hAnsi="Times New Roman" w:cs="Times New Roman"/>
          <w:color w:val="000000"/>
        </w:rPr>
        <w:t xml:space="preserve">. </w:t>
      </w:r>
      <w:r>
        <w:rPr>
          <w:rFonts w:ascii="Times New Roman" w:hAnsi="Times New Roman" w:cs="Times New Roman"/>
          <w:color w:val="000000"/>
        </w:rPr>
        <w:t>The list of target and base panel genes</w:t>
      </w:r>
    </w:p>
    <w:p w14:paraId="3021ED18" w14:textId="77777777" w:rsidR="00BC7BFA" w:rsidRDefault="00BC7BFA" w:rsidP="00BC7BFA">
      <w:pPr>
        <w:spacing w:line="480" w:lineRule="auto"/>
        <w:rPr>
          <w:rFonts w:asciiTheme="majorBidi" w:hAnsiTheme="majorBidi" w:cstheme="majorBidi"/>
        </w:rPr>
      </w:pPr>
      <w:r w:rsidRPr="00CE7B7F">
        <w:rPr>
          <w:rFonts w:ascii="Times New Roman" w:hAnsi="Times New Roman" w:cs="Times New Roman"/>
          <w:color w:val="000000"/>
        </w:rPr>
        <w:t>Supplementary TableS</w:t>
      </w:r>
      <w:r>
        <w:rPr>
          <w:rFonts w:ascii="Times New Roman" w:hAnsi="Times New Roman" w:cs="Times New Roman"/>
          <w:color w:val="000000"/>
        </w:rPr>
        <w:t>11</w:t>
      </w:r>
      <w:r w:rsidRPr="00CE7B7F">
        <w:rPr>
          <w:rFonts w:ascii="Times New Roman" w:hAnsi="Times New Roman" w:cs="Times New Roman"/>
          <w:color w:val="000000"/>
        </w:rPr>
        <w:t>.</w:t>
      </w:r>
      <w:r w:rsidRPr="00CE7B7F">
        <w:t xml:space="preserve"> </w:t>
      </w:r>
      <w:r w:rsidRPr="00AB6D01">
        <w:rPr>
          <w:rFonts w:asciiTheme="majorBidi" w:hAnsiTheme="majorBidi" w:cstheme="majorBidi"/>
        </w:rPr>
        <w:t xml:space="preserve">The list of </w:t>
      </w:r>
      <w:r>
        <w:rPr>
          <w:rFonts w:asciiTheme="majorBidi" w:hAnsiTheme="majorBidi" w:cstheme="majorBidi"/>
        </w:rPr>
        <w:t>genes used for SCSE analyses</w:t>
      </w:r>
    </w:p>
    <w:p w14:paraId="20918E68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BFA"/>
    <w:rsid w:val="002C7D54"/>
    <w:rsid w:val="0033371E"/>
    <w:rsid w:val="005C0D39"/>
    <w:rsid w:val="0070406C"/>
    <w:rsid w:val="00724754"/>
    <w:rsid w:val="007B10D0"/>
    <w:rsid w:val="00BC7BFA"/>
    <w:rsid w:val="00C321FA"/>
    <w:rsid w:val="00C97210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1213B7"/>
  <w15:chartTrackingRefBased/>
  <w15:docId w15:val="{029F8E66-8F28-4C25-B6C6-8D769FEA8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7BFA"/>
    <w:pPr>
      <w:spacing w:after="0" w:line="240" w:lineRule="auto"/>
    </w:pPr>
    <w:rPr>
      <w:rFonts w:ascii="MS PGothic" w:eastAsia="MS PGothic" w:hAnsi="MS PGothic" w:cs="MS PGothic"/>
      <w:kern w:val="0"/>
      <w:lang w:val="en-US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C7BF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7BF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7BF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7BF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7BF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7BFA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7BFA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7BFA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7BFA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7B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7B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7B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7BF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7BF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7B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7B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7B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7B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7BF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C7B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7BF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C7B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7BF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C7B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7BF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C7B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7B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7B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7BF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300</Words>
  <Characters>1940</Characters>
  <Application>Microsoft Office Word</Application>
  <DocSecurity>0</DocSecurity>
  <Lines>32</Lines>
  <Paragraphs>7</Paragraphs>
  <ScaleCrop>false</ScaleCrop>
  <Company/>
  <LinksUpToDate>false</LinksUpToDate>
  <CharactersWithSpaces>2233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2026-03-19T07:24:00Z</dcterms:created>
  <dcterms:modified xsi:type="dcterms:W3CDTF">2026-03-19T07:24:00Z</dcterms:modified>
</cp:coreProperties>
</file>