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51354">
      <w:pPr>
        <w:pStyle w:val="2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 w:rightChars="0"/>
        <w:jc w:val="center"/>
        <w:textAlignment w:val="auto"/>
        <w:rPr>
          <w:rFonts w:hint="eastAsia" w:ascii="Times New Roman" w:hAnsi="Times New Roman" w:eastAsia="宋体" w:cs="宋体"/>
          <w:sz w:val="21"/>
          <w:szCs w:val="21"/>
          <w:lang w:val="en-US" w:eastAsia="zh-CN"/>
        </w:rPr>
      </w:pPr>
      <w:bookmarkStart w:id="0" w:name="_Ref10495"/>
      <w:bookmarkStart w:id="1" w:name="_Ref9269"/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1"/>
          <w:szCs w:val="21"/>
        </w:rPr>
        <w:t>upplementary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table</w:t>
      </w:r>
      <w:r>
        <w:rPr>
          <w:rFonts w:hint="eastAsia" w:ascii="Times New Roman" w:hAnsi="Times New Roman" w:eastAsia="宋体" w:cs="黑体"/>
          <w:b/>
          <w:bCs/>
          <w:sz w:val="21"/>
          <w:szCs w:val="21"/>
        </w:rPr>
        <w:t xml:space="preserve"> </w:t>
      </w:r>
      <w:bookmarkEnd w:id="0"/>
      <w:bookmarkStart w:id="2" w:name="_Toc16563"/>
      <w:r>
        <w:rPr>
          <w:rFonts w:hint="eastAsia" w:ascii="Times New Roman" w:hAnsi="Times New Roman" w:eastAsia="宋体" w:cs="黑体"/>
          <w:b/>
          <w:bCs/>
          <w:sz w:val="21"/>
          <w:szCs w:val="21"/>
          <w:lang w:val="en-US" w:eastAsia="zh-CN"/>
        </w:rPr>
        <w:t>S1</w:t>
      </w:r>
      <w:r>
        <w:rPr>
          <w:rFonts w:hint="eastAsia" w:ascii="Times New Roman" w:hAnsi="Times New Roman" w:eastAsia="宋体" w:cs="黑体"/>
          <w:sz w:val="21"/>
          <w:szCs w:val="21"/>
          <w:lang w:val="en-US" w:eastAsia="zh-CN"/>
        </w:rPr>
        <w:t xml:space="preserve"> </w:t>
      </w:r>
      <w:bookmarkEnd w:id="1"/>
      <w:bookmarkEnd w:id="2"/>
      <w:r>
        <w:rPr>
          <w:rFonts w:hint="eastAsia" w:ascii="Times New Roman" w:hAnsi="Times New Roman" w:eastAsia="宋体" w:cs="黑体"/>
          <w:sz w:val="21"/>
          <w:szCs w:val="21"/>
          <w:lang w:val="en-US" w:eastAsia="zh-CN"/>
        </w:rPr>
        <w:t xml:space="preserve"> Comparison of general clinical characteristics between patients with persistent HPV positivity and those who converted to negativity after cervical conization</w:t>
      </w:r>
    </w:p>
    <w:tbl>
      <w:tblPr>
        <w:tblStyle w:val="5"/>
        <w:tblW w:w="82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460"/>
        <w:gridCol w:w="2060"/>
        <w:gridCol w:w="909"/>
      </w:tblGrid>
      <w:tr w14:paraId="0BC5C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07030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C9B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Persistent HPV positivity</w:t>
            </w:r>
          </w:p>
        </w:tc>
        <w:tc>
          <w:tcPr>
            <w:tcW w:w="20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0AA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HPV turning negative</w:t>
            </w:r>
          </w:p>
        </w:tc>
        <w:tc>
          <w:tcPr>
            <w:tcW w:w="90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1AD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 value</w:t>
            </w:r>
          </w:p>
        </w:tc>
      </w:tr>
      <w:tr w14:paraId="5EEE3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B0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Age</w:t>
            </w:r>
          </w:p>
        </w:tc>
        <w:tc>
          <w:tcPr>
            <w:tcW w:w="24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4A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292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1F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0.715</w:t>
            </w:r>
          </w:p>
        </w:tc>
      </w:tr>
      <w:tr w14:paraId="7999E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E00A1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＜40 years old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A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54C1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C22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9091C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≥40 years old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3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88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0B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B8B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1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umber of natural childbirths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44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E6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9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0.871</w:t>
            </w:r>
          </w:p>
        </w:tc>
      </w:tr>
      <w:tr w14:paraId="5A4E7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1F0B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times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20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14DB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2FB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EF2C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times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C4D5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464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484C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≥2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times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7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6F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DE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83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enopause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CD5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33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1E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0.27</w:t>
            </w:r>
          </w:p>
        </w:tc>
      </w:tr>
      <w:tr w14:paraId="6D27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8849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C9EC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395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1A36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02F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FD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BB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Diabetes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55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02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D4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0.14</w:t>
            </w:r>
          </w:p>
        </w:tc>
      </w:tr>
      <w:tr w14:paraId="65F8B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AEAF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263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241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29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094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7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20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EC4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A2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Hypertension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FD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58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9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0.539</w:t>
            </w:r>
          </w:p>
        </w:tc>
      </w:tr>
      <w:tr w14:paraId="2F07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5BDF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9C1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C0E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6E4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D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B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C8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481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D9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Smoking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AF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2DB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4AD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0.378</w:t>
            </w:r>
          </w:p>
        </w:tc>
      </w:tr>
      <w:tr w14:paraId="6FDEF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3429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9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262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D12F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7E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A91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416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8C9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A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Profession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F8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8E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AC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0.955</w:t>
            </w:r>
          </w:p>
        </w:tc>
      </w:tr>
      <w:tr w14:paraId="74DFE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E2C5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ntellectual workers and students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7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4AC35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E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6DB751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anual laborers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92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597BAC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7C1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F0E4A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etired and unemployed people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240EF2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78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B18BA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ther employees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2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7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48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D0F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3E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68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ducational background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A59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E3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E79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0.383</w:t>
            </w:r>
          </w:p>
        </w:tc>
      </w:tr>
      <w:tr w14:paraId="78F7C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DD786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Junior high school education or below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0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98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1AE121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54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89DF4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high school or technical secondary school diploma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50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54F03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7B9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932A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higher education and above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6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117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81DD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88D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92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Lymphocytes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2B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6DF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1D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0.148</w:t>
            </w:r>
          </w:p>
        </w:tc>
      </w:tr>
      <w:tr w14:paraId="0B3D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AF9C7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low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2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2FCAEC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F83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8FD7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normal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9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201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</w:tcPr>
          <w:p w14:paraId="51DA20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516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5CDA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high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1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A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47</w:t>
            </w:r>
          </w:p>
        </w:tc>
        <w:tc>
          <w:tcPr>
            <w:tcW w:w="9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D941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7E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665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eukocyte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B4E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E2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DF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0.353</w:t>
            </w:r>
          </w:p>
        </w:tc>
      </w:tr>
      <w:tr w14:paraId="3A7E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398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low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889F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35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90A6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normal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2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242</w:t>
            </w:r>
          </w:p>
        </w:tc>
        <w:tc>
          <w:tcPr>
            <w:tcW w:w="9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BC37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A2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3BC788A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high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09A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A44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909" w:type="dxa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C5DD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4D187CCC">
      <w:pPr>
        <w:rPr>
          <w:rFonts w:hint="eastAsia" w:ascii="Times New Roman" w:hAnsi="Times New Roman" w:eastAsia="宋体" w:cs="宋体"/>
          <w:b w:val="0"/>
          <w:sz w:val="21"/>
        </w:rPr>
      </w:pPr>
      <w:bookmarkStart w:id="3" w:name="_Ref26557"/>
      <w:bookmarkStart w:id="4" w:name="_Ref11875"/>
    </w:p>
    <w:p w14:paraId="717CAC7C">
      <w:pPr>
        <w:pStyle w:val="2"/>
        <w:ind w:left="0" w:leftChars="0" w:right="0" w:rightChars="0" w:firstLine="0" w:firstLineChars="0"/>
        <w:jc w:val="center"/>
        <w:rPr>
          <w:rFonts w:hint="eastAsia" w:ascii="Times New Roman" w:hAnsi="Times New Roman" w:eastAsia="宋体" w:cs="宋体"/>
          <w:b w:val="0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1"/>
          <w:szCs w:val="21"/>
        </w:rPr>
        <w:t>upplementary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table</w:t>
      </w: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 xml:space="preserve"> </w:t>
      </w:r>
      <w:bookmarkEnd w:id="3"/>
      <w:r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  <w:t>S2</w:t>
      </w:r>
      <w:r>
        <w:rPr>
          <w:rFonts w:hint="eastAsia" w:ascii="Times New Roman" w:hAnsi="Times New Roman" w:eastAsia="宋体" w:cs="宋体"/>
          <w:b w:val="0"/>
          <w:sz w:val="21"/>
          <w:szCs w:val="21"/>
          <w:lang w:val="en-US" w:eastAsia="zh-CN"/>
        </w:rPr>
        <w:t xml:space="preserve">  </w:t>
      </w:r>
      <w:bookmarkEnd w:id="4"/>
      <w:r>
        <w:rPr>
          <w:rFonts w:hint="eastAsia" w:ascii="Times New Roman" w:hAnsi="Times New Roman" w:eastAsia="宋体" w:cs="宋体"/>
          <w:b w:val="0"/>
          <w:sz w:val="21"/>
          <w:szCs w:val="21"/>
          <w:lang w:val="en-US" w:eastAsia="zh-CN"/>
        </w:rPr>
        <w:t>Comparison of HPV types between patients with persistent HPV positivity and those who have cleared the virus.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2488"/>
        <w:gridCol w:w="2488"/>
        <w:gridCol w:w="1055"/>
      </w:tblGrid>
      <w:tr w14:paraId="3462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546737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37D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Persistent HPV positivity</w:t>
            </w:r>
          </w:p>
        </w:tc>
        <w:tc>
          <w:tcPr>
            <w:tcW w:w="146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B69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HPV turning negative</w:t>
            </w:r>
          </w:p>
        </w:tc>
        <w:tc>
          <w:tcPr>
            <w:tcW w:w="61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EC2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P value</w:t>
            </w:r>
          </w:p>
        </w:tc>
      </w:tr>
      <w:tr w14:paraId="00B14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D9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Multiple infections</w:t>
            </w:r>
          </w:p>
        </w:tc>
        <w:tc>
          <w:tcPr>
            <w:tcW w:w="146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A4B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4D4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0.672</w:t>
            </w:r>
          </w:p>
        </w:tc>
      </w:tr>
      <w:tr w14:paraId="054E6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6BB1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F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52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9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196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5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9B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BF71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53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89D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EA7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62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Infection with HPV16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C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3E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0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0.54</w:t>
            </w:r>
          </w:p>
        </w:tc>
      </w:tr>
      <w:tr w14:paraId="7FFB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01F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0D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D0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0F1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C6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43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44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5AB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1B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Infection with </w:t>
            </w:r>
            <w:r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HPV18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887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56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9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0.327</w:t>
            </w:r>
          </w:p>
        </w:tc>
      </w:tr>
      <w:tr w14:paraId="1828B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1B5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7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221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8F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6F2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17C4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0D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677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F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Infection with </w:t>
            </w:r>
            <w:r>
              <w:rPr>
                <w:rStyle w:val="8"/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HPV52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24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78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F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0.138</w:t>
            </w:r>
          </w:p>
        </w:tc>
      </w:tr>
      <w:tr w14:paraId="2674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D89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A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F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238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900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BFC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AAF7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E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7B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E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0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ther high-risk HPV infections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3C9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3E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0.118</w:t>
            </w:r>
          </w:p>
        </w:tc>
      </w:tr>
      <w:tr w14:paraId="252DC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F375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C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41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E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AD4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1CC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657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8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27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8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79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18A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D65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92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Low-risk HPV infection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F1C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45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A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0.407</w:t>
            </w:r>
          </w:p>
        </w:tc>
      </w:tr>
      <w:tr w14:paraId="4D9F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237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deny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67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1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256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E3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7C1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710B16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4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8DB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6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449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827A7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C00D8FE">
      <w:pPr>
        <w:pStyle w:val="2"/>
        <w:bidi w:val="0"/>
        <w:jc w:val="center"/>
        <w:rPr>
          <w:rFonts w:hint="eastAsia" w:ascii="Times New Roman" w:hAnsi="Times New Roman" w:eastAsia="宋体" w:cs="宋体"/>
          <w:sz w:val="24"/>
          <w:szCs w:val="21"/>
          <w:lang w:val="en-US" w:eastAsia="zh-CN"/>
        </w:rPr>
      </w:pPr>
    </w:p>
    <w:p w14:paraId="0E8723B2">
      <w:pPr>
        <w:pStyle w:val="4"/>
        <w:widowControl/>
        <w:ind w:firstLine="422" w:firstLineChars="200"/>
        <w:jc w:val="center"/>
        <w:rPr>
          <w:rFonts w:ascii="Times New Roman" w:hAnsi="Times New Roman" w:eastAsiaTheme="minorEastAsia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1"/>
          <w:szCs w:val="21"/>
        </w:rPr>
        <w:t>upplementary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t</w:t>
      </w:r>
      <w:r>
        <w:rPr>
          <w:rFonts w:ascii="Times New Roman" w:hAnsi="Times New Roman" w:eastAsiaTheme="minorEastAsia"/>
          <w:b/>
          <w:bCs/>
          <w:sz w:val="21"/>
          <w:szCs w:val="21"/>
        </w:rPr>
        <w:t xml:space="preserve">able </w:t>
      </w:r>
      <w:r>
        <w:rPr>
          <w:rFonts w:hint="eastAsia" w:ascii="Times New Roman" w:hAnsi="Times New Roman" w:eastAsiaTheme="minorEastAsia"/>
          <w:b/>
          <w:bCs/>
          <w:sz w:val="21"/>
          <w:szCs w:val="21"/>
          <w:lang w:val="en-US" w:eastAsia="zh-CN"/>
        </w:rPr>
        <w:t>S3</w:t>
      </w:r>
      <w:r>
        <w:rPr>
          <w:rFonts w:ascii="Times New Roman" w:hAnsi="Times New Roman" w:eastAsiaTheme="minorEastAsia"/>
          <w:sz w:val="21"/>
          <w:szCs w:val="21"/>
        </w:rPr>
        <w:t xml:space="preserve"> Comparison of SRSS scores between patients with persistent positive HPV and those who have turned negative</w:t>
      </w:r>
    </w:p>
    <w:tbl>
      <w:tblPr>
        <w:tblStyle w:val="5"/>
        <w:tblW w:w="827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6"/>
        <w:gridCol w:w="3084"/>
        <w:gridCol w:w="1200"/>
        <w:gridCol w:w="1030"/>
      </w:tblGrid>
      <w:tr w14:paraId="4D6A8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5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71712958">
            <w:pPr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bookmarkStart w:id="5" w:name="_GoBack"/>
          </w:p>
        </w:tc>
        <w:tc>
          <w:tcPr>
            <w:tcW w:w="30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1D4C12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Median ± standard deviation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0A67CF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1"/>
                <w:szCs w:val="21"/>
              </w:rPr>
              <w:t>Cohen's d</w:t>
            </w:r>
          </w:p>
        </w:tc>
        <w:tc>
          <w:tcPr>
            <w:tcW w:w="10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B95D0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14:paraId="6A52C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95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2A3CE">
            <w:pPr>
              <w:pStyle w:val="4"/>
              <w:widowControl/>
              <w:ind w:firstLine="420" w:firstLineChars="20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SRSS score of the persistently positive HPV group</w:t>
            </w:r>
          </w:p>
        </w:tc>
        <w:tc>
          <w:tcPr>
            <w:tcW w:w="3084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33B2C7A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21.5±5.553</w:t>
            </w:r>
          </w:p>
        </w:tc>
        <w:tc>
          <w:tcPr>
            <w:tcW w:w="1200" w:type="dxa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6CA296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5.007</w:t>
            </w:r>
          </w:p>
        </w:tc>
        <w:tc>
          <w:tcPr>
            <w:tcW w:w="1030" w:type="dxa"/>
            <w:vMerge w:val="restart"/>
            <w:tcBorders>
              <w:top w:val="single" w:color="auto" w:sz="6" w:space="0"/>
              <w:left w:val="nil"/>
              <w:right w:val="nil"/>
            </w:tcBorders>
            <w:vAlign w:val="center"/>
          </w:tcPr>
          <w:p w14:paraId="3477931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＜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14:paraId="28916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95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47A36C4">
            <w:pPr>
              <w:pStyle w:val="4"/>
              <w:widowControl/>
              <w:ind w:firstLine="420" w:firstLineChars="20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SRSS score of HPV negative group</w:t>
            </w:r>
          </w:p>
        </w:tc>
        <w:tc>
          <w:tcPr>
            <w:tcW w:w="30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F93BE0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  <w:t>17±5.307</w:t>
            </w:r>
          </w:p>
        </w:tc>
        <w:tc>
          <w:tcPr>
            <w:tcW w:w="1200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41ED7DD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30" w:type="dxa"/>
            <w:vMerge w:val="continue"/>
            <w:tcBorders>
              <w:left w:val="nil"/>
              <w:bottom w:val="single" w:color="auto" w:sz="12" w:space="0"/>
              <w:right w:val="nil"/>
            </w:tcBorders>
            <w:vAlign w:val="center"/>
          </w:tcPr>
          <w:p w14:paraId="4F025C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bookmarkEnd w:id="5"/>
    </w:tbl>
    <w:p w14:paraId="5F22AD93">
      <w:pPr>
        <w:rPr>
          <w:rFonts w:hint="eastAsia"/>
          <w:lang w:val="en-US" w:eastAsia="zh-CN"/>
        </w:rPr>
      </w:pPr>
    </w:p>
    <w:p w14:paraId="0F8884A0">
      <w:pPr>
        <w:rPr>
          <w:rFonts w:hint="eastAsia" w:ascii="Times New Roman" w:hAnsi="Times New Roman" w:eastAsia="宋体" w:cs="宋体"/>
          <w:sz w:val="24"/>
          <w:szCs w:val="21"/>
          <w:lang w:val="en-US" w:eastAsia="zh-CN"/>
        </w:rPr>
      </w:pPr>
    </w:p>
    <w:p w14:paraId="4193623A"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w:drawing>
          <wp:inline distT="0" distB="0" distL="0" distR="0">
            <wp:extent cx="2284095" cy="1426845"/>
            <wp:effectExtent l="0" t="0" r="190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/>
          <w:sz w:val="24"/>
          <w:szCs w:val="24"/>
        </w:rPr>
        <w:drawing>
          <wp:inline distT="0" distB="0" distL="0" distR="0">
            <wp:extent cx="2458085" cy="1545590"/>
            <wp:effectExtent l="0" t="0" r="0" b="38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r="-19292"/>
                    <a:stretch>
                      <a:fillRect/>
                    </a:stretch>
                  </pic:blipFill>
                  <pic:spPr>
                    <a:xfrm>
                      <a:off x="0" y="0"/>
                      <a:ext cx="245808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642B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1"/>
          <w:szCs w:val="21"/>
        </w:rPr>
        <w:t>upplementary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S1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eastAsia="宋体"/>
          <w:sz w:val="21"/>
          <w:szCs w:val="21"/>
        </w:rPr>
        <w:t>-SNE plot showing cell types of cells captured by single-cell RNA sequencing (scRNA-seq)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,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a.</w:t>
      </w:r>
      <w:r>
        <w:rPr>
          <w:rFonts w:hint="eastAsia" w:ascii="Times New Roman" w:hAnsi="Times New Roman" w:eastAsia="宋体"/>
          <w:sz w:val="21"/>
          <w:szCs w:val="21"/>
        </w:rPr>
        <w:t>N_HPV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;b.</w:t>
      </w:r>
      <w:r>
        <w:rPr>
          <w:rFonts w:hint="eastAsia" w:ascii="Times New Roman" w:hAnsi="Times New Roman" w:eastAsia="宋体"/>
          <w:sz w:val="21"/>
          <w:szCs w:val="21"/>
        </w:rPr>
        <w:t>HSIL_HPV</w:t>
      </w:r>
    </w:p>
    <w:p w14:paraId="3D124653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74B19386">
      <w:pPr>
        <w:spacing w:line="360" w:lineRule="auto"/>
        <w:rPr>
          <w:rFonts w:hint="eastAsia" w:ascii="Times New Roman" w:hAnsi="Times New Roman" w:eastAsia="宋体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  <w:lang w:eastAsia="zh-CN"/>
        </w:rPr>
        <w:drawing>
          <wp:inline distT="0" distB="0" distL="114300" distR="114300">
            <wp:extent cx="5271770" cy="1444625"/>
            <wp:effectExtent l="0" t="0" r="1143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D5EF8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/>
          <w:b/>
          <w:bCs/>
          <w:sz w:val="21"/>
          <w:szCs w:val="21"/>
        </w:rPr>
        <w:t>upplementary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Fig</w:t>
      </w:r>
      <w:r>
        <w:rPr>
          <w:rFonts w:hint="eastAsia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>S2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</w:rPr>
        <w:t>Comparative analysis of immune cell communication in normal versus HSIL cervical tissues under HPV infection</w:t>
      </w:r>
    </w:p>
    <w:p w14:paraId="259C5014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78068A95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4FD1611B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3E501C98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39CB86B3">
      <w:pPr>
        <w:snapToGrid/>
        <w:spacing w:beforeAutospacing="0" w:afterAutospacing="0" w:line="480" w:lineRule="exact"/>
        <w:ind w:right="0" w:rightChars="0"/>
        <w:jc w:val="both"/>
        <w:rPr>
          <w:rFonts w:hint="default" w:ascii="Times New Roman" w:hAnsi="Times New Roman" w:eastAsia="宋体" w:cs="宋体"/>
          <w:i w:val="0"/>
          <w:iCs w:val="0"/>
          <w:color w:val="auto"/>
          <w:kern w:val="0"/>
          <w:sz w:val="24"/>
          <w:szCs w:val="24"/>
          <w:u w:val="none"/>
          <w:lang w:val="en-US" w:eastAsia="zh-CN"/>
        </w:rPr>
      </w:pPr>
    </w:p>
    <w:p w14:paraId="623A879A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22F93D3B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425C169B">
      <w:pPr>
        <w:spacing w:line="360" w:lineRule="auto"/>
        <w:rPr>
          <w:rFonts w:hint="eastAsia" w:ascii="黑体" w:hAnsi="黑体" w:eastAsia="黑体"/>
          <w:sz w:val="24"/>
          <w:szCs w:val="24"/>
        </w:rPr>
      </w:pPr>
    </w:p>
    <w:p w14:paraId="7007DAA2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40AF6AF0">
      <w:pPr>
        <w:spacing w:line="360" w:lineRule="auto"/>
        <w:rPr>
          <w:rFonts w:hint="eastAsia" w:ascii="黑体" w:hAnsi="黑体" w:eastAsia="黑体"/>
          <w:sz w:val="24"/>
          <w:szCs w:val="24"/>
          <w:highlight w:val="cyan"/>
        </w:rPr>
      </w:pPr>
    </w:p>
    <w:p w14:paraId="586046E5">
      <w:pPr>
        <w:spacing w:line="360" w:lineRule="auto"/>
        <w:rPr>
          <w:rFonts w:hint="eastAsia" w:ascii="Times New Roman" w:hAnsi="Times New Roman" w:eastAsia="宋体"/>
          <w:sz w:val="21"/>
          <w:szCs w:val="21"/>
        </w:rPr>
      </w:pPr>
    </w:p>
    <w:p w14:paraId="698E2DDE">
      <w:pPr>
        <w:spacing w:line="360" w:lineRule="auto"/>
        <w:rPr>
          <w:rFonts w:hint="eastAsia"/>
          <w:lang w:val="en-US" w:eastAsia="zh-CN"/>
        </w:rPr>
      </w:pPr>
    </w:p>
    <w:p w14:paraId="55D72B48">
      <w:pPr>
        <w:rPr>
          <w:rFonts w:hint="default" w:ascii="黑体" w:hAnsi="黑体" w:eastAsia="黑体"/>
          <w:sz w:val="24"/>
          <w:szCs w:val="24"/>
          <w:lang w:val="en-US" w:eastAsia="zh-CN"/>
        </w:rPr>
      </w:pPr>
    </w:p>
    <w:p w14:paraId="585FFC25">
      <w:pPr>
        <w:pStyle w:val="2"/>
        <w:bidi w:val="0"/>
        <w:jc w:val="center"/>
        <w:rPr>
          <w:rFonts w:ascii="Times New Roman" w:hAnsi="Times New Roman" w:eastAsia="宋体"/>
        </w:rPr>
      </w:pPr>
    </w:p>
    <w:p w14:paraId="65476DB1">
      <w:pPr>
        <w:pStyle w:val="2"/>
        <w:bidi w:val="0"/>
        <w:jc w:val="center"/>
        <w:rPr>
          <w:rFonts w:ascii="Times New Roman" w:hAnsi="Times New Roman" w:eastAsia="宋体"/>
        </w:rPr>
      </w:pPr>
    </w:p>
    <w:p w14:paraId="3224EC71">
      <w:pPr>
        <w:pStyle w:val="2"/>
        <w:bidi w:val="0"/>
        <w:jc w:val="both"/>
        <w:rPr>
          <w:rFonts w:ascii="Times New Roman" w:hAnsi="Times New Roman" w:eastAsia="宋体"/>
        </w:rPr>
      </w:pPr>
    </w:p>
    <w:p w14:paraId="1962BE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277C9"/>
    <w:rsid w:val="01056F85"/>
    <w:rsid w:val="04904582"/>
    <w:rsid w:val="078D1C71"/>
    <w:rsid w:val="0C05627A"/>
    <w:rsid w:val="0E097B78"/>
    <w:rsid w:val="0E5C239D"/>
    <w:rsid w:val="0E82150F"/>
    <w:rsid w:val="0EED1247"/>
    <w:rsid w:val="1205799E"/>
    <w:rsid w:val="131C496C"/>
    <w:rsid w:val="15A5462A"/>
    <w:rsid w:val="19F31E08"/>
    <w:rsid w:val="1D8B774D"/>
    <w:rsid w:val="1E7352C5"/>
    <w:rsid w:val="1F374545"/>
    <w:rsid w:val="1FB77434"/>
    <w:rsid w:val="1FFF1AE2"/>
    <w:rsid w:val="21725D08"/>
    <w:rsid w:val="257F15BB"/>
    <w:rsid w:val="27DF587F"/>
    <w:rsid w:val="29EE21A6"/>
    <w:rsid w:val="2A443D8C"/>
    <w:rsid w:val="2EB5532A"/>
    <w:rsid w:val="335352F1"/>
    <w:rsid w:val="34050D29"/>
    <w:rsid w:val="36961D8F"/>
    <w:rsid w:val="41480404"/>
    <w:rsid w:val="4227271E"/>
    <w:rsid w:val="4B9D0BEA"/>
    <w:rsid w:val="4C174027"/>
    <w:rsid w:val="4CE867DE"/>
    <w:rsid w:val="4DE33966"/>
    <w:rsid w:val="50E27F05"/>
    <w:rsid w:val="530C2E42"/>
    <w:rsid w:val="55D43B94"/>
    <w:rsid w:val="5A3F0176"/>
    <w:rsid w:val="5E0451A4"/>
    <w:rsid w:val="5E1F208E"/>
    <w:rsid w:val="5F357FF3"/>
    <w:rsid w:val="607A14C7"/>
    <w:rsid w:val="61D34610"/>
    <w:rsid w:val="61D70DBB"/>
    <w:rsid w:val="62F87114"/>
    <w:rsid w:val="6535464F"/>
    <w:rsid w:val="65901217"/>
    <w:rsid w:val="65A2414A"/>
    <w:rsid w:val="69E1296F"/>
    <w:rsid w:val="6A7724FB"/>
    <w:rsid w:val="6A883473"/>
    <w:rsid w:val="6B5C7910"/>
    <w:rsid w:val="6E0D5256"/>
    <w:rsid w:val="715E6CDC"/>
    <w:rsid w:val="752013E4"/>
    <w:rsid w:val="75273889"/>
    <w:rsid w:val="7547340F"/>
    <w:rsid w:val="75673EEC"/>
    <w:rsid w:val="76A24662"/>
    <w:rsid w:val="76DC2315"/>
    <w:rsid w:val="777B7DFA"/>
    <w:rsid w:val="77A411C1"/>
    <w:rsid w:val="786B11AE"/>
    <w:rsid w:val="79DF2AB1"/>
    <w:rsid w:val="7AD74133"/>
    <w:rsid w:val="7DE6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</Words>
  <Characters>931</Characters>
  <Lines>0</Lines>
  <Paragraphs>0</Paragraphs>
  <TotalTime>3</TotalTime>
  <ScaleCrop>false</ScaleCrop>
  <LinksUpToDate>false</LinksUpToDate>
  <CharactersWithSpaces>1018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2025-07-25T10:49:00Z</dcterms:created>
  <dc:creator>余娇17874493414</dc:creator>
  <cp:lastModifiedBy>南风吹</cp:lastModifiedBy>
  <dcterms:modified xsi:type="dcterms:W3CDTF">2025-09-16T15:19:00Z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eyJoZGlkIjoiY2Y0NWY2OTY4ODQzN2Q5ZDI4MzBlODQ1MjQ4MGU3OGIiLCJ1c2VySWQiOiI1OTg1Mjg1ODYifQ==</vt:lpwstr>
  </property>
  <property fmtid="{D5CDD505-2E9C-101B-9397-08002B2CF9AE}" pid="4" name="ICV">
    <vt:lpwstr>5D85B5D04F664F7FB84E13A7EB560876_12</vt:lpwstr>
  </property>
</Properties>
</file>