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A6C77" w14:textId="77777777" w:rsidR="0074615E" w:rsidRPr="0074615E" w:rsidRDefault="0074615E" w:rsidP="0066545C">
      <w:pPr>
        <w:pStyle w:val="Default"/>
        <w:spacing w:line="276" w:lineRule="auto"/>
        <w:rPr>
          <w:rFonts w:ascii="Times New Roman" w:hAnsi="Times New Roman" w:cs="Times New Roman"/>
          <w:i/>
          <w:iCs/>
          <w:lang w:eastAsia="ja-JP"/>
        </w:rPr>
      </w:pPr>
      <w:r w:rsidRPr="0074615E">
        <w:rPr>
          <w:rFonts w:ascii="Times New Roman" w:hAnsi="Times New Roman" w:cs="Times New Roman"/>
          <w:i/>
          <w:iCs/>
          <w:lang w:eastAsia="ja-JP"/>
        </w:rPr>
        <w:t>Supplementary information for</w:t>
      </w:r>
    </w:p>
    <w:p w14:paraId="090EF57C" w14:textId="77777777" w:rsidR="00FB4397" w:rsidRPr="00DD443E" w:rsidRDefault="00FB4397" w:rsidP="0066545C">
      <w:pPr>
        <w:spacing w:line="276" w:lineRule="auto"/>
        <w:rPr>
          <w:rFonts w:ascii="Times New Roman" w:hAnsi="Times New Roman" w:cs="Times New Roman"/>
          <w:b/>
          <w:bCs/>
          <w:sz w:val="28"/>
          <w:szCs w:val="36"/>
        </w:rPr>
      </w:pPr>
      <w:r w:rsidRPr="00DD443E">
        <w:rPr>
          <w:rFonts w:ascii="Times New Roman" w:hAnsi="Times New Roman" w:cs="Times New Roman"/>
          <w:b/>
          <w:bCs/>
          <w:sz w:val="28"/>
          <w:szCs w:val="36"/>
        </w:rPr>
        <w:t xml:space="preserve">Capillary Plasma GFAP and </w:t>
      </w:r>
      <w:proofErr w:type="spellStart"/>
      <w:r w:rsidRPr="00DD443E">
        <w:rPr>
          <w:rFonts w:ascii="Times New Roman" w:hAnsi="Times New Roman" w:cs="Times New Roman"/>
          <w:b/>
          <w:bCs/>
          <w:sz w:val="28"/>
          <w:szCs w:val="36"/>
        </w:rPr>
        <w:t>NfL</w:t>
      </w:r>
      <w:proofErr w:type="spellEnd"/>
      <w:r w:rsidRPr="00DD443E">
        <w:rPr>
          <w:rFonts w:ascii="Times New Roman" w:hAnsi="Times New Roman" w:cs="Times New Roman"/>
          <w:b/>
          <w:bCs/>
          <w:sz w:val="28"/>
          <w:szCs w:val="36"/>
        </w:rPr>
        <w:t xml:space="preserve"> Track In Vivo Tauopathy Progression in PS19 Mice</w:t>
      </w:r>
    </w:p>
    <w:p w14:paraId="4C1ED3A3" w14:textId="77777777" w:rsidR="00571B43" w:rsidRPr="00274745" w:rsidRDefault="00571B43" w:rsidP="00571B43">
      <w:pPr>
        <w:spacing w:line="276" w:lineRule="auto"/>
        <w:rPr>
          <w:rFonts w:ascii="Times New Roman" w:eastAsia="ＭＳ Ｐ明朝" w:hAnsi="Times New Roman" w:cs="Times New Roman"/>
          <w:sz w:val="24"/>
        </w:rPr>
      </w:pPr>
      <w:r w:rsidRPr="00274745">
        <w:rPr>
          <w:rFonts w:ascii="Times New Roman" w:eastAsia="ＭＳ Ｐ明朝" w:hAnsi="Times New Roman" w:cs="Times New Roman"/>
          <w:sz w:val="24"/>
        </w:rPr>
        <w:t>Anna Harima</w:t>
      </w:r>
      <w:r w:rsidRPr="00274745">
        <w:rPr>
          <w:rFonts w:ascii="Times New Roman" w:eastAsia="ＭＳ Ｐ明朝" w:hAnsi="Times New Roman" w:cs="Times New Roman"/>
          <w:sz w:val="24"/>
          <w:vertAlign w:val="superscript"/>
        </w:rPr>
        <w:t>1</w:t>
      </w:r>
      <w:r w:rsidRPr="00274745">
        <w:rPr>
          <w:rFonts w:ascii="Times New Roman" w:eastAsia="ＭＳ Ｐ明朝" w:hAnsi="Times New Roman" w:cs="Times New Roman"/>
          <w:sz w:val="24"/>
        </w:rPr>
        <w:t>, Natsumi Kobayashi</w:t>
      </w:r>
      <w:r w:rsidRPr="00274745">
        <w:rPr>
          <w:rFonts w:ascii="Times New Roman" w:eastAsia="ＭＳ Ｐ明朝" w:hAnsi="Times New Roman" w:cs="Times New Roman"/>
          <w:sz w:val="24"/>
          <w:vertAlign w:val="superscript"/>
        </w:rPr>
        <w:t>1</w:t>
      </w:r>
      <w:r w:rsidRPr="00274745">
        <w:rPr>
          <w:rFonts w:ascii="Times New Roman" w:eastAsia="ＭＳ Ｐ明朝" w:hAnsi="Times New Roman" w:cs="Times New Roman"/>
          <w:sz w:val="24"/>
        </w:rPr>
        <w:t>, Sharma Sanjiv</w:t>
      </w:r>
      <w:r w:rsidRPr="00274745">
        <w:rPr>
          <w:rFonts w:ascii="Times New Roman" w:eastAsia="ＭＳ Ｐ明朝" w:hAnsi="Times New Roman" w:cs="Times New Roman"/>
          <w:sz w:val="24"/>
          <w:vertAlign w:val="superscript"/>
        </w:rPr>
        <w:t>2</w:t>
      </w:r>
      <w:r w:rsidRPr="00274745">
        <w:rPr>
          <w:rFonts w:ascii="Times New Roman" w:eastAsia="ＭＳ Ｐ明朝" w:hAnsi="Times New Roman" w:cs="Times New Roman"/>
          <w:sz w:val="24"/>
        </w:rPr>
        <w:t>, Takahiko Tokuda</w:t>
      </w:r>
      <w:r w:rsidRPr="00274745">
        <w:rPr>
          <w:rFonts w:ascii="Times New Roman" w:eastAsia="ＭＳ Ｐ明朝" w:hAnsi="Times New Roman" w:cs="Times New Roman"/>
          <w:sz w:val="24"/>
          <w:vertAlign w:val="superscript"/>
        </w:rPr>
        <w:t>3</w:t>
      </w:r>
      <w:r w:rsidRPr="00274745">
        <w:rPr>
          <w:rFonts w:ascii="Times New Roman" w:eastAsia="ＭＳ Ｐ明朝" w:hAnsi="Times New Roman" w:cs="Times New Roman"/>
          <w:sz w:val="24"/>
        </w:rPr>
        <w:t>, Makoto Higuchi</w:t>
      </w:r>
      <w:r w:rsidRPr="00274745">
        <w:rPr>
          <w:rFonts w:ascii="Times New Roman" w:eastAsia="ＭＳ Ｐ明朝" w:hAnsi="Times New Roman" w:cs="Times New Roman"/>
          <w:sz w:val="24"/>
          <w:vertAlign w:val="superscript"/>
        </w:rPr>
        <w:t>4</w:t>
      </w:r>
      <w:r w:rsidRPr="00274745">
        <w:rPr>
          <w:rFonts w:ascii="Times New Roman" w:eastAsia="ＭＳ Ｐ明朝" w:hAnsi="Times New Roman" w:cs="Times New Roman"/>
          <w:sz w:val="24"/>
        </w:rPr>
        <w:t>, Kaori Tsukakoshi</w:t>
      </w:r>
      <w:r w:rsidRPr="00274745">
        <w:rPr>
          <w:rFonts w:ascii="Times New Roman" w:eastAsia="ＭＳ Ｐ明朝" w:hAnsi="Times New Roman" w:cs="Times New Roman"/>
          <w:sz w:val="24"/>
          <w:vertAlign w:val="superscript"/>
        </w:rPr>
        <w:t>5*</w:t>
      </w:r>
      <w:r w:rsidRPr="00274745">
        <w:rPr>
          <w:rFonts w:ascii="Times New Roman" w:eastAsia="ＭＳ Ｐ明朝" w:hAnsi="Times New Roman" w:cs="Times New Roman"/>
          <w:sz w:val="24"/>
        </w:rPr>
        <w:t>, Tomoaki Murakami</w:t>
      </w:r>
      <w:r w:rsidRPr="00274745">
        <w:rPr>
          <w:rFonts w:ascii="Times New Roman" w:eastAsia="ＭＳ Ｐ明朝" w:hAnsi="Times New Roman" w:cs="Times New Roman"/>
          <w:sz w:val="24"/>
          <w:vertAlign w:val="superscript"/>
        </w:rPr>
        <w:t>1</w:t>
      </w:r>
      <w:r w:rsidRPr="00274745">
        <w:rPr>
          <w:rFonts w:ascii="Times New Roman" w:eastAsia="ＭＳ Ｐ明朝" w:hAnsi="Times New Roman" w:cs="Times New Roman"/>
          <w:sz w:val="24"/>
        </w:rPr>
        <w:t>*</w:t>
      </w:r>
    </w:p>
    <w:p w14:paraId="55A9F1F3" w14:textId="77777777" w:rsidR="00571B43" w:rsidRPr="00274745" w:rsidRDefault="00571B43" w:rsidP="00571B43">
      <w:pPr>
        <w:spacing w:line="276" w:lineRule="auto"/>
        <w:rPr>
          <w:rFonts w:ascii="Times New Roman" w:eastAsia="ＭＳ Ｐ明朝" w:hAnsi="Times New Roman" w:cs="Times New Roman"/>
          <w:sz w:val="24"/>
        </w:rPr>
      </w:pPr>
    </w:p>
    <w:p w14:paraId="73B3DA08" w14:textId="77777777" w:rsidR="00571B43" w:rsidRPr="00274745" w:rsidRDefault="00571B43" w:rsidP="00571B43">
      <w:pPr>
        <w:spacing w:line="276" w:lineRule="auto"/>
        <w:rPr>
          <w:rFonts w:ascii="Times New Roman" w:eastAsia="ＭＳ Ｐ明朝" w:hAnsi="Times New Roman" w:cs="Times New Roman"/>
          <w:i/>
          <w:iCs/>
          <w:sz w:val="24"/>
        </w:rPr>
      </w:pPr>
      <w:r w:rsidRPr="00274745">
        <w:rPr>
          <w:rFonts w:ascii="Times New Roman" w:eastAsia="ＭＳ Ｐ明朝" w:hAnsi="Times New Roman" w:cs="Times New Roman"/>
          <w:i/>
          <w:iCs/>
          <w:sz w:val="24"/>
          <w:vertAlign w:val="superscript"/>
        </w:rPr>
        <w:t>1</w:t>
      </w:r>
      <w:r w:rsidRPr="00274745">
        <w:rPr>
          <w:rFonts w:ascii="Times New Roman" w:eastAsia="ＭＳ Ｐ明朝" w:hAnsi="Times New Roman" w:cs="Times New Roman"/>
          <w:i/>
          <w:iCs/>
          <w:sz w:val="24"/>
        </w:rPr>
        <w:t xml:space="preserve">Laboratory of Veterinary Toxicology, Tokyo University of Agriculture and Technology, Tokyo, Japan. </w:t>
      </w:r>
      <w:r w:rsidRPr="00274745">
        <w:rPr>
          <w:rFonts w:ascii="Times New Roman" w:eastAsia="ＭＳ Ｐ明朝" w:hAnsi="Times New Roman" w:cs="Times New Roman"/>
          <w:i/>
          <w:iCs/>
          <w:sz w:val="24"/>
          <w:vertAlign w:val="superscript"/>
        </w:rPr>
        <w:t>2</w:t>
      </w:r>
      <w:r w:rsidRPr="00274745">
        <w:rPr>
          <w:rFonts w:ascii="Times New Roman" w:eastAsia="ＭＳ Ｐ明朝" w:hAnsi="Times New Roman" w:cs="Times New Roman"/>
          <w:i/>
          <w:iCs/>
          <w:sz w:val="24"/>
          <w:lang w:val="en-GB"/>
        </w:rPr>
        <w:t xml:space="preserve">David Price Evans Global Health and Infectious Diseases Group, Pharmacology &amp; Therapeutics, Institute of Systems Molecular and Integrative Biology, University of Liverpool, Liverpool, United Kingdom. </w:t>
      </w:r>
      <w:r w:rsidRPr="00274745">
        <w:rPr>
          <w:rFonts w:ascii="Times New Roman" w:eastAsia="ＭＳ Ｐ明朝" w:hAnsi="Times New Roman" w:cs="Times New Roman"/>
          <w:i/>
          <w:iCs/>
          <w:sz w:val="24"/>
          <w:vertAlign w:val="superscript"/>
        </w:rPr>
        <w:t>3</w:t>
      </w:r>
      <w:r w:rsidRPr="00274745">
        <w:rPr>
          <w:rFonts w:ascii="Times New Roman" w:eastAsia="ＭＳ Ｐ明朝" w:hAnsi="Times New Roman" w:cs="Times New Roman"/>
          <w:i/>
          <w:iCs/>
          <w:sz w:val="24"/>
        </w:rPr>
        <w:t xml:space="preserve">Department of Gerontology and Cognitive Pathology, Graduate School of Medicine, Osaka Metropolitan University, Osaka, Japan. </w:t>
      </w:r>
      <w:r w:rsidRPr="00274745">
        <w:rPr>
          <w:rFonts w:ascii="Times New Roman" w:eastAsia="ＭＳ Ｐ明朝" w:hAnsi="Times New Roman" w:cs="Times New Roman"/>
          <w:i/>
          <w:iCs/>
          <w:sz w:val="24"/>
          <w:vertAlign w:val="superscript"/>
        </w:rPr>
        <w:t>4</w:t>
      </w:r>
      <w:r w:rsidRPr="00274745">
        <w:rPr>
          <w:rFonts w:ascii="Times New Roman" w:eastAsia="ＭＳ Ｐ明朝" w:hAnsi="Times New Roman" w:cs="Times New Roman"/>
          <w:i/>
          <w:iCs/>
          <w:sz w:val="24"/>
        </w:rPr>
        <w:t xml:space="preserve">Advanced Neuroimaging Center, National Institutes for Quantum Science and Technology, Chiba, Japan. </w:t>
      </w:r>
      <w:r w:rsidRPr="00274745">
        <w:rPr>
          <w:rFonts w:ascii="Times New Roman" w:eastAsia="ＭＳ Ｐ明朝" w:hAnsi="Times New Roman" w:cs="Times New Roman"/>
          <w:i/>
          <w:iCs/>
          <w:sz w:val="24"/>
          <w:vertAlign w:val="superscript"/>
        </w:rPr>
        <w:t>5</w:t>
      </w:r>
      <w:r w:rsidRPr="00274745">
        <w:rPr>
          <w:rFonts w:ascii="Times New Roman" w:eastAsia="ＭＳ Ｐ明朝" w:hAnsi="Times New Roman" w:cs="Times New Roman"/>
          <w:i/>
          <w:iCs/>
          <w:sz w:val="24"/>
        </w:rPr>
        <w:t>Department of Chemistry, Faculty of Science, Tokyo University of Science, Tokyo, Japan</w:t>
      </w:r>
    </w:p>
    <w:p w14:paraId="7A4EABB8" w14:textId="77777777" w:rsidR="00FB4397" w:rsidRDefault="00FB4397" w:rsidP="0066545C">
      <w:pPr>
        <w:spacing w:line="276" w:lineRule="auto"/>
        <w:rPr>
          <w:rFonts w:ascii="Times New Roman" w:hAnsi="Times New Roman" w:cs="Times New Roman"/>
          <w:sz w:val="24"/>
          <w:szCs w:val="32"/>
        </w:rPr>
      </w:pPr>
    </w:p>
    <w:p w14:paraId="53E15953" w14:textId="77777777" w:rsidR="00FB4397" w:rsidRPr="00FB4397" w:rsidRDefault="00FB4397" w:rsidP="00FB4397">
      <w:pPr>
        <w:spacing w:line="276" w:lineRule="auto"/>
        <w:rPr>
          <w:rFonts w:ascii="Times New Roman" w:hAnsi="Times New Roman" w:cs="Times New Roman"/>
          <w:sz w:val="24"/>
          <w:szCs w:val="32"/>
        </w:rPr>
      </w:pPr>
      <w:r w:rsidRPr="00FB4397">
        <w:rPr>
          <w:rFonts w:ascii="Times New Roman" w:hAnsi="Times New Roman" w:cs="Times New Roman"/>
          <w:sz w:val="24"/>
          <w:szCs w:val="32"/>
        </w:rPr>
        <w:t xml:space="preserve">Correspondence 1: Kaori Tsukakoshi, Department of Chemistry, Faculty of Science Division I, Tokyo University of Science, 12-1 </w:t>
      </w:r>
      <w:proofErr w:type="spellStart"/>
      <w:r w:rsidRPr="00FB4397">
        <w:rPr>
          <w:rFonts w:ascii="Times New Roman" w:hAnsi="Times New Roman" w:cs="Times New Roman"/>
          <w:sz w:val="24"/>
          <w:szCs w:val="32"/>
        </w:rPr>
        <w:t>Ichigaya-Funakawara-cho</w:t>
      </w:r>
      <w:proofErr w:type="spellEnd"/>
      <w:r w:rsidRPr="00FB4397">
        <w:rPr>
          <w:rFonts w:ascii="Times New Roman" w:hAnsi="Times New Roman" w:cs="Times New Roman"/>
          <w:sz w:val="24"/>
          <w:szCs w:val="32"/>
        </w:rPr>
        <w:t>, Shinjuku-</w:t>
      </w:r>
      <w:proofErr w:type="spellStart"/>
      <w:r w:rsidRPr="00FB4397">
        <w:rPr>
          <w:rFonts w:ascii="Times New Roman" w:hAnsi="Times New Roman" w:cs="Times New Roman"/>
          <w:sz w:val="24"/>
          <w:szCs w:val="32"/>
        </w:rPr>
        <w:t>ku</w:t>
      </w:r>
      <w:proofErr w:type="spellEnd"/>
      <w:r w:rsidRPr="00FB4397">
        <w:rPr>
          <w:rFonts w:ascii="Times New Roman" w:hAnsi="Times New Roman" w:cs="Times New Roman"/>
          <w:sz w:val="24"/>
          <w:szCs w:val="32"/>
        </w:rPr>
        <w:t>, Tokyo 162-0826, Japan. Tel: +81-3-5228-8253; E-mail: kaori.tsukakoshi@rs.tus.ac.jp</w:t>
      </w:r>
    </w:p>
    <w:p w14:paraId="5FEA48EB" w14:textId="072CA2E4" w:rsidR="0074615E" w:rsidRDefault="00FB4397" w:rsidP="00FB4397">
      <w:pPr>
        <w:spacing w:beforeLines="50" w:before="180" w:line="276" w:lineRule="auto"/>
        <w:rPr>
          <w:rFonts w:ascii="Times New Roman" w:hAnsi="Times New Roman" w:cs="Times New Roman"/>
          <w:sz w:val="24"/>
          <w:szCs w:val="32"/>
        </w:rPr>
      </w:pPr>
      <w:r w:rsidRPr="00FB4397">
        <w:rPr>
          <w:rFonts w:ascii="Times New Roman" w:hAnsi="Times New Roman" w:cs="Times New Roman"/>
          <w:sz w:val="24"/>
          <w:szCs w:val="32"/>
        </w:rPr>
        <w:t>Correspondence 2: Tomoaki Murakami, Laboratory of Veterinary Toxicology, Tokyo University of Agriculture and Technology, 3-5-8 Saiwai-cho, Fuchu-shi, Tokyo 183-8509, Japan. Tel: +81-42-367-5883; E-mail: mrkmt@cc.tuat.ac.jp</w:t>
      </w:r>
    </w:p>
    <w:p w14:paraId="51027B17" w14:textId="77777777" w:rsidR="0074615E" w:rsidRDefault="0074615E" w:rsidP="0066545C">
      <w:pPr>
        <w:spacing w:line="276" w:lineRule="auto"/>
        <w:rPr>
          <w:rFonts w:ascii="Times New Roman" w:hAnsi="Times New Roman" w:cs="Times New Roman"/>
          <w:sz w:val="24"/>
          <w:szCs w:val="32"/>
        </w:rPr>
      </w:pPr>
    </w:p>
    <w:p w14:paraId="5C4F03D1" w14:textId="1C087CAB" w:rsidR="0074615E" w:rsidRPr="00DD443E" w:rsidRDefault="0074615E" w:rsidP="0066545C">
      <w:pPr>
        <w:spacing w:line="276" w:lineRule="auto"/>
        <w:rPr>
          <w:rFonts w:ascii="Times New Roman" w:hAnsi="Times New Roman" w:cs="Times New Roman"/>
          <w:b/>
          <w:bCs/>
          <w:sz w:val="24"/>
          <w:szCs w:val="32"/>
        </w:rPr>
      </w:pPr>
      <w:r w:rsidRPr="00DD443E">
        <w:rPr>
          <w:rFonts w:ascii="Times New Roman" w:hAnsi="Times New Roman" w:cs="Times New Roman"/>
          <w:b/>
          <w:bCs/>
          <w:sz w:val="24"/>
          <w:szCs w:val="32"/>
        </w:rPr>
        <w:t>This file includes the following:</w:t>
      </w:r>
    </w:p>
    <w:p w14:paraId="5E523F2B" w14:textId="77777777" w:rsidR="0074615E" w:rsidRPr="00DD443E" w:rsidRDefault="0074615E" w:rsidP="0066545C">
      <w:pPr>
        <w:spacing w:line="276" w:lineRule="auto"/>
        <w:rPr>
          <w:rFonts w:ascii="Times New Roman" w:hAnsi="Times New Roman" w:cs="Times New Roman"/>
          <w:sz w:val="24"/>
          <w:szCs w:val="32"/>
        </w:rPr>
      </w:pPr>
      <w:r w:rsidRPr="00DD443E">
        <w:rPr>
          <w:rFonts w:ascii="Times New Roman" w:hAnsi="Times New Roman" w:cs="Times New Roman"/>
          <w:sz w:val="24"/>
          <w:szCs w:val="32"/>
        </w:rPr>
        <w:t>Supplementary Methods</w:t>
      </w:r>
    </w:p>
    <w:p w14:paraId="0266C44C" w14:textId="231884A8" w:rsidR="00DD443E" w:rsidRPr="00DD443E" w:rsidRDefault="0074615E" w:rsidP="00DD443E">
      <w:pPr>
        <w:spacing w:line="276" w:lineRule="auto"/>
        <w:rPr>
          <w:rFonts w:ascii="Times New Roman" w:hAnsi="Times New Roman" w:cs="Times New Roman"/>
          <w:sz w:val="24"/>
          <w:szCs w:val="32"/>
        </w:rPr>
      </w:pPr>
      <w:r w:rsidRPr="00DD443E">
        <w:rPr>
          <w:rFonts w:ascii="Times New Roman" w:hAnsi="Times New Roman" w:cs="Times New Roman"/>
          <w:sz w:val="24"/>
          <w:szCs w:val="32"/>
        </w:rPr>
        <w:t xml:space="preserve">Supplementary Figures </w:t>
      </w:r>
      <w:r w:rsidR="00B241CA" w:rsidRPr="00DD443E">
        <w:rPr>
          <w:rFonts w:ascii="Times New Roman" w:hAnsi="Times New Roman" w:cs="Times New Roman" w:hint="eastAsia"/>
          <w:sz w:val="24"/>
          <w:szCs w:val="32"/>
        </w:rPr>
        <w:t>1-</w:t>
      </w:r>
      <w:r w:rsidR="000D4B66">
        <w:rPr>
          <w:rFonts w:ascii="Times New Roman" w:hAnsi="Times New Roman" w:cs="Times New Roman" w:hint="eastAsia"/>
          <w:sz w:val="24"/>
          <w:szCs w:val="32"/>
        </w:rPr>
        <w:t>6</w:t>
      </w:r>
    </w:p>
    <w:p w14:paraId="03422A96" w14:textId="43ADECEB" w:rsidR="00777DF3" w:rsidRPr="00B30FD0" w:rsidRDefault="00777DF3" w:rsidP="00DD443E">
      <w:pPr>
        <w:spacing w:line="276" w:lineRule="auto"/>
        <w:rPr>
          <w:rFonts w:asciiTheme="majorBidi" w:eastAsia="游明朝" w:hAnsiTheme="majorBidi"/>
          <w:b/>
          <w:bCs/>
        </w:rPr>
      </w:pPr>
      <w:r>
        <w:rPr>
          <w:rFonts w:ascii="Times New Roman" w:hAnsi="Times New Roman" w:cs="Times New Roman"/>
          <w:sz w:val="24"/>
        </w:rPr>
        <w:br w:type="column"/>
      </w:r>
      <w:r w:rsidRPr="00B30FD0">
        <w:rPr>
          <w:rFonts w:asciiTheme="majorBidi" w:eastAsia="游明朝" w:hAnsiTheme="majorBidi"/>
          <w:b/>
          <w:bCs/>
        </w:rPr>
        <w:lastRenderedPageBreak/>
        <w:t xml:space="preserve">Supplementary </w:t>
      </w:r>
      <w:r>
        <w:rPr>
          <w:rFonts w:asciiTheme="majorBidi" w:eastAsia="游明朝" w:hAnsiTheme="majorBidi"/>
          <w:b/>
          <w:bCs/>
        </w:rPr>
        <w:t>M</w:t>
      </w:r>
      <w:r w:rsidRPr="00B30FD0">
        <w:rPr>
          <w:rFonts w:asciiTheme="majorBidi" w:eastAsia="游明朝" w:hAnsiTheme="majorBidi"/>
          <w:b/>
          <w:bCs/>
        </w:rPr>
        <w:t>ethods</w:t>
      </w:r>
    </w:p>
    <w:p w14:paraId="4A85E56D" w14:textId="6E35E7AD" w:rsidR="00777DF3" w:rsidRDefault="00F74382" w:rsidP="0066545C">
      <w:pPr>
        <w:spacing w:line="276" w:lineRule="auto"/>
        <w:rPr>
          <w:rFonts w:ascii="Times New Roman" w:hAnsi="Times New Roman" w:cs="Times New Roman"/>
          <w:b/>
          <w:bCs/>
          <w:sz w:val="24"/>
          <w:szCs w:val="32"/>
        </w:rPr>
      </w:pPr>
      <w:r w:rsidRPr="00F74382">
        <w:rPr>
          <w:rFonts w:ascii="Times New Roman" w:hAnsi="Times New Roman" w:cs="Times New Roman"/>
          <w:b/>
          <w:bCs/>
          <w:sz w:val="24"/>
          <w:szCs w:val="32"/>
        </w:rPr>
        <w:t>Staging of brain tau pathology</w:t>
      </w:r>
    </w:p>
    <w:p w14:paraId="47CA4B0C" w14:textId="3976EF56" w:rsidR="00F74382" w:rsidRDefault="00F74382" w:rsidP="0066545C">
      <w:pPr>
        <w:spacing w:line="276" w:lineRule="auto"/>
        <w:ind w:firstLine="840"/>
        <w:rPr>
          <w:rFonts w:ascii="Times New Roman" w:hAnsi="Times New Roman" w:cs="Times New Roman"/>
          <w:sz w:val="24"/>
          <w:szCs w:val="32"/>
        </w:rPr>
      </w:pPr>
      <w:r w:rsidRPr="00F74382">
        <w:rPr>
          <w:rFonts w:ascii="Times New Roman" w:hAnsi="Times New Roman" w:cs="Times New Roman"/>
          <w:sz w:val="24"/>
          <w:szCs w:val="32"/>
        </w:rPr>
        <w:t xml:space="preserve"> The regions evaluated were: cerebral cortex (medial amygdala, cortical amygdala, piriform amygdala, piriform cortex, entorhinal cortex, </w:t>
      </w:r>
      <w:proofErr w:type="spellStart"/>
      <w:r w:rsidRPr="00F74382">
        <w:rPr>
          <w:rFonts w:ascii="Times New Roman" w:hAnsi="Times New Roman" w:cs="Times New Roman"/>
          <w:sz w:val="24"/>
          <w:szCs w:val="32"/>
        </w:rPr>
        <w:t>parahippocampal</w:t>
      </w:r>
      <w:proofErr w:type="spellEnd"/>
      <w:r w:rsidRPr="00F74382">
        <w:rPr>
          <w:rFonts w:ascii="Times New Roman" w:hAnsi="Times New Roman" w:cs="Times New Roman"/>
          <w:sz w:val="24"/>
          <w:szCs w:val="32"/>
        </w:rPr>
        <w:t xml:space="preserve"> cortex, entorhinal cortex, temporal association cortex, ventral auditory cortex, primary auditory cortex, dorsal sensory cortex, primary somatosensory cortex, parietal association cortex, posterior corpus callosum cortex), basolateral amygdala, caudate nucleus, amygdala central nucleus, hippocampus (CA1-3, dentate gyrus), mossy fibers, hypothalamus, and thalamus. AT8 immunoreactivity in each brain region was semi-quantitatively graded on a 0–3 scale (0 = absent, 1 = sparse, 2 = moderate, 3 = intense). Additionally, the presence or absence of deposition in the mossy fibers was evaluated as (+/–).</w:t>
      </w:r>
    </w:p>
    <w:p w14:paraId="0451DB89" w14:textId="77777777" w:rsidR="00F74382" w:rsidRDefault="00F74382" w:rsidP="005A3925">
      <w:pPr>
        <w:spacing w:line="276" w:lineRule="auto"/>
        <w:rPr>
          <w:rFonts w:ascii="Times New Roman" w:hAnsi="Times New Roman" w:cs="Times New Roman"/>
          <w:sz w:val="24"/>
          <w:szCs w:val="32"/>
        </w:rPr>
      </w:pPr>
    </w:p>
    <w:tbl>
      <w:tblPr>
        <w:tblW w:w="8507" w:type="dxa"/>
        <w:tblCellMar>
          <w:left w:w="99" w:type="dxa"/>
          <w:right w:w="99" w:type="dxa"/>
        </w:tblCellMar>
        <w:tblLook w:val="04A0" w:firstRow="1" w:lastRow="0" w:firstColumn="1" w:lastColumn="0" w:noHBand="0" w:noVBand="1"/>
      </w:tblPr>
      <w:tblGrid>
        <w:gridCol w:w="2741"/>
        <w:gridCol w:w="961"/>
        <w:gridCol w:w="961"/>
        <w:gridCol w:w="961"/>
        <w:gridCol w:w="961"/>
        <w:gridCol w:w="961"/>
        <w:gridCol w:w="961"/>
      </w:tblGrid>
      <w:tr w:rsidR="005A3925" w:rsidRPr="005A3925" w14:paraId="67CCFDCA" w14:textId="77777777" w:rsidTr="005A3925">
        <w:trPr>
          <w:trHeight w:val="377"/>
        </w:trPr>
        <w:tc>
          <w:tcPr>
            <w:tcW w:w="2741" w:type="dxa"/>
            <w:tcBorders>
              <w:top w:val="single" w:sz="4" w:space="0" w:color="auto"/>
              <w:left w:val="nil"/>
              <w:bottom w:val="single" w:sz="4" w:space="0" w:color="auto"/>
              <w:right w:val="nil"/>
            </w:tcBorders>
            <w:noWrap/>
            <w:vAlign w:val="bottom"/>
            <w:hideMark/>
          </w:tcPr>
          <w:p w14:paraId="54382905" w14:textId="77777777" w:rsidR="005A3925" w:rsidRPr="005A3925" w:rsidRDefault="005A3925" w:rsidP="005A3925">
            <w:pPr>
              <w:widowControl/>
              <w:jc w:val="left"/>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Grade</w:t>
            </w:r>
          </w:p>
        </w:tc>
        <w:tc>
          <w:tcPr>
            <w:tcW w:w="961" w:type="dxa"/>
            <w:tcBorders>
              <w:top w:val="single" w:sz="4" w:space="0" w:color="auto"/>
              <w:left w:val="nil"/>
              <w:bottom w:val="single" w:sz="4" w:space="0" w:color="auto"/>
              <w:right w:val="nil"/>
            </w:tcBorders>
            <w:noWrap/>
            <w:vAlign w:val="bottom"/>
            <w:hideMark/>
          </w:tcPr>
          <w:p w14:paraId="098A89F9"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I</w:t>
            </w:r>
          </w:p>
        </w:tc>
        <w:tc>
          <w:tcPr>
            <w:tcW w:w="961" w:type="dxa"/>
            <w:tcBorders>
              <w:top w:val="single" w:sz="4" w:space="0" w:color="auto"/>
              <w:left w:val="nil"/>
              <w:bottom w:val="single" w:sz="4" w:space="0" w:color="auto"/>
              <w:right w:val="nil"/>
            </w:tcBorders>
            <w:noWrap/>
            <w:vAlign w:val="bottom"/>
            <w:hideMark/>
          </w:tcPr>
          <w:p w14:paraId="22DBD12D"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II</w:t>
            </w:r>
          </w:p>
        </w:tc>
        <w:tc>
          <w:tcPr>
            <w:tcW w:w="961" w:type="dxa"/>
            <w:tcBorders>
              <w:top w:val="single" w:sz="4" w:space="0" w:color="auto"/>
              <w:left w:val="nil"/>
              <w:bottom w:val="single" w:sz="4" w:space="0" w:color="auto"/>
              <w:right w:val="nil"/>
            </w:tcBorders>
            <w:noWrap/>
            <w:vAlign w:val="bottom"/>
            <w:hideMark/>
          </w:tcPr>
          <w:p w14:paraId="65F47C45"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III</w:t>
            </w:r>
          </w:p>
        </w:tc>
        <w:tc>
          <w:tcPr>
            <w:tcW w:w="961" w:type="dxa"/>
            <w:tcBorders>
              <w:top w:val="single" w:sz="4" w:space="0" w:color="auto"/>
              <w:left w:val="nil"/>
              <w:bottom w:val="single" w:sz="4" w:space="0" w:color="auto"/>
              <w:right w:val="nil"/>
            </w:tcBorders>
            <w:noWrap/>
            <w:vAlign w:val="bottom"/>
            <w:hideMark/>
          </w:tcPr>
          <w:p w14:paraId="6F50437F"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IV</w:t>
            </w:r>
          </w:p>
        </w:tc>
        <w:tc>
          <w:tcPr>
            <w:tcW w:w="961" w:type="dxa"/>
            <w:tcBorders>
              <w:top w:val="single" w:sz="4" w:space="0" w:color="auto"/>
              <w:left w:val="nil"/>
              <w:bottom w:val="single" w:sz="4" w:space="0" w:color="auto"/>
              <w:right w:val="nil"/>
            </w:tcBorders>
            <w:noWrap/>
            <w:vAlign w:val="bottom"/>
            <w:hideMark/>
          </w:tcPr>
          <w:p w14:paraId="753A5692"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V</w:t>
            </w:r>
          </w:p>
        </w:tc>
        <w:tc>
          <w:tcPr>
            <w:tcW w:w="961" w:type="dxa"/>
            <w:tcBorders>
              <w:top w:val="single" w:sz="4" w:space="0" w:color="auto"/>
              <w:left w:val="nil"/>
              <w:bottom w:val="single" w:sz="4" w:space="0" w:color="auto"/>
              <w:right w:val="nil"/>
            </w:tcBorders>
            <w:noWrap/>
            <w:vAlign w:val="bottom"/>
            <w:hideMark/>
          </w:tcPr>
          <w:p w14:paraId="5A180D8F"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VI</w:t>
            </w:r>
          </w:p>
        </w:tc>
      </w:tr>
      <w:tr w:rsidR="005A3925" w:rsidRPr="005A3925" w14:paraId="1C58CB8D" w14:textId="77777777" w:rsidTr="005A3925">
        <w:trPr>
          <w:trHeight w:val="377"/>
        </w:trPr>
        <w:tc>
          <w:tcPr>
            <w:tcW w:w="2741" w:type="dxa"/>
            <w:tcBorders>
              <w:top w:val="nil"/>
              <w:left w:val="nil"/>
              <w:bottom w:val="nil"/>
              <w:right w:val="nil"/>
            </w:tcBorders>
            <w:noWrap/>
            <w:vAlign w:val="bottom"/>
            <w:hideMark/>
          </w:tcPr>
          <w:p w14:paraId="3E311C3A" w14:textId="77777777" w:rsidR="005A3925" w:rsidRPr="005A3925" w:rsidRDefault="005A3925" w:rsidP="005A3925">
            <w:pPr>
              <w:widowControl/>
              <w:jc w:val="left"/>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Cerebral cortex</w:t>
            </w:r>
          </w:p>
        </w:tc>
        <w:tc>
          <w:tcPr>
            <w:tcW w:w="961" w:type="dxa"/>
            <w:tcBorders>
              <w:top w:val="nil"/>
              <w:left w:val="nil"/>
              <w:bottom w:val="nil"/>
              <w:right w:val="nil"/>
            </w:tcBorders>
            <w:noWrap/>
            <w:vAlign w:val="bottom"/>
            <w:hideMark/>
          </w:tcPr>
          <w:p w14:paraId="7D14C1D8"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0</w:t>
            </w:r>
          </w:p>
        </w:tc>
        <w:tc>
          <w:tcPr>
            <w:tcW w:w="961" w:type="dxa"/>
            <w:tcBorders>
              <w:top w:val="nil"/>
              <w:left w:val="nil"/>
              <w:bottom w:val="nil"/>
              <w:right w:val="nil"/>
            </w:tcBorders>
            <w:noWrap/>
            <w:vAlign w:val="bottom"/>
            <w:hideMark/>
          </w:tcPr>
          <w:p w14:paraId="205D8770"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1</w:t>
            </w:r>
          </w:p>
        </w:tc>
        <w:tc>
          <w:tcPr>
            <w:tcW w:w="961" w:type="dxa"/>
            <w:tcBorders>
              <w:top w:val="nil"/>
              <w:left w:val="nil"/>
              <w:bottom w:val="nil"/>
              <w:right w:val="nil"/>
            </w:tcBorders>
            <w:noWrap/>
            <w:vAlign w:val="bottom"/>
            <w:hideMark/>
          </w:tcPr>
          <w:p w14:paraId="3F2192DA"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1-2</w:t>
            </w:r>
          </w:p>
        </w:tc>
        <w:tc>
          <w:tcPr>
            <w:tcW w:w="961" w:type="dxa"/>
            <w:tcBorders>
              <w:top w:val="nil"/>
              <w:left w:val="nil"/>
              <w:bottom w:val="nil"/>
              <w:right w:val="nil"/>
            </w:tcBorders>
            <w:noWrap/>
            <w:vAlign w:val="bottom"/>
            <w:hideMark/>
          </w:tcPr>
          <w:p w14:paraId="060B93C2"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1-2</w:t>
            </w:r>
          </w:p>
        </w:tc>
        <w:tc>
          <w:tcPr>
            <w:tcW w:w="961" w:type="dxa"/>
            <w:tcBorders>
              <w:top w:val="nil"/>
              <w:left w:val="nil"/>
              <w:bottom w:val="nil"/>
              <w:right w:val="nil"/>
            </w:tcBorders>
            <w:noWrap/>
            <w:vAlign w:val="bottom"/>
            <w:hideMark/>
          </w:tcPr>
          <w:p w14:paraId="053035CC"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3*</w:t>
            </w:r>
          </w:p>
        </w:tc>
        <w:tc>
          <w:tcPr>
            <w:tcW w:w="961" w:type="dxa"/>
            <w:tcBorders>
              <w:top w:val="nil"/>
              <w:left w:val="nil"/>
              <w:bottom w:val="nil"/>
              <w:right w:val="nil"/>
            </w:tcBorders>
            <w:noWrap/>
            <w:vAlign w:val="bottom"/>
            <w:hideMark/>
          </w:tcPr>
          <w:p w14:paraId="258C8F0E"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3</w:t>
            </w:r>
          </w:p>
        </w:tc>
      </w:tr>
      <w:tr w:rsidR="005A3925" w:rsidRPr="005A3925" w14:paraId="69E8ADD7" w14:textId="77777777" w:rsidTr="005A3925">
        <w:trPr>
          <w:trHeight w:val="377"/>
        </w:trPr>
        <w:tc>
          <w:tcPr>
            <w:tcW w:w="2741" w:type="dxa"/>
            <w:tcBorders>
              <w:top w:val="nil"/>
              <w:left w:val="nil"/>
              <w:bottom w:val="nil"/>
              <w:right w:val="nil"/>
            </w:tcBorders>
            <w:noWrap/>
            <w:vAlign w:val="bottom"/>
            <w:hideMark/>
          </w:tcPr>
          <w:p w14:paraId="1585B44C" w14:textId="77777777" w:rsidR="005A3925" w:rsidRPr="005A3925" w:rsidRDefault="005A3925" w:rsidP="005A3925">
            <w:pPr>
              <w:widowControl/>
              <w:jc w:val="left"/>
              <w:rPr>
                <w:rFonts w:ascii="Times New Roman" w:eastAsia="Yu Gothic" w:hAnsi="Times New Roman" w:cs="Times New Roman"/>
                <w:color w:val="000000"/>
                <w:kern w:val="0"/>
                <w:sz w:val="22"/>
                <w:szCs w:val="22"/>
              </w:rPr>
            </w:pPr>
            <w:proofErr w:type="spellStart"/>
            <w:r w:rsidRPr="005A3925">
              <w:rPr>
                <w:rFonts w:ascii="Times New Roman" w:eastAsia="Yu Gothic" w:hAnsi="Times New Roman" w:cs="Times New Roman"/>
                <w:color w:val="000000"/>
                <w:kern w:val="0"/>
                <w:sz w:val="22"/>
                <w:szCs w:val="22"/>
              </w:rPr>
              <w:t>Basomedial</w:t>
            </w:r>
            <w:proofErr w:type="spellEnd"/>
            <w:r w:rsidRPr="005A3925">
              <w:rPr>
                <w:rFonts w:ascii="Times New Roman" w:eastAsia="Yu Gothic" w:hAnsi="Times New Roman" w:cs="Times New Roman"/>
                <w:color w:val="000000"/>
                <w:kern w:val="0"/>
                <w:sz w:val="22"/>
                <w:szCs w:val="22"/>
              </w:rPr>
              <w:t xml:space="preserve"> </w:t>
            </w:r>
            <w:proofErr w:type="spellStart"/>
            <w:r w:rsidRPr="005A3925">
              <w:rPr>
                <w:rFonts w:ascii="Times New Roman" w:eastAsia="Yu Gothic" w:hAnsi="Times New Roman" w:cs="Times New Roman"/>
                <w:color w:val="000000"/>
                <w:kern w:val="0"/>
                <w:sz w:val="22"/>
                <w:szCs w:val="22"/>
              </w:rPr>
              <w:t>amygdalar</w:t>
            </w:r>
            <w:proofErr w:type="spellEnd"/>
            <w:r w:rsidRPr="005A3925">
              <w:rPr>
                <w:rFonts w:ascii="Times New Roman" w:eastAsia="Yu Gothic" w:hAnsi="Times New Roman" w:cs="Times New Roman"/>
                <w:color w:val="000000"/>
                <w:kern w:val="0"/>
                <w:sz w:val="22"/>
                <w:szCs w:val="22"/>
              </w:rPr>
              <w:t xml:space="preserve"> nucleus</w:t>
            </w:r>
          </w:p>
        </w:tc>
        <w:tc>
          <w:tcPr>
            <w:tcW w:w="961" w:type="dxa"/>
            <w:tcBorders>
              <w:top w:val="nil"/>
              <w:left w:val="nil"/>
              <w:bottom w:val="nil"/>
              <w:right w:val="nil"/>
            </w:tcBorders>
            <w:noWrap/>
            <w:vAlign w:val="bottom"/>
            <w:hideMark/>
          </w:tcPr>
          <w:p w14:paraId="45627371"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0</w:t>
            </w:r>
          </w:p>
        </w:tc>
        <w:tc>
          <w:tcPr>
            <w:tcW w:w="961" w:type="dxa"/>
            <w:tcBorders>
              <w:top w:val="nil"/>
              <w:left w:val="nil"/>
              <w:bottom w:val="nil"/>
              <w:right w:val="nil"/>
            </w:tcBorders>
            <w:noWrap/>
            <w:vAlign w:val="bottom"/>
            <w:hideMark/>
          </w:tcPr>
          <w:p w14:paraId="6CF399DA"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0-1</w:t>
            </w:r>
          </w:p>
        </w:tc>
        <w:tc>
          <w:tcPr>
            <w:tcW w:w="961" w:type="dxa"/>
            <w:tcBorders>
              <w:top w:val="nil"/>
              <w:left w:val="nil"/>
              <w:bottom w:val="nil"/>
              <w:right w:val="nil"/>
            </w:tcBorders>
            <w:noWrap/>
            <w:vAlign w:val="bottom"/>
            <w:hideMark/>
          </w:tcPr>
          <w:p w14:paraId="58623E4C"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2-3</w:t>
            </w:r>
          </w:p>
        </w:tc>
        <w:tc>
          <w:tcPr>
            <w:tcW w:w="961" w:type="dxa"/>
            <w:tcBorders>
              <w:top w:val="nil"/>
              <w:left w:val="nil"/>
              <w:bottom w:val="nil"/>
              <w:right w:val="nil"/>
            </w:tcBorders>
            <w:noWrap/>
            <w:vAlign w:val="bottom"/>
            <w:hideMark/>
          </w:tcPr>
          <w:p w14:paraId="4BFCDE6C"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2-3</w:t>
            </w:r>
          </w:p>
        </w:tc>
        <w:tc>
          <w:tcPr>
            <w:tcW w:w="961" w:type="dxa"/>
            <w:tcBorders>
              <w:top w:val="nil"/>
              <w:left w:val="nil"/>
              <w:bottom w:val="nil"/>
              <w:right w:val="nil"/>
            </w:tcBorders>
            <w:noWrap/>
            <w:vAlign w:val="bottom"/>
            <w:hideMark/>
          </w:tcPr>
          <w:p w14:paraId="3EEDB5E4"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3</w:t>
            </w:r>
          </w:p>
        </w:tc>
        <w:tc>
          <w:tcPr>
            <w:tcW w:w="961" w:type="dxa"/>
            <w:tcBorders>
              <w:top w:val="nil"/>
              <w:left w:val="nil"/>
              <w:bottom w:val="nil"/>
              <w:right w:val="nil"/>
            </w:tcBorders>
            <w:noWrap/>
            <w:vAlign w:val="bottom"/>
            <w:hideMark/>
          </w:tcPr>
          <w:p w14:paraId="4067D1CE"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3</w:t>
            </w:r>
          </w:p>
        </w:tc>
      </w:tr>
      <w:tr w:rsidR="005A3925" w:rsidRPr="005A3925" w14:paraId="40D7C630" w14:textId="77777777" w:rsidTr="005A3925">
        <w:trPr>
          <w:trHeight w:val="377"/>
        </w:trPr>
        <w:tc>
          <w:tcPr>
            <w:tcW w:w="2741" w:type="dxa"/>
            <w:tcBorders>
              <w:top w:val="nil"/>
              <w:left w:val="nil"/>
              <w:bottom w:val="nil"/>
              <w:right w:val="nil"/>
            </w:tcBorders>
            <w:noWrap/>
            <w:vAlign w:val="bottom"/>
            <w:hideMark/>
          </w:tcPr>
          <w:p w14:paraId="1E62016D" w14:textId="77777777" w:rsidR="005A3925" w:rsidRPr="005A3925" w:rsidRDefault="005A3925" w:rsidP="005A3925">
            <w:pPr>
              <w:widowControl/>
              <w:jc w:val="left"/>
              <w:rPr>
                <w:rFonts w:ascii="Times New Roman" w:eastAsia="Yu Gothic" w:hAnsi="Times New Roman" w:cs="Times New Roman"/>
                <w:color w:val="000000"/>
                <w:kern w:val="0"/>
                <w:sz w:val="22"/>
                <w:szCs w:val="22"/>
              </w:rPr>
            </w:pPr>
            <w:proofErr w:type="spellStart"/>
            <w:r w:rsidRPr="005A3925">
              <w:rPr>
                <w:rFonts w:ascii="Times New Roman" w:eastAsia="Yu Gothic" w:hAnsi="Times New Roman" w:cs="Times New Roman"/>
                <w:color w:val="000000"/>
                <w:kern w:val="0"/>
                <w:sz w:val="22"/>
                <w:szCs w:val="22"/>
              </w:rPr>
              <w:t>caudoputamen</w:t>
            </w:r>
            <w:proofErr w:type="spellEnd"/>
            <w:r w:rsidRPr="005A3925">
              <w:rPr>
                <w:rFonts w:ascii="Times New Roman" w:eastAsia="Yu Gothic" w:hAnsi="Times New Roman" w:cs="Times New Roman"/>
                <w:color w:val="000000"/>
                <w:kern w:val="0"/>
                <w:sz w:val="22"/>
                <w:szCs w:val="22"/>
              </w:rPr>
              <w:t xml:space="preserve"> </w:t>
            </w:r>
          </w:p>
        </w:tc>
        <w:tc>
          <w:tcPr>
            <w:tcW w:w="961" w:type="dxa"/>
            <w:tcBorders>
              <w:top w:val="nil"/>
              <w:left w:val="nil"/>
              <w:bottom w:val="nil"/>
              <w:right w:val="nil"/>
            </w:tcBorders>
            <w:noWrap/>
            <w:vAlign w:val="bottom"/>
            <w:hideMark/>
          </w:tcPr>
          <w:p w14:paraId="30DD70CA"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0</w:t>
            </w:r>
          </w:p>
        </w:tc>
        <w:tc>
          <w:tcPr>
            <w:tcW w:w="961" w:type="dxa"/>
            <w:tcBorders>
              <w:top w:val="nil"/>
              <w:left w:val="nil"/>
              <w:bottom w:val="nil"/>
              <w:right w:val="nil"/>
            </w:tcBorders>
            <w:noWrap/>
            <w:vAlign w:val="bottom"/>
            <w:hideMark/>
          </w:tcPr>
          <w:p w14:paraId="3A3CC615"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0</w:t>
            </w:r>
          </w:p>
        </w:tc>
        <w:tc>
          <w:tcPr>
            <w:tcW w:w="961" w:type="dxa"/>
            <w:tcBorders>
              <w:top w:val="nil"/>
              <w:left w:val="nil"/>
              <w:bottom w:val="nil"/>
              <w:right w:val="nil"/>
            </w:tcBorders>
            <w:noWrap/>
            <w:vAlign w:val="bottom"/>
            <w:hideMark/>
          </w:tcPr>
          <w:p w14:paraId="4887DF28"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0-1</w:t>
            </w:r>
          </w:p>
        </w:tc>
        <w:tc>
          <w:tcPr>
            <w:tcW w:w="961" w:type="dxa"/>
            <w:tcBorders>
              <w:top w:val="nil"/>
              <w:left w:val="nil"/>
              <w:bottom w:val="nil"/>
              <w:right w:val="nil"/>
            </w:tcBorders>
            <w:noWrap/>
            <w:vAlign w:val="bottom"/>
            <w:hideMark/>
          </w:tcPr>
          <w:p w14:paraId="1F88DEF8"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1-2</w:t>
            </w:r>
          </w:p>
        </w:tc>
        <w:tc>
          <w:tcPr>
            <w:tcW w:w="961" w:type="dxa"/>
            <w:tcBorders>
              <w:top w:val="nil"/>
              <w:left w:val="nil"/>
              <w:bottom w:val="nil"/>
              <w:right w:val="nil"/>
            </w:tcBorders>
            <w:noWrap/>
            <w:vAlign w:val="bottom"/>
            <w:hideMark/>
          </w:tcPr>
          <w:p w14:paraId="60DE96F9"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3</w:t>
            </w:r>
          </w:p>
        </w:tc>
        <w:tc>
          <w:tcPr>
            <w:tcW w:w="961" w:type="dxa"/>
            <w:tcBorders>
              <w:top w:val="nil"/>
              <w:left w:val="nil"/>
              <w:bottom w:val="nil"/>
              <w:right w:val="nil"/>
            </w:tcBorders>
            <w:noWrap/>
            <w:vAlign w:val="bottom"/>
            <w:hideMark/>
          </w:tcPr>
          <w:p w14:paraId="5652C837"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3</w:t>
            </w:r>
          </w:p>
        </w:tc>
      </w:tr>
      <w:tr w:rsidR="005A3925" w:rsidRPr="005A3925" w14:paraId="746DE44F" w14:textId="77777777" w:rsidTr="005A3925">
        <w:trPr>
          <w:trHeight w:val="377"/>
        </w:trPr>
        <w:tc>
          <w:tcPr>
            <w:tcW w:w="2741" w:type="dxa"/>
            <w:tcBorders>
              <w:top w:val="nil"/>
              <w:left w:val="nil"/>
              <w:bottom w:val="nil"/>
              <w:right w:val="nil"/>
            </w:tcBorders>
            <w:noWrap/>
            <w:vAlign w:val="bottom"/>
            <w:hideMark/>
          </w:tcPr>
          <w:p w14:paraId="30DB01F8" w14:textId="77777777" w:rsidR="005A3925" w:rsidRPr="005A3925" w:rsidRDefault="005A3925" w:rsidP="005A3925">
            <w:pPr>
              <w:widowControl/>
              <w:jc w:val="left"/>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 xml:space="preserve">central </w:t>
            </w:r>
            <w:proofErr w:type="spellStart"/>
            <w:r w:rsidRPr="005A3925">
              <w:rPr>
                <w:rFonts w:ascii="Times New Roman" w:eastAsia="Yu Gothic" w:hAnsi="Times New Roman" w:cs="Times New Roman"/>
                <w:color w:val="000000"/>
                <w:kern w:val="0"/>
                <w:sz w:val="22"/>
                <w:szCs w:val="22"/>
              </w:rPr>
              <w:t>amygdalar</w:t>
            </w:r>
            <w:proofErr w:type="spellEnd"/>
            <w:r w:rsidRPr="005A3925">
              <w:rPr>
                <w:rFonts w:ascii="Times New Roman" w:eastAsia="Yu Gothic" w:hAnsi="Times New Roman" w:cs="Times New Roman"/>
                <w:color w:val="000000"/>
                <w:kern w:val="0"/>
                <w:sz w:val="22"/>
                <w:szCs w:val="22"/>
              </w:rPr>
              <w:t xml:space="preserve"> nucleus</w:t>
            </w:r>
          </w:p>
        </w:tc>
        <w:tc>
          <w:tcPr>
            <w:tcW w:w="961" w:type="dxa"/>
            <w:tcBorders>
              <w:top w:val="nil"/>
              <w:left w:val="nil"/>
              <w:bottom w:val="nil"/>
              <w:right w:val="nil"/>
            </w:tcBorders>
            <w:noWrap/>
            <w:vAlign w:val="bottom"/>
            <w:hideMark/>
          </w:tcPr>
          <w:p w14:paraId="5CE75B76"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0</w:t>
            </w:r>
          </w:p>
        </w:tc>
        <w:tc>
          <w:tcPr>
            <w:tcW w:w="961" w:type="dxa"/>
            <w:tcBorders>
              <w:top w:val="nil"/>
              <w:left w:val="nil"/>
              <w:bottom w:val="nil"/>
              <w:right w:val="nil"/>
            </w:tcBorders>
            <w:noWrap/>
            <w:vAlign w:val="bottom"/>
            <w:hideMark/>
          </w:tcPr>
          <w:p w14:paraId="32ACABF0"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0</w:t>
            </w:r>
          </w:p>
        </w:tc>
        <w:tc>
          <w:tcPr>
            <w:tcW w:w="961" w:type="dxa"/>
            <w:tcBorders>
              <w:top w:val="nil"/>
              <w:left w:val="nil"/>
              <w:bottom w:val="nil"/>
              <w:right w:val="nil"/>
            </w:tcBorders>
            <w:noWrap/>
            <w:vAlign w:val="bottom"/>
            <w:hideMark/>
          </w:tcPr>
          <w:p w14:paraId="254CE982"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0-1</w:t>
            </w:r>
          </w:p>
        </w:tc>
        <w:tc>
          <w:tcPr>
            <w:tcW w:w="961" w:type="dxa"/>
            <w:tcBorders>
              <w:top w:val="nil"/>
              <w:left w:val="nil"/>
              <w:bottom w:val="nil"/>
              <w:right w:val="nil"/>
            </w:tcBorders>
            <w:noWrap/>
            <w:vAlign w:val="bottom"/>
            <w:hideMark/>
          </w:tcPr>
          <w:p w14:paraId="12A6F978"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1-2</w:t>
            </w:r>
          </w:p>
        </w:tc>
        <w:tc>
          <w:tcPr>
            <w:tcW w:w="961" w:type="dxa"/>
            <w:tcBorders>
              <w:top w:val="nil"/>
              <w:left w:val="nil"/>
              <w:bottom w:val="nil"/>
              <w:right w:val="nil"/>
            </w:tcBorders>
            <w:noWrap/>
            <w:vAlign w:val="bottom"/>
            <w:hideMark/>
          </w:tcPr>
          <w:p w14:paraId="2ABD30E2"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3</w:t>
            </w:r>
          </w:p>
        </w:tc>
        <w:tc>
          <w:tcPr>
            <w:tcW w:w="961" w:type="dxa"/>
            <w:tcBorders>
              <w:top w:val="nil"/>
              <w:left w:val="nil"/>
              <w:bottom w:val="nil"/>
              <w:right w:val="nil"/>
            </w:tcBorders>
            <w:noWrap/>
            <w:vAlign w:val="bottom"/>
            <w:hideMark/>
          </w:tcPr>
          <w:p w14:paraId="37092219"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3</w:t>
            </w:r>
          </w:p>
        </w:tc>
      </w:tr>
      <w:tr w:rsidR="005A3925" w:rsidRPr="005A3925" w14:paraId="6085606C" w14:textId="77777777" w:rsidTr="005A3925">
        <w:trPr>
          <w:trHeight w:val="377"/>
        </w:trPr>
        <w:tc>
          <w:tcPr>
            <w:tcW w:w="2741" w:type="dxa"/>
            <w:tcBorders>
              <w:top w:val="nil"/>
              <w:left w:val="nil"/>
              <w:bottom w:val="nil"/>
              <w:right w:val="nil"/>
            </w:tcBorders>
            <w:noWrap/>
            <w:vAlign w:val="bottom"/>
            <w:hideMark/>
          </w:tcPr>
          <w:p w14:paraId="36DC92A0" w14:textId="77777777" w:rsidR="005A3925" w:rsidRPr="005A3925" w:rsidRDefault="005A3925" w:rsidP="005A3925">
            <w:pPr>
              <w:widowControl/>
              <w:jc w:val="left"/>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 xml:space="preserve">Hippocampus </w:t>
            </w:r>
          </w:p>
        </w:tc>
        <w:tc>
          <w:tcPr>
            <w:tcW w:w="961" w:type="dxa"/>
            <w:tcBorders>
              <w:top w:val="nil"/>
              <w:left w:val="nil"/>
              <w:bottom w:val="nil"/>
              <w:right w:val="nil"/>
            </w:tcBorders>
            <w:noWrap/>
            <w:vAlign w:val="bottom"/>
            <w:hideMark/>
          </w:tcPr>
          <w:p w14:paraId="46F1DB91"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0</w:t>
            </w:r>
          </w:p>
        </w:tc>
        <w:tc>
          <w:tcPr>
            <w:tcW w:w="961" w:type="dxa"/>
            <w:tcBorders>
              <w:top w:val="nil"/>
              <w:left w:val="nil"/>
              <w:bottom w:val="nil"/>
              <w:right w:val="nil"/>
            </w:tcBorders>
            <w:noWrap/>
            <w:vAlign w:val="bottom"/>
            <w:hideMark/>
          </w:tcPr>
          <w:p w14:paraId="4781228A"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0</w:t>
            </w:r>
          </w:p>
        </w:tc>
        <w:tc>
          <w:tcPr>
            <w:tcW w:w="961" w:type="dxa"/>
            <w:tcBorders>
              <w:top w:val="nil"/>
              <w:left w:val="nil"/>
              <w:bottom w:val="nil"/>
              <w:right w:val="nil"/>
            </w:tcBorders>
            <w:noWrap/>
            <w:vAlign w:val="bottom"/>
            <w:hideMark/>
          </w:tcPr>
          <w:p w14:paraId="4016F24E"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1-2**</w:t>
            </w:r>
          </w:p>
        </w:tc>
        <w:tc>
          <w:tcPr>
            <w:tcW w:w="961" w:type="dxa"/>
            <w:tcBorders>
              <w:top w:val="nil"/>
              <w:left w:val="nil"/>
              <w:bottom w:val="nil"/>
              <w:right w:val="nil"/>
            </w:tcBorders>
            <w:noWrap/>
            <w:vAlign w:val="bottom"/>
            <w:hideMark/>
          </w:tcPr>
          <w:p w14:paraId="4B5A82EF"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2</w:t>
            </w:r>
          </w:p>
        </w:tc>
        <w:tc>
          <w:tcPr>
            <w:tcW w:w="961" w:type="dxa"/>
            <w:tcBorders>
              <w:top w:val="nil"/>
              <w:left w:val="nil"/>
              <w:bottom w:val="nil"/>
              <w:right w:val="nil"/>
            </w:tcBorders>
            <w:noWrap/>
            <w:vAlign w:val="bottom"/>
            <w:hideMark/>
          </w:tcPr>
          <w:p w14:paraId="6A5DFA8A"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3</w:t>
            </w:r>
          </w:p>
        </w:tc>
        <w:tc>
          <w:tcPr>
            <w:tcW w:w="961" w:type="dxa"/>
            <w:tcBorders>
              <w:top w:val="nil"/>
              <w:left w:val="nil"/>
              <w:bottom w:val="nil"/>
              <w:right w:val="nil"/>
            </w:tcBorders>
            <w:noWrap/>
            <w:vAlign w:val="bottom"/>
            <w:hideMark/>
          </w:tcPr>
          <w:p w14:paraId="326179AB"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3</w:t>
            </w:r>
          </w:p>
        </w:tc>
      </w:tr>
      <w:tr w:rsidR="005A3925" w:rsidRPr="005A3925" w14:paraId="6F6D17ED" w14:textId="77777777" w:rsidTr="005A3925">
        <w:trPr>
          <w:trHeight w:val="377"/>
        </w:trPr>
        <w:tc>
          <w:tcPr>
            <w:tcW w:w="2741" w:type="dxa"/>
            <w:tcBorders>
              <w:top w:val="nil"/>
              <w:left w:val="nil"/>
              <w:bottom w:val="nil"/>
              <w:right w:val="nil"/>
            </w:tcBorders>
            <w:noWrap/>
            <w:vAlign w:val="bottom"/>
            <w:hideMark/>
          </w:tcPr>
          <w:p w14:paraId="77D0FE20" w14:textId="77777777" w:rsidR="005A3925" w:rsidRPr="005A3925" w:rsidRDefault="005A3925" w:rsidP="005A3925">
            <w:pPr>
              <w:widowControl/>
              <w:jc w:val="left"/>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 xml:space="preserve">Hypothalamus </w:t>
            </w:r>
          </w:p>
        </w:tc>
        <w:tc>
          <w:tcPr>
            <w:tcW w:w="961" w:type="dxa"/>
            <w:tcBorders>
              <w:top w:val="nil"/>
              <w:left w:val="nil"/>
              <w:bottom w:val="nil"/>
              <w:right w:val="nil"/>
            </w:tcBorders>
            <w:noWrap/>
            <w:vAlign w:val="bottom"/>
            <w:hideMark/>
          </w:tcPr>
          <w:p w14:paraId="27B20B3C"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0</w:t>
            </w:r>
          </w:p>
        </w:tc>
        <w:tc>
          <w:tcPr>
            <w:tcW w:w="961" w:type="dxa"/>
            <w:tcBorders>
              <w:top w:val="nil"/>
              <w:left w:val="nil"/>
              <w:bottom w:val="nil"/>
              <w:right w:val="nil"/>
            </w:tcBorders>
            <w:noWrap/>
            <w:vAlign w:val="bottom"/>
            <w:hideMark/>
          </w:tcPr>
          <w:p w14:paraId="7465CF24"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0-1</w:t>
            </w:r>
          </w:p>
        </w:tc>
        <w:tc>
          <w:tcPr>
            <w:tcW w:w="961" w:type="dxa"/>
            <w:tcBorders>
              <w:top w:val="nil"/>
              <w:left w:val="nil"/>
              <w:bottom w:val="nil"/>
              <w:right w:val="nil"/>
            </w:tcBorders>
            <w:noWrap/>
            <w:vAlign w:val="bottom"/>
            <w:hideMark/>
          </w:tcPr>
          <w:p w14:paraId="00C889D3"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1-2</w:t>
            </w:r>
          </w:p>
        </w:tc>
        <w:tc>
          <w:tcPr>
            <w:tcW w:w="961" w:type="dxa"/>
            <w:tcBorders>
              <w:top w:val="nil"/>
              <w:left w:val="nil"/>
              <w:bottom w:val="nil"/>
              <w:right w:val="nil"/>
            </w:tcBorders>
            <w:noWrap/>
            <w:vAlign w:val="bottom"/>
            <w:hideMark/>
          </w:tcPr>
          <w:p w14:paraId="285C0CF1"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2</w:t>
            </w:r>
          </w:p>
        </w:tc>
        <w:tc>
          <w:tcPr>
            <w:tcW w:w="961" w:type="dxa"/>
            <w:tcBorders>
              <w:top w:val="nil"/>
              <w:left w:val="nil"/>
              <w:bottom w:val="nil"/>
              <w:right w:val="nil"/>
            </w:tcBorders>
            <w:noWrap/>
            <w:vAlign w:val="bottom"/>
            <w:hideMark/>
          </w:tcPr>
          <w:p w14:paraId="6E69303F"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3</w:t>
            </w:r>
          </w:p>
        </w:tc>
        <w:tc>
          <w:tcPr>
            <w:tcW w:w="961" w:type="dxa"/>
            <w:tcBorders>
              <w:top w:val="nil"/>
              <w:left w:val="nil"/>
              <w:bottom w:val="nil"/>
              <w:right w:val="nil"/>
            </w:tcBorders>
            <w:noWrap/>
            <w:vAlign w:val="bottom"/>
            <w:hideMark/>
          </w:tcPr>
          <w:p w14:paraId="546CDD28"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3</w:t>
            </w:r>
          </w:p>
        </w:tc>
      </w:tr>
      <w:tr w:rsidR="005A3925" w:rsidRPr="005A3925" w14:paraId="34DA9ADC" w14:textId="77777777" w:rsidTr="005A3925">
        <w:trPr>
          <w:trHeight w:val="377"/>
        </w:trPr>
        <w:tc>
          <w:tcPr>
            <w:tcW w:w="2741" w:type="dxa"/>
            <w:tcBorders>
              <w:top w:val="nil"/>
              <w:left w:val="nil"/>
              <w:bottom w:val="nil"/>
              <w:right w:val="nil"/>
            </w:tcBorders>
            <w:noWrap/>
            <w:vAlign w:val="bottom"/>
            <w:hideMark/>
          </w:tcPr>
          <w:p w14:paraId="473BDB7A" w14:textId="77777777" w:rsidR="005A3925" w:rsidRPr="005A3925" w:rsidRDefault="005A3925" w:rsidP="005A3925">
            <w:pPr>
              <w:widowControl/>
              <w:jc w:val="left"/>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 xml:space="preserve">Thalamus </w:t>
            </w:r>
          </w:p>
        </w:tc>
        <w:tc>
          <w:tcPr>
            <w:tcW w:w="961" w:type="dxa"/>
            <w:tcBorders>
              <w:top w:val="nil"/>
              <w:left w:val="nil"/>
              <w:bottom w:val="nil"/>
              <w:right w:val="nil"/>
            </w:tcBorders>
            <w:noWrap/>
            <w:vAlign w:val="bottom"/>
            <w:hideMark/>
          </w:tcPr>
          <w:p w14:paraId="5E5FC53D"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0</w:t>
            </w:r>
          </w:p>
        </w:tc>
        <w:tc>
          <w:tcPr>
            <w:tcW w:w="961" w:type="dxa"/>
            <w:tcBorders>
              <w:top w:val="nil"/>
              <w:left w:val="nil"/>
              <w:bottom w:val="nil"/>
              <w:right w:val="nil"/>
            </w:tcBorders>
            <w:noWrap/>
            <w:vAlign w:val="bottom"/>
            <w:hideMark/>
          </w:tcPr>
          <w:p w14:paraId="1B1EA0E9"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0</w:t>
            </w:r>
          </w:p>
        </w:tc>
        <w:tc>
          <w:tcPr>
            <w:tcW w:w="961" w:type="dxa"/>
            <w:tcBorders>
              <w:top w:val="nil"/>
              <w:left w:val="nil"/>
              <w:bottom w:val="nil"/>
              <w:right w:val="nil"/>
            </w:tcBorders>
            <w:noWrap/>
            <w:vAlign w:val="bottom"/>
            <w:hideMark/>
          </w:tcPr>
          <w:p w14:paraId="010FC5C4"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1</w:t>
            </w:r>
          </w:p>
        </w:tc>
        <w:tc>
          <w:tcPr>
            <w:tcW w:w="961" w:type="dxa"/>
            <w:tcBorders>
              <w:top w:val="nil"/>
              <w:left w:val="nil"/>
              <w:bottom w:val="nil"/>
              <w:right w:val="nil"/>
            </w:tcBorders>
            <w:noWrap/>
            <w:vAlign w:val="bottom"/>
            <w:hideMark/>
          </w:tcPr>
          <w:p w14:paraId="5522AFBE"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2</w:t>
            </w:r>
          </w:p>
        </w:tc>
        <w:tc>
          <w:tcPr>
            <w:tcW w:w="961" w:type="dxa"/>
            <w:tcBorders>
              <w:top w:val="nil"/>
              <w:left w:val="nil"/>
              <w:bottom w:val="nil"/>
              <w:right w:val="nil"/>
            </w:tcBorders>
            <w:noWrap/>
            <w:vAlign w:val="bottom"/>
            <w:hideMark/>
          </w:tcPr>
          <w:p w14:paraId="2EBCE710"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2-3</w:t>
            </w:r>
          </w:p>
        </w:tc>
        <w:tc>
          <w:tcPr>
            <w:tcW w:w="961" w:type="dxa"/>
            <w:tcBorders>
              <w:top w:val="nil"/>
              <w:left w:val="nil"/>
              <w:bottom w:val="nil"/>
              <w:right w:val="nil"/>
            </w:tcBorders>
            <w:noWrap/>
            <w:vAlign w:val="bottom"/>
            <w:hideMark/>
          </w:tcPr>
          <w:p w14:paraId="1FF92A5B"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3</w:t>
            </w:r>
          </w:p>
        </w:tc>
      </w:tr>
      <w:tr w:rsidR="005A3925" w:rsidRPr="005A3925" w14:paraId="2E191E52" w14:textId="77777777" w:rsidTr="005A3925">
        <w:trPr>
          <w:trHeight w:val="377"/>
        </w:trPr>
        <w:tc>
          <w:tcPr>
            <w:tcW w:w="2741" w:type="dxa"/>
            <w:tcBorders>
              <w:top w:val="nil"/>
              <w:left w:val="nil"/>
              <w:bottom w:val="single" w:sz="4" w:space="0" w:color="auto"/>
              <w:right w:val="nil"/>
            </w:tcBorders>
            <w:noWrap/>
            <w:vAlign w:val="bottom"/>
            <w:hideMark/>
          </w:tcPr>
          <w:p w14:paraId="4173AD6F" w14:textId="77777777" w:rsidR="005A3925" w:rsidRPr="005A3925" w:rsidRDefault="005A3925" w:rsidP="005A3925">
            <w:pPr>
              <w:widowControl/>
              <w:jc w:val="left"/>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Mossy fiber</w:t>
            </w:r>
          </w:p>
        </w:tc>
        <w:tc>
          <w:tcPr>
            <w:tcW w:w="961" w:type="dxa"/>
            <w:tcBorders>
              <w:top w:val="nil"/>
              <w:left w:val="nil"/>
              <w:bottom w:val="single" w:sz="4" w:space="0" w:color="auto"/>
              <w:right w:val="nil"/>
            </w:tcBorders>
            <w:noWrap/>
            <w:vAlign w:val="bottom"/>
            <w:hideMark/>
          </w:tcPr>
          <w:p w14:paraId="0DD1480E"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w:t>
            </w:r>
          </w:p>
        </w:tc>
        <w:tc>
          <w:tcPr>
            <w:tcW w:w="961" w:type="dxa"/>
            <w:tcBorders>
              <w:top w:val="nil"/>
              <w:left w:val="nil"/>
              <w:bottom w:val="single" w:sz="4" w:space="0" w:color="auto"/>
              <w:right w:val="nil"/>
            </w:tcBorders>
            <w:noWrap/>
            <w:vAlign w:val="bottom"/>
            <w:hideMark/>
          </w:tcPr>
          <w:p w14:paraId="30C5F490"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w:t>
            </w:r>
          </w:p>
        </w:tc>
        <w:tc>
          <w:tcPr>
            <w:tcW w:w="961" w:type="dxa"/>
            <w:tcBorders>
              <w:top w:val="nil"/>
              <w:left w:val="nil"/>
              <w:bottom w:val="single" w:sz="4" w:space="0" w:color="auto"/>
              <w:right w:val="nil"/>
            </w:tcBorders>
            <w:noWrap/>
            <w:vAlign w:val="bottom"/>
            <w:hideMark/>
          </w:tcPr>
          <w:p w14:paraId="354409FC"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w:t>
            </w:r>
          </w:p>
        </w:tc>
        <w:tc>
          <w:tcPr>
            <w:tcW w:w="961" w:type="dxa"/>
            <w:tcBorders>
              <w:top w:val="nil"/>
              <w:left w:val="nil"/>
              <w:bottom w:val="single" w:sz="4" w:space="0" w:color="auto"/>
              <w:right w:val="nil"/>
            </w:tcBorders>
            <w:noWrap/>
            <w:vAlign w:val="bottom"/>
            <w:hideMark/>
          </w:tcPr>
          <w:p w14:paraId="0E3FE1F1"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w:t>
            </w:r>
          </w:p>
        </w:tc>
        <w:tc>
          <w:tcPr>
            <w:tcW w:w="961" w:type="dxa"/>
            <w:tcBorders>
              <w:top w:val="nil"/>
              <w:left w:val="nil"/>
              <w:bottom w:val="single" w:sz="4" w:space="0" w:color="auto"/>
              <w:right w:val="nil"/>
            </w:tcBorders>
            <w:noWrap/>
            <w:vAlign w:val="bottom"/>
            <w:hideMark/>
          </w:tcPr>
          <w:p w14:paraId="43CB826A"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w:t>
            </w:r>
          </w:p>
        </w:tc>
        <w:tc>
          <w:tcPr>
            <w:tcW w:w="961" w:type="dxa"/>
            <w:tcBorders>
              <w:top w:val="nil"/>
              <w:left w:val="nil"/>
              <w:bottom w:val="single" w:sz="4" w:space="0" w:color="auto"/>
              <w:right w:val="nil"/>
            </w:tcBorders>
            <w:noWrap/>
            <w:vAlign w:val="bottom"/>
            <w:hideMark/>
          </w:tcPr>
          <w:p w14:paraId="7156E842" w14:textId="77777777" w:rsidR="005A3925" w:rsidRPr="005A3925" w:rsidRDefault="005A3925" w:rsidP="005A3925">
            <w:pPr>
              <w:widowControl/>
              <w:jc w:val="center"/>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w:t>
            </w:r>
          </w:p>
        </w:tc>
      </w:tr>
      <w:tr w:rsidR="005A3925" w:rsidRPr="005A3925" w14:paraId="48AB6CF6" w14:textId="77777777" w:rsidTr="005A3925">
        <w:trPr>
          <w:trHeight w:val="649"/>
        </w:trPr>
        <w:tc>
          <w:tcPr>
            <w:tcW w:w="8507" w:type="dxa"/>
            <w:gridSpan w:val="7"/>
            <w:tcBorders>
              <w:top w:val="single" w:sz="4" w:space="0" w:color="auto"/>
              <w:left w:val="nil"/>
              <w:bottom w:val="single" w:sz="4" w:space="0" w:color="auto"/>
              <w:right w:val="nil"/>
            </w:tcBorders>
            <w:vAlign w:val="bottom"/>
            <w:hideMark/>
          </w:tcPr>
          <w:p w14:paraId="14ACEA76" w14:textId="1DA3F510" w:rsidR="005A3925" w:rsidRPr="005A3925" w:rsidRDefault="005A3925" w:rsidP="005A3925">
            <w:pPr>
              <w:widowControl/>
              <w:jc w:val="left"/>
              <w:rPr>
                <w:rFonts w:ascii="Times New Roman" w:eastAsia="Yu Gothic" w:hAnsi="Times New Roman" w:cs="Times New Roman"/>
                <w:color w:val="000000"/>
                <w:kern w:val="0"/>
                <w:sz w:val="22"/>
                <w:szCs w:val="22"/>
              </w:rPr>
            </w:pPr>
            <w:r w:rsidRPr="005A3925">
              <w:rPr>
                <w:rFonts w:ascii="Times New Roman" w:eastAsia="Yu Gothic" w:hAnsi="Times New Roman" w:cs="Times New Roman"/>
                <w:color w:val="000000"/>
                <w:kern w:val="0"/>
                <w:sz w:val="22"/>
                <w:szCs w:val="22"/>
              </w:rPr>
              <w:t>*</w:t>
            </w:r>
            <w:r>
              <w:rPr>
                <w:rFonts w:ascii="Times New Roman" w:eastAsia="Yu Gothic" w:hAnsi="Times New Roman" w:cs="Times New Roman" w:hint="eastAsia"/>
                <w:color w:val="000000"/>
                <w:kern w:val="0"/>
                <w:sz w:val="22"/>
                <w:szCs w:val="22"/>
              </w:rPr>
              <w:t>D</w:t>
            </w:r>
            <w:r w:rsidRPr="005A3925">
              <w:rPr>
                <w:rFonts w:ascii="Times New Roman" w:eastAsia="Yu Gothic" w:hAnsi="Times New Roman" w:cs="Times New Roman"/>
                <w:color w:val="000000"/>
                <w:kern w:val="0"/>
                <w:sz w:val="22"/>
                <w:szCs w:val="22"/>
              </w:rPr>
              <w:t xml:space="preserve">osal auditory area, primary somatosensory area, posterior </w:t>
            </w:r>
            <w:proofErr w:type="spellStart"/>
            <w:r w:rsidRPr="005A3925">
              <w:rPr>
                <w:rFonts w:ascii="Times New Roman" w:eastAsia="Yu Gothic" w:hAnsi="Times New Roman" w:cs="Times New Roman"/>
                <w:color w:val="000000"/>
                <w:kern w:val="0"/>
                <w:sz w:val="22"/>
                <w:szCs w:val="22"/>
              </w:rPr>
              <w:t>pariental</w:t>
            </w:r>
            <w:proofErr w:type="spellEnd"/>
            <w:r w:rsidRPr="005A3925">
              <w:rPr>
                <w:rFonts w:ascii="Times New Roman" w:eastAsia="Yu Gothic" w:hAnsi="Times New Roman" w:cs="Times New Roman"/>
                <w:color w:val="000000"/>
                <w:kern w:val="0"/>
                <w:sz w:val="22"/>
                <w:szCs w:val="22"/>
              </w:rPr>
              <w:t xml:space="preserve"> association area, </w:t>
            </w:r>
            <w:proofErr w:type="spellStart"/>
            <w:r w:rsidRPr="005A3925">
              <w:rPr>
                <w:rFonts w:ascii="Times New Roman" w:eastAsia="Yu Gothic" w:hAnsi="Times New Roman" w:cs="Times New Roman"/>
                <w:color w:val="000000"/>
                <w:kern w:val="0"/>
                <w:sz w:val="22"/>
                <w:szCs w:val="22"/>
              </w:rPr>
              <w:t>retrosplenial</w:t>
            </w:r>
            <w:proofErr w:type="spellEnd"/>
            <w:r w:rsidRPr="005A3925">
              <w:rPr>
                <w:rFonts w:ascii="Times New Roman" w:eastAsia="Yu Gothic" w:hAnsi="Times New Roman" w:cs="Times New Roman"/>
                <w:color w:val="000000"/>
                <w:kern w:val="0"/>
                <w:sz w:val="22"/>
                <w:szCs w:val="22"/>
              </w:rPr>
              <w:t xml:space="preserve"> area: 2. **CA1-CA2: 0; CA3, dentate gyrus: 1-2</w:t>
            </w:r>
          </w:p>
        </w:tc>
      </w:tr>
    </w:tbl>
    <w:p w14:paraId="446C5EB3" w14:textId="77777777" w:rsidR="005A3925" w:rsidRDefault="005A3925" w:rsidP="005A3925">
      <w:pPr>
        <w:spacing w:line="276" w:lineRule="auto"/>
        <w:rPr>
          <w:rFonts w:ascii="Times New Roman" w:hAnsi="Times New Roman" w:cs="Times New Roman"/>
          <w:sz w:val="24"/>
          <w:szCs w:val="32"/>
        </w:rPr>
      </w:pPr>
    </w:p>
    <w:p w14:paraId="3D4D7A63" w14:textId="77777777" w:rsidR="00F074A8" w:rsidRPr="00D72293" w:rsidRDefault="00F074A8" w:rsidP="0066545C">
      <w:pPr>
        <w:spacing w:line="276" w:lineRule="auto"/>
        <w:rPr>
          <w:rFonts w:ascii="Times New Roman" w:hAnsi="Times New Roman" w:cs="Times New Roman"/>
          <w:sz w:val="24"/>
          <w:szCs w:val="32"/>
        </w:rPr>
      </w:pPr>
    </w:p>
    <w:p w14:paraId="62799800" w14:textId="77777777" w:rsidR="00F74382" w:rsidRDefault="00777DF3" w:rsidP="0066545C">
      <w:pPr>
        <w:spacing w:line="276" w:lineRule="auto"/>
        <w:rPr>
          <w:rFonts w:ascii="Times New Roman" w:hAnsi="Times New Roman" w:cs="Times New Roman"/>
          <w:b/>
          <w:bCs/>
          <w:sz w:val="32"/>
          <w:szCs w:val="40"/>
        </w:rPr>
      </w:pPr>
      <w:r>
        <w:rPr>
          <w:rFonts w:ascii="Times New Roman" w:hAnsi="Times New Roman" w:cs="Times New Roman" w:hint="eastAsia"/>
          <w:b/>
          <w:bCs/>
          <w:sz w:val="32"/>
          <w:szCs w:val="40"/>
        </w:rPr>
        <w:br w:type="column"/>
      </w:r>
      <w:r w:rsidRPr="00777DF3">
        <w:rPr>
          <w:rFonts w:ascii="Times New Roman" w:hAnsi="Times New Roman" w:cs="Times New Roman"/>
          <w:b/>
          <w:bCs/>
          <w:sz w:val="32"/>
          <w:szCs w:val="40"/>
        </w:rPr>
        <w:lastRenderedPageBreak/>
        <w:t>Supplementary Figures</w:t>
      </w:r>
    </w:p>
    <w:p w14:paraId="4D5B9F3D" w14:textId="6B773B3C" w:rsidR="00D738EE" w:rsidRDefault="00F74382" w:rsidP="0066545C">
      <w:pPr>
        <w:spacing w:line="276" w:lineRule="auto"/>
        <w:rPr>
          <w:rFonts w:ascii="Times New Roman" w:eastAsia="ＭＳ Ｐ明朝" w:hAnsi="Times New Roman" w:cs="Times New Roman"/>
          <w:b/>
          <w:bCs/>
          <w:sz w:val="24"/>
        </w:rPr>
      </w:pPr>
      <w:r w:rsidRPr="00F74382">
        <w:rPr>
          <w:rFonts w:ascii="Times New Roman" w:eastAsia="ＭＳ Ｐ明朝" w:hAnsi="Times New Roman" w:cs="Times New Roman"/>
          <w:b/>
          <w:bCs/>
          <w:noProof/>
          <w:sz w:val="24"/>
        </w:rPr>
        <w:drawing>
          <wp:inline distT="0" distB="0" distL="0" distR="0" wp14:anchorId="58286C53" wp14:editId="154B9145">
            <wp:extent cx="5760000" cy="4132380"/>
            <wp:effectExtent l="0" t="0" r="0" b="1905"/>
            <wp:docPr id="2" name="図 1" descr="カレンダー&#10;&#10;AI 生成コンテンツは誤りを含む可能性があります。">
              <a:extLst xmlns:a="http://schemas.openxmlformats.org/drawingml/2006/main">
                <a:ext uri="{FF2B5EF4-FFF2-40B4-BE49-F238E27FC236}">
                  <a16:creationId xmlns:a16="http://schemas.microsoft.com/office/drawing/2014/main" id="{4A56D289-4580-D221-8F08-3C480D43C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カレンダー&#10;&#10;AI 生成コンテンツは誤りを含む可能性があります。">
                      <a:extLst>
                        <a:ext uri="{FF2B5EF4-FFF2-40B4-BE49-F238E27FC236}">
                          <a16:creationId xmlns:a16="http://schemas.microsoft.com/office/drawing/2014/main" id="{4A56D289-4580-D221-8F08-3C480D43C83E}"/>
                        </a:ext>
                      </a:extLst>
                    </pic:cNvPr>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5760000" cy="4132380"/>
                    </a:xfrm>
                    <a:prstGeom prst="rect">
                      <a:avLst/>
                    </a:prstGeom>
                  </pic:spPr>
                </pic:pic>
              </a:graphicData>
            </a:graphic>
          </wp:inline>
        </w:drawing>
      </w:r>
    </w:p>
    <w:p w14:paraId="6CCABEDB" w14:textId="1D739819" w:rsidR="006E6314" w:rsidRPr="006E6314" w:rsidRDefault="006E6314" w:rsidP="006E6314">
      <w:pPr>
        <w:spacing w:line="276" w:lineRule="auto"/>
        <w:rPr>
          <w:rFonts w:ascii="Times New Roman" w:eastAsia="ＭＳ Ｐ明朝" w:hAnsi="Times New Roman" w:cs="Times New Roman"/>
          <w:b/>
          <w:bCs/>
          <w:sz w:val="24"/>
        </w:rPr>
      </w:pPr>
      <w:r w:rsidRPr="006E6314">
        <w:rPr>
          <w:rFonts w:ascii="Times New Roman" w:eastAsia="ＭＳ Ｐ明朝" w:hAnsi="Times New Roman" w:cs="Times New Roman"/>
          <w:b/>
          <w:bCs/>
          <w:sz w:val="24"/>
        </w:rPr>
        <w:t xml:space="preserve">Supplementary Figure </w:t>
      </w:r>
      <w:r w:rsidR="000D4B66">
        <w:rPr>
          <w:rFonts w:ascii="Times New Roman" w:eastAsia="ＭＳ Ｐ明朝" w:hAnsi="Times New Roman" w:cs="Times New Roman" w:hint="eastAsia"/>
          <w:b/>
          <w:bCs/>
          <w:sz w:val="24"/>
        </w:rPr>
        <w:t>1</w:t>
      </w:r>
      <w:r w:rsidRPr="006E6314">
        <w:rPr>
          <w:rFonts w:ascii="Times New Roman" w:eastAsia="ＭＳ Ｐ明朝" w:hAnsi="Times New Roman" w:cs="Times New Roman"/>
          <w:b/>
          <w:bCs/>
          <w:sz w:val="24"/>
        </w:rPr>
        <w:t xml:space="preserve">. Method and schematic of skin </w:t>
      </w:r>
      <w:proofErr w:type="spellStart"/>
      <w:r w:rsidRPr="006E6314">
        <w:rPr>
          <w:rFonts w:ascii="Times New Roman" w:eastAsia="ＭＳ Ｐ明朝" w:hAnsi="Times New Roman" w:cs="Times New Roman"/>
          <w:b/>
          <w:bCs/>
          <w:sz w:val="24"/>
        </w:rPr>
        <w:t>microdialysis</w:t>
      </w:r>
      <w:proofErr w:type="spellEnd"/>
      <w:r w:rsidRPr="006E6314">
        <w:rPr>
          <w:rFonts w:ascii="Times New Roman" w:eastAsia="ＭＳ Ｐ明朝" w:hAnsi="Times New Roman" w:cs="Times New Roman"/>
          <w:b/>
          <w:bCs/>
          <w:sz w:val="24"/>
        </w:rPr>
        <w:t xml:space="preserve"> in mice.</w:t>
      </w:r>
    </w:p>
    <w:p w14:paraId="3908C6FA" w14:textId="300AA888" w:rsidR="006E6314" w:rsidRPr="006E6314" w:rsidRDefault="006E6314" w:rsidP="006E6314">
      <w:pPr>
        <w:spacing w:line="276" w:lineRule="auto"/>
        <w:rPr>
          <w:rFonts w:ascii="Times New Roman" w:eastAsia="ＭＳ Ｐ明朝" w:hAnsi="Times New Roman" w:cs="Times New Roman"/>
          <w:sz w:val="24"/>
        </w:rPr>
      </w:pPr>
      <w:r w:rsidRPr="006E6314">
        <w:rPr>
          <w:rFonts w:ascii="Times New Roman" w:eastAsia="ＭＳ Ｐ明朝" w:hAnsi="Times New Roman" w:cs="Times New Roman"/>
          <w:sz w:val="24"/>
        </w:rPr>
        <w:t xml:space="preserve">A) Procedure for inserting a </w:t>
      </w:r>
      <w:proofErr w:type="spellStart"/>
      <w:r w:rsidRPr="006E6314">
        <w:rPr>
          <w:rFonts w:ascii="Times New Roman" w:eastAsia="ＭＳ Ｐ明朝" w:hAnsi="Times New Roman" w:cs="Times New Roman"/>
          <w:sz w:val="24"/>
        </w:rPr>
        <w:t>microdialysis</w:t>
      </w:r>
      <w:proofErr w:type="spellEnd"/>
      <w:r w:rsidRPr="006E6314">
        <w:rPr>
          <w:rFonts w:ascii="Times New Roman" w:eastAsia="ＭＳ Ｐ明朝" w:hAnsi="Times New Roman" w:cs="Times New Roman"/>
          <w:sz w:val="24"/>
        </w:rPr>
        <w:t xml:space="preserve"> probe into the dermis.</w:t>
      </w:r>
      <w:r w:rsidRPr="006E6314">
        <w:rPr>
          <w:rFonts w:ascii="Times New Roman" w:eastAsia="ＭＳ Ｐ明朝" w:hAnsi="Times New Roman" w:cs="Times New Roman"/>
          <w:sz w:val="24"/>
        </w:rPr>
        <w:br/>
        <w:t>(1) A 22-gauge needle is inserted as a guide into the dermis.</w:t>
      </w:r>
      <w:r w:rsidRPr="006E6314">
        <w:rPr>
          <w:rFonts w:ascii="Times New Roman" w:eastAsia="ＭＳ Ｐ明朝" w:hAnsi="Times New Roman" w:cs="Times New Roman"/>
          <w:sz w:val="24"/>
        </w:rPr>
        <w:br/>
        <w:t xml:space="preserve">(2) The </w:t>
      </w:r>
      <w:proofErr w:type="spellStart"/>
      <w:r w:rsidRPr="006E6314">
        <w:rPr>
          <w:rFonts w:ascii="Times New Roman" w:eastAsia="ＭＳ Ｐ明朝" w:hAnsi="Times New Roman" w:cs="Times New Roman"/>
          <w:sz w:val="24"/>
        </w:rPr>
        <w:t>microdialysis</w:t>
      </w:r>
      <w:proofErr w:type="spellEnd"/>
      <w:r w:rsidRPr="006E6314">
        <w:rPr>
          <w:rFonts w:ascii="Times New Roman" w:eastAsia="ＭＳ Ｐ明朝" w:hAnsi="Times New Roman" w:cs="Times New Roman"/>
          <w:sz w:val="24"/>
        </w:rPr>
        <w:t xml:space="preserve"> probe is threaded through the needle lumen from the opposite end.</w:t>
      </w:r>
      <w:r w:rsidRPr="006E6314">
        <w:rPr>
          <w:rFonts w:ascii="Times New Roman" w:eastAsia="ＭＳ Ｐ明朝" w:hAnsi="Times New Roman" w:cs="Times New Roman"/>
          <w:sz w:val="24"/>
        </w:rPr>
        <w:br/>
        <w:t>(3) The needle is gently withdrawn, leaving the probe in place within the dermis.</w:t>
      </w:r>
      <w:r w:rsidRPr="006E6314">
        <w:rPr>
          <w:rFonts w:ascii="Times New Roman" w:eastAsia="ＭＳ Ｐ明朝" w:hAnsi="Times New Roman" w:cs="Times New Roman"/>
          <w:sz w:val="24"/>
        </w:rPr>
        <w:br/>
        <w:t>Scale bar</w:t>
      </w:r>
      <w:r>
        <w:rPr>
          <w:rFonts w:ascii="Times New Roman" w:eastAsia="ＭＳ Ｐ明朝" w:hAnsi="Times New Roman" w:cs="Times New Roman" w:hint="eastAsia"/>
          <w:sz w:val="24"/>
        </w:rPr>
        <w:t>s</w:t>
      </w:r>
      <w:r w:rsidRPr="006E6314">
        <w:rPr>
          <w:rFonts w:ascii="Times New Roman" w:eastAsia="ＭＳ Ｐ明朝" w:hAnsi="Times New Roman" w:cs="Times New Roman"/>
          <w:sz w:val="24"/>
        </w:rPr>
        <w:t xml:space="preserve"> = 500 </w:t>
      </w:r>
      <w:proofErr w:type="spellStart"/>
      <w:r w:rsidRPr="006E6314">
        <w:rPr>
          <w:rFonts w:ascii="Times New Roman" w:eastAsia="ＭＳ Ｐ明朝" w:hAnsi="Times New Roman" w:cs="Times New Roman"/>
          <w:sz w:val="24"/>
        </w:rPr>
        <w:t>μm</w:t>
      </w:r>
      <w:proofErr w:type="spellEnd"/>
      <w:r w:rsidRPr="006E6314">
        <w:rPr>
          <w:rFonts w:ascii="Times New Roman" w:eastAsia="ＭＳ Ｐ明朝" w:hAnsi="Times New Roman" w:cs="Times New Roman"/>
          <w:sz w:val="24"/>
        </w:rPr>
        <w:t>.</w:t>
      </w:r>
      <w:r w:rsidRPr="006E6314">
        <w:rPr>
          <w:rFonts w:ascii="Times New Roman" w:eastAsia="ＭＳ Ｐ明朝" w:hAnsi="Times New Roman" w:cs="Times New Roman"/>
          <w:sz w:val="24"/>
        </w:rPr>
        <w:br/>
        <w:t>B) Mouse skin after probe insertion; a small cavity remains in the dermis following probe removal.</w:t>
      </w:r>
      <w:r w:rsidRPr="006E6314">
        <w:rPr>
          <w:rFonts w:ascii="Times New Roman" w:eastAsia="ＭＳ Ｐ明朝" w:hAnsi="Times New Roman" w:cs="Times New Roman"/>
          <w:sz w:val="24"/>
        </w:rPr>
        <w:br/>
        <w:t xml:space="preserve">Scale bar = 200 </w:t>
      </w:r>
      <w:proofErr w:type="spellStart"/>
      <w:r w:rsidRPr="006E6314">
        <w:rPr>
          <w:rFonts w:ascii="Times New Roman" w:eastAsia="ＭＳ Ｐ明朝" w:hAnsi="Times New Roman" w:cs="Times New Roman"/>
          <w:sz w:val="24"/>
        </w:rPr>
        <w:t>μm</w:t>
      </w:r>
      <w:proofErr w:type="spellEnd"/>
      <w:r w:rsidRPr="006E6314">
        <w:rPr>
          <w:rFonts w:ascii="Times New Roman" w:eastAsia="ＭＳ Ｐ明朝" w:hAnsi="Times New Roman" w:cs="Times New Roman"/>
          <w:sz w:val="24"/>
        </w:rPr>
        <w:t>.</w:t>
      </w:r>
      <w:r w:rsidRPr="006E6314">
        <w:rPr>
          <w:rFonts w:ascii="Times New Roman" w:eastAsia="ＭＳ Ｐ明朝" w:hAnsi="Times New Roman" w:cs="Times New Roman"/>
          <w:sz w:val="24"/>
        </w:rPr>
        <w:br/>
        <w:t xml:space="preserve">C) Schematic of skin ISF </w:t>
      </w:r>
      <w:proofErr w:type="spellStart"/>
      <w:r w:rsidRPr="006E6314">
        <w:rPr>
          <w:rFonts w:ascii="Times New Roman" w:eastAsia="ＭＳ Ｐ明朝" w:hAnsi="Times New Roman" w:cs="Times New Roman"/>
          <w:sz w:val="24"/>
        </w:rPr>
        <w:t>microdialysis</w:t>
      </w:r>
      <w:proofErr w:type="spellEnd"/>
      <w:r w:rsidRPr="006E6314">
        <w:rPr>
          <w:rFonts w:ascii="Times New Roman" w:eastAsia="ＭＳ Ｐ明朝" w:hAnsi="Times New Roman" w:cs="Times New Roman"/>
          <w:sz w:val="24"/>
        </w:rPr>
        <w:t xml:space="preserve">. A </w:t>
      </w:r>
      <w:proofErr w:type="spellStart"/>
      <w:r w:rsidRPr="006E6314">
        <w:rPr>
          <w:rFonts w:ascii="Times New Roman" w:eastAsia="ＭＳ Ｐ明朝" w:hAnsi="Times New Roman" w:cs="Times New Roman"/>
          <w:sz w:val="24"/>
        </w:rPr>
        <w:t>microdialysis</w:t>
      </w:r>
      <w:proofErr w:type="spellEnd"/>
      <w:r w:rsidRPr="006E6314">
        <w:rPr>
          <w:rFonts w:ascii="Times New Roman" w:eastAsia="ＭＳ Ｐ明朝" w:hAnsi="Times New Roman" w:cs="Times New Roman"/>
          <w:sz w:val="24"/>
        </w:rPr>
        <w:t xml:space="preserve"> probe equipped with a 100 </w:t>
      </w:r>
      <w:proofErr w:type="spellStart"/>
      <w:r w:rsidRPr="006E6314">
        <w:rPr>
          <w:rFonts w:ascii="Times New Roman" w:eastAsia="ＭＳ Ｐ明朝" w:hAnsi="Times New Roman" w:cs="Times New Roman"/>
          <w:sz w:val="24"/>
        </w:rPr>
        <w:t>kDa</w:t>
      </w:r>
      <w:proofErr w:type="spellEnd"/>
      <w:r w:rsidRPr="006E6314">
        <w:rPr>
          <w:rFonts w:ascii="Times New Roman" w:eastAsia="ＭＳ Ｐ明朝" w:hAnsi="Times New Roman" w:cs="Times New Roman"/>
          <w:sz w:val="24"/>
        </w:rPr>
        <w:t xml:space="preserve"> cutoff semipermeable membrane is placed intradermally and connected to a peristaltic pump via FEP tubing. Ringer’s solution is perfused at a low flow rate, and dialysate containing molecules passing through the 100 </w:t>
      </w:r>
      <w:proofErr w:type="spellStart"/>
      <w:r w:rsidRPr="006E6314">
        <w:rPr>
          <w:rFonts w:ascii="Times New Roman" w:eastAsia="ＭＳ Ｐ明朝" w:hAnsi="Times New Roman" w:cs="Times New Roman"/>
          <w:sz w:val="24"/>
        </w:rPr>
        <w:t>kDa</w:t>
      </w:r>
      <w:proofErr w:type="spellEnd"/>
      <w:r w:rsidRPr="006E6314">
        <w:rPr>
          <w:rFonts w:ascii="Times New Roman" w:eastAsia="ＭＳ Ｐ明朝" w:hAnsi="Times New Roman" w:cs="Times New Roman"/>
          <w:sz w:val="24"/>
        </w:rPr>
        <w:t xml:space="preserve"> membrane is collected.</w:t>
      </w:r>
    </w:p>
    <w:p w14:paraId="20A91B2F" w14:textId="12848E14" w:rsidR="006E6314" w:rsidRDefault="006E6314">
      <w:pPr>
        <w:widowControl/>
        <w:jc w:val="left"/>
        <w:rPr>
          <w:rFonts w:ascii="Times New Roman" w:eastAsia="ＭＳ Ｐ明朝" w:hAnsi="Times New Roman" w:cs="Times New Roman"/>
          <w:b/>
          <w:bCs/>
          <w:sz w:val="24"/>
        </w:rPr>
      </w:pPr>
      <w:r>
        <w:rPr>
          <w:rFonts w:ascii="Times New Roman" w:eastAsia="ＭＳ Ｐ明朝" w:hAnsi="Times New Roman" w:cs="Times New Roman"/>
          <w:b/>
          <w:bCs/>
          <w:sz w:val="24"/>
        </w:rPr>
        <w:br w:type="page"/>
      </w:r>
    </w:p>
    <w:p w14:paraId="267B3EAA" w14:textId="546ACF8C" w:rsidR="00F74382" w:rsidRDefault="005A3925" w:rsidP="0066545C">
      <w:pPr>
        <w:spacing w:line="276" w:lineRule="auto"/>
        <w:rPr>
          <w:rFonts w:ascii="Times New Roman" w:eastAsia="ＭＳ Ｐ明朝" w:hAnsi="Times New Roman" w:cs="Times New Roman"/>
          <w:b/>
          <w:bCs/>
          <w:sz w:val="24"/>
        </w:rPr>
      </w:pPr>
      <w:r w:rsidRPr="005A3925">
        <w:rPr>
          <w:rFonts w:ascii="Times New Roman" w:eastAsia="ＭＳ Ｐ明朝" w:hAnsi="Times New Roman" w:cs="Times New Roman"/>
          <w:b/>
          <w:bCs/>
          <w:noProof/>
          <w:sz w:val="24"/>
        </w:rPr>
        <w:lastRenderedPageBreak/>
        <w:drawing>
          <wp:inline distT="0" distB="0" distL="0" distR="0" wp14:anchorId="39496074" wp14:editId="4B0C9C71">
            <wp:extent cx="5760000" cy="3524139"/>
            <wp:effectExtent l="0" t="0" r="0" b="0"/>
            <wp:docPr id="1464431456" name="図 1" descr="障子, 古い, クロスワードパズル, 屋外 が含まれている画像&#10;&#10;AI 生成コンテンツは誤りを含む可能性があります。">
              <a:extLst xmlns:a="http://schemas.openxmlformats.org/drawingml/2006/main">
                <a:ext uri="{FF2B5EF4-FFF2-40B4-BE49-F238E27FC236}">
                  <a16:creationId xmlns:a16="http://schemas.microsoft.com/office/drawing/2014/main" id="{FBF73447-B8FC-D6C0-06C6-BFB9E1FF7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31456" name="図 1" descr="障子, 古い, クロスワードパズル, 屋外 が含まれている画像&#10;&#10;AI 生成コンテンツは誤りを含む可能性があります。">
                      <a:extLst>
                        <a:ext uri="{FF2B5EF4-FFF2-40B4-BE49-F238E27FC236}">
                          <a16:creationId xmlns:a16="http://schemas.microsoft.com/office/drawing/2014/main" id="{FBF73447-B8FC-D6C0-06C6-BFB9E1FF7B32}"/>
                        </a:ext>
                      </a:extLst>
                    </pic:cNvPr>
                    <pic:cNvPicPr>
                      <a:picLocks noChangeAspect="1"/>
                    </pic:cNvPicPr>
                  </pic:nvPicPr>
                  <pic:blipFill>
                    <a:blip r:embed="rId9"/>
                    <a:stretch>
                      <a:fillRect/>
                    </a:stretch>
                  </pic:blipFill>
                  <pic:spPr>
                    <a:xfrm>
                      <a:off x="0" y="0"/>
                      <a:ext cx="5760000" cy="3524139"/>
                    </a:xfrm>
                    <a:prstGeom prst="rect">
                      <a:avLst/>
                    </a:prstGeom>
                  </pic:spPr>
                </pic:pic>
              </a:graphicData>
            </a:graphic>
          </wp:inline>
        </w:drawing>
      </w:r>
    </w:p>
    <w:p w14:paraId="6A63CB54" w14:textId="769EC72D" w:rsidR="006E6314" w:rsidRPr="006E6314" w:rsidRDefault="006E6314" w:rsidP="006E6314">
      <w:pPr>
        <w:widowControl/>
        <w:jc w:val="left"/>
        <w:rPr>
          <w:rFonts w:ascii="Times New Roman" w:eastAsia="ＭＳ Ｐ明朝" w:hAnsi="Times New Roman" w:cs="Times New Roman"/>
          <w:b/>
          <w:bCs/>
          <w:sz w:val="24"/>
        </w:rPr>
      </w:pPr>
      <w:r w:rsidRPr="006E6314">
        <w:rPr>
          <w:rFonts w:ascii="Times New Roman" w:eastAsia="ＭＳ Ｐ明朝" w:hAnsi="Times New Roman" w:cs="Times New Roman"/>
          <w:b/>
          <w:bCs/>
          <w:sz w:val="24"/>
        </w:rPr>
        <w:t xml:space="preserve">Supplementary Figure </w:t>
      </w:r>
      <w:r w:rsidR="000D4B66">
        <w:rPr>
          <w:rFonts w:ascii="Times New Roman" w:eastAsia="ＭＳ Ｐ明朝" w:hAnsi="Times New Roman" w:cs="Times New Roman" w:hint="eastAsia"/>
          <w:b/>
          <w:bCs/>
          <w:sz w:val="24"/>
        </w:rPr>
        <w:t>2</w:t>
      </w:r>
      <w:r w:rsidRPr="006E6314">
        <w:rPr>
          <w:rFonts w:ascii="Times New Roman" w:eastAsia="ＭＳ Ｐ明朝" w:hAnsi="Times New Roman" w:cs="Times New Roman"/>
          <w:b/>
          <w:bCs/>
          <w:sz w:val="24"/>
        </w:rPr>
        <w:t>. Six-stage grading of brain tau pathology.</w:t>
      </w:r>
    </w:p>
    <w:p w14:paraId="117C3D4B" w14:textId="77777777" w:rsidR="006E6314" w:rsidRPr="006E6314" w:rsidRDefault="006E6314" w:rsidP="006E6314">
      <w:pPr>
        <w:widowControl/>
        <w:jc w:val="left"/>
        <w:rPr>
          <w:rFonts w:ascii="Times New Roman" w:eastAsia="ＭＳ Ｐ明朝" w:hAnsi="Times New Roman" w:cs="Times New Roman"/>
          <w:sz w:val="24"/>
        </w:rPr>
      </w:pPr>
      <w:r w:rsidRPr="006E6314">
        <w:rPr>
          <w:rFonts w:ascii="Times New Roman" w:eastAsia="ＭＳ Ｐ明朝" w:hAnsi="Times New Roman" w:cs="Times New Roman"/>
          <w:sz w:val="24"/>
        </w:rPr>
        <w:t xml:space="preserve">Representative AT8-stained images corresponding to each pathology stage in the piriform area (scale bar = 500 </w:t>
      </w:r>
      <w:proofErr w:type="spellStart"/>
      <w:r w:rsidRPr="006E6314">
        <w:rPr>
          <w:rFonts w:ascii="Times New Roman" w:eastAsia="ＭＳ Ｐ明朝" w:hAnsi="Times New Roman" w:cs="Times New Roman"/>
          <w:sz w:val="24"/>
        </w:rPr>
        <w:t>μm</w:t>
      </w:r>
      <w:proofErr w:type="spellEnd"/>
      <w:r w:rsidRPr="006E6314">
        <w:rPr>
          <w:rFonts w:ascii="Times New Roman" w:eastAsia="ＭＳ Ｐ明朝" w:hAnsi="Times New Roman" w:cs="Times New Roman"/>
          <w:sz w:val="24"/>
        </w:rPr>
        <w:t xml:space="preserve">), temporal cortex (scale bar = 500 </w:t>
      </w:r>
      <w:proofErr w:type="spellStart"/>
      <w:r w:rsidRPr="006E6314">
        <w:rPr>
          <w:rFonts w:ascii="Times New Roman" w:eastAsia="ＭＳ Ｐ明朝" w:hAnsi="Times New Roman" w:cs="Times New Roman"/>
          <w:sz w:val="24"/>
        </w:rPr>
        <w:t>μm</w:t>
      </w:r>
      <w:proofErr w:type="spellEnd"/>
      <w:r w:rsidRPr="006E6314">
        <w:rPr>
          <w:rFonts w:ascii="Times New Roman" w:eastAsia="ＭＳ Ｐ明朝" w:hAnsi="Times New Roman" w:cs="Times New Roman"/>
          <w:sz w:val="24"/>
        </w:rPr>
        <w:t xml:space="preserve">), hippocampus (scale bar = 500 </w:t>
      </w:r>
      <w:proofErr w:type="spellStart"/>
      <w:r w:rsidRPr="006E6314">
        <w:rPr>
          <w:rFonts w:ascii="Times New Roman" w:eastAsia="ＭＳ Ｐ明朝" w:hAnsi="Times New Roman" w:cs="Times New Roman"/>
          <w:sz w:val="24"/>
        </w:rPr>
        <w:t>μm</w:t>
      </w:r>
      <w:proofErr w:type="spellEnd"/>
      <w:r w:rsidRPr="006E6314">
        <w:rPr>
          <w:rFonts w:ascii="Times New Roman" w:eastAsia="ＭＳ Ｐ明朝" w:hAnsi="Times New Roman" w:cs="Times New Roman"/>
          <w:sz w:val="24"/>
        </w:rPr>
        <w:t xml:space="preserve">), thalamus (scale bar = 500 </w:t>
      </w:r>
      <w:proofErr w:type="spellStart"/>
      <w:r w:rsidRPr="006E6314">
        <w:rPr>
          <w:rFonts w:ascii="Times New Roman" w:eastAsia="ＭＳ Ｐ明朝" w:hAnsi="Times New Roman" w:cs="Times New Roman"/>
          <w:sz w:val="24"/>
        </w:rPr>
        <w:t>μm</w:t>
      </w:r>
      <w:proofErr w:type="spellEnd"/>
      <w:r w:rsidRPr="006E6314">
        <w:rPr>
          <w:rFonts w:ascii="Times New Roman" w:eastAsia="ＭＳ Ｐ明朝" w:hAnsi="Times New Roman" w:cs="Times New Roman"/>
          <w:sz w:val="24"/>
        </w:rPr>
        <w:t xml:space="preserve">), and hypothalamus (scale bar = 500 </w:t>
      </w:r>
      <w:proofErr w:type="spellStart"/>
      <w:r w:rsidRPr="006E6314">
        <w:rPr>
          <w:rFonts w:ascii="Times New Roman" w:eastAsia="ＭＳ Ｐ明朝" w:hAnsi="Times New Roman" w:cs="Times New Roman"/>
          <w:sz w:val="24"/>
        </w:rPr>
        <w:t>μm</w:t>
      </w:r>
      <w:proofErr w:type="spellEnd"/>
      <w:r w:rsidRPr="006E6314">
        <w:rPr>
          <w:rFonts w:ascii="Times New Roman" w:eastAsia="ＭＳ Ｐ明朝" w:hAnsi="Times New Roman" w:cs="Times New Roman"/>
          <w:sz w:val="24"/>
        </w:rPr>
        <w:t>). The AT8 deposition grade (0–3) is shown in the upper right corner of each image.</w:t>
      </w:r>
    </w:p>
    <w:p w14:paraId="2FAFBAD6" w14:textId="77777777" w:rsidR="005A3925" w:rsidRDefault="005A3925">
      <w:pPr>
        <w:widowControl/>
        <w:jc w:val="left"/>
        <w:rPr>
          <w:rFonts w:ascii="Times New Roman" w:eastAsia="ＭＳ Ｐ明朝" w:hAnsi="Times New Roman" w:cs="Times New Roman"/>
          <w:sz w:val="24"/>
        </w:rPr>
      </w:pPr>
      <w:r>
        <w:rPr>
          <w:rFonts w:ascii="Times New Roman" w:eastAsia="ＭＳ Ｐ明朝" w:hAnsi="Times New Roman" w:cs="Times New Roman"/>
          <w:sz w:val="24"/>
        </w:rPr>
        <w:br w:type="page"/>
      </w:r>
    </w:p>
    <w:p w14:paraId="757FAC6F" w14:textId="679AC034" w:rsidR="005A3925" w:rsidRDefault="004C2D62" w:rsidP="0066545C">
      <w:pPr>
        <w:spacing w:line="276" w:lineRule="auto"/>
        <w:rPr>
          <w:rFonts w:ascii="Times New Roman" w:eastAsia="ＭＳ Ｐ明朝" w:hAnsi="Times New Roman" w:cs="Times New Roman"/>
          <w:sz w:val="24"/>
        </w:rPr>
      </w:pPr>
      <w:r w:rsidRPr="004C2D62">
        <w:rPr>
          <w:rFonts w:ascii="Times New Roman" w:eastAsia="ＭＳ Ｐ明朝" w:hAnsi="Times New Roman" w:cs="Times New Roman"/>
          <w:noProof/>
          <w:sz w:val="24"/>
        </w:rPr>
        <w:lastRenderedPageBreak/>
        <w:drawing>
          <wp:inline distT="0" distB="0" distL="0" distR="0" wp14:anchorId="36CC7F54" wp14:editId="5185CE63">
            <wp:extent cx="5400040" cy="3696970"/>
            <wp:effectExtent l="0" t="0" r="0" b="0"/>
            <wp:docPr id="37" name="図 36" descr="カレンダー&#10;&#10;AI 生成コンテンツは誤りを含む可能性があります。">
              <a:extLst xmlns:a="http://schemas.openxmlformats.org/drawingml/2006/main">
                <a:ext uri="{FF2B5EF4-FFF2-40B4-BE49-F238E27FC236}">
                  <a16:creationId xmlns:a16="http://schemas.microsoft.com/office/drawing/2014/main" id="{527C8AA2-D0EC-DFE2-F530-398964237F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descr="カレンダー&#10;&#10;AI 生成コンテンツは誤りを含む可能性があります。">
                      <a:extLst>
                        <a:ext uri="{FF2B5EF4-FFF2-40B4-BE49-F238E27FC236}">
                          <a16:creationId xmlns:a16="http://schemas.microsoft.com/office/drawing/2014/main" id="{527C8AA2-D0EC-DFE2-F530-398964237F29}"/>
                        </a:ext>
                      </a:extLst>
                    </pic:cNvPr>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5400040" cy="3696970"/>
                    </a:xfrm>
                    <a:prstGeom prst="rect">
                      <a:avLst/>
                    </a:prstGeom>
                  </pic:spPr>
                </pic:pic>
              </a:graphicData>
            </a:graphic>
          </wp:inline>
        </w:drawing>
      </w:r>
    </w:p>
    <w:p w14:paraId="045B9546" w14:textId="444C1038" w:rsidR="006E6314" w:rsidRPr="006E6314" w:rsidRDefault="006E6314" w:rsidP="006E6314">
      <w:pPr>
        <w:widowControl/>
        <w:jc w:val="left"/>
        <w:rPr>
          <w:rFonts w:ascii="Times New Roman" w:eastAsia="ＭＳ Ｐ明朝" w:hAnsi="Times New Roman" w:cs="Times New Roman"/>
          <w:b/>
          <w:bCs/>
          <w:sz w:val="24"/>
        </w:rPr>
      </w:pPr>
      <w:r w:rsidRPr="006E6314">
        <w:rPr>
          <w:rFonts w:ascii="Times New Roman" w:eastAsia="ＭＳ Ｐ明朝" w:hAnsi="Times New Roman" w:cs="Times New Roman"/>
          <w:b/>
          <w:bCs/>
          <w:sz w:val="24"/>
        </w:rPr>
        <w:t xml:space="preserve">Supplementary Figure </w:t>
      </w:r>
      <w:r w:rsidR="000D4B66">
        <w:rPr>
          <w:rFonts w:ascii="Times New Roman" w:eastAsia="ＭＳ Ｐ明朝" w:hAnsi="Times New Roman" w:cs="Times New Roman" w:hint="eastAsia"/>
          <w:b/>
          <w:bCs/>
          <w:sz w:val="24"/>
        </w:rPr>
        <w:t>3</w:t>
      </w:r>
      <w:r w:rsidRPr="006E6314">
        <w:rPr>
          <w:rFonts w:ascii="Times New Roman" w:eastAsia="ＭＳ Ｐ明朝" w:hAnsi="Times New Roman" w:cs="Times New Roman"/>
          <w:b/>
          <w:bCs/>
          <w:sz w:val="24"/>
        </w:rPr>
        <w:t>. Relationship between body fluid biomarker concentrations and age.</w:t>
      </w:r>
    </w:p>
    <w:p w14:paraId="487A52CE" w14:textId="77777777" w:rsidR="006E6314" w:rsidRPr="006E6314" w:rsidRDefault="006E6314" w:rsidP="006E6314">
      <w:pPr>
        <w:widowControl/>
        <w:jc w:val="left"/>
        <w:rPr>
          <w:rFonts w:ascii="Times New Roman" w:eastAsia="ＭＳ Ｐ明朝" w:hAnsi="Times New Roman" w:cs="Times New Roman"/>
          <w:sz w:val="24"/>
        </w:rPr>
      </w:pPr>
      <w:r w:rsidRPr="006E6314">
        <w:rPr>
          <w:rFonts w:ascii="Times New Roman" w:eastAsia="ＭＳ Ｐ明朝" w:hAnsi="Times New Roman" w:cs="Times New Roman"/>
          <w:sz w:val="24"/>
        </w:rPr>
        <w:t xml:space="preserve">Scatter plots of GFAP, </w:t>
      </w:r>
      <w:proofErr w:type="spellStart"/>
      <w:r w:rsidRPr="006E6314">
        <w:rPr>
          <w:rFonts w:ascii="Times New Roman" w:eastAsia="ＭＳ Ｐ明朝" w:hAnsi="Times New Roman" w:cs="Times New Roman"/>
          <w:sz w:val="24"/>
        </w:rPr>
        <w:t>NfL</w:t>
      </w:r>
      <w:proofErr w:type="spellEnd"/>
      <w:r w:rsidRPr="006E6314">
        <w:rPr>
          <w:rFonts w:ascii="Times New Roman" w:eastAsia="ＭＳ Ｐ明朝" w:hAnsi="Times New Roman" w:cs="Times New Roman"/>
          <w:sz w:val="24"/>
        </w:rPr>
        <w:t>, and p-Tau181 concentrations in venous blood (VB), capillary blood (CB), and skin ISF across age. PS19 mice are shown in orange and wild-type mice in blue. Spearman correlation coefficients (r) and p-values for PS19 and wild-type mice are provided within each panel. The x-axis represents age (days), and the y-axis represents biomarker concentrations (</w:t>
      </w:r>
      <w:proofErr w:type="spellStart"/>
      <w:r w:rsidRPr="006E6314">
        <w:rPr>
          <w:rFonts w:ascii="Times New Roman" w:eastAsia="ＭＳ Ｐ明朝" w:hAnsi="Times New Roman" w:cs="Times New Roman"/>
          <w:sz w:val="24"/>
        </w:rPr>
        <w:t>pg</w:t>
      </w:r>
      <w:proofErr w:type="spellEnd"/>
      <w:r w:rsidRPr="006E6314">
        <w:rPr>
          <w:rFonts w:ascii="Times New Roman" w:eastAsia="ＭＳ Ｐ明朝" w:hAnsi="Times New Roman" w:cs="Times New Roman"/>
          <w:sz w:val="24"/>
        </w:rPr>
        <w:t>/mL).</w:t>
      </w:r>
    </w:p>
    <w:p w14:paraId="1316C661" w14:textId="77777777" w:rsidR="00F43DA6" w:rsidRDefault="00F43DA6">
      <w:pPr>
        <w:widowControl/>
        <w:jc w:val="left"/>
        <w:rPr>
          <w:rFonts w:ascii="Times New Roman" w:eastAsia="ＭＳ Ｐ明朝" w:hAnsi="Times New Roman" w:cs="Times New Roman"/>
          <w:sz w:val="24"/>
        </w:rPr>
      </w:pPr>
      <w:r>
        <w:rPr>
          <w:rFonts w:ascii="Times New Roman" w:eastAsia="ＭＳ Ｐ明朝" w:hAnsi="Times New Roman" w:cs="Times New Roman"/>
          <w:sz w:val="24"/>
        </w:rPr>
        <w:br w:type="page"/>
      </w:r>
    </w:p>
    <w:p w14:paraId="2A86F329" w14:textId="1D3B03B2" w:rsidR="004C2D62" w:rsidRDefault="00B40A5C" w:rsidP="0066545C">
      <w:pPr>
        <w:spacing w:line="276" w:lineRule="auto"/>
        <w:rPr>
          <w:rFonts w:ascii="Times New Roman" w:eastAsia="ＭＳ Ｐ明朝" w:hAnsi="Times New Roman" w:cs="Times New Roman"/>
          <w:sz w:val="24"/>
        </w:rPr>
      </w:pPr>
      <w:r w:rsidRPr="00B40A5C">
        <w:rPr>
          <w:rFonts w:ascii="Times New Roman" w:eastAsia="ＭＳ Ｐ明朝" w:hAnsi="Times New Roman" w:cs="Times New Roman"/>
          <w:noProof/>
          <w:sz w:val="24"/>
        </w:rPr>
        <w:lastRenderedPageBreak/>
        <w:drawing>
          <wp:inline distT="0" distB="0" distL="0" distR="0" wp14:anchorId="7C09799C" wp14:editId="5CD77A90">
            <wp:extent cx="5759450" cy="2980055"/>
            <wp:effectExtent l="0" t="0" r="0" b="0"/>
            <wp:docPr id="7" name="図 6" descr="ダイアグラム&#10;&#10;AI 生成コンテンツは誤りを含む可能性があります。">
              <a:extLst xmlns:a="http://schemas.openxmlformats.org/drawingml/2006/main">
                <a:ext uri="{FF2B5EF4-FFF2-40B4-BE49-F238E27FC236}">
                  <a16:creationId xmlns:a16="http://schemas.microsoft.com/office/drawing/2014/main" id="{4AFED5A4-2CBF-6252-6D9F-64C4F342F6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ダイアグラム&#10;&#10;AI 生成コンテンツは誤りを含む可能性があります。">
                      <a:extLst>
                        <a:ext uri="{FF2B5EF4-FFF2-40B4-BE49-F238E27FC236}">
                          <a16:creationId xmlns:a16="http://schemas.microsoft.com/office/drawing/2014/main" id="{4AFED5A4-2CBF-6252-6D9F-64C4F342F62F}"/>
                        </a:ext>
                      </a:extLst>
                    </pic:cNvPr>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5759450" cy="2980055"/>
                    </a:xfrm>
                    <a:prstGeom prst="rect">
                      <a:avLst/>
                    </a:prstGeom>
                  </pic:spPr>
                </pic:pic>
              </a:graphicData>
            </a:graphic>
          </wp:inline>
        </w:drawing>
      </w:r>
    </w:p>
    <w:p w14:paraId="71051562" w14:textId="35170C63" w:rsidR="006E6314" w:rsidRPr="006E6314" w:rsidRDefault="006E6314" w:rsidP="006E6314">
      <w:pPr>
        <w:spacing w:line="276" w:lineRule="auto"/>
        <w:rPr>
          <w:rFonts w:ascii="Times New Roman" w:eastAsia="ＭＳ Ｐ明朝" w:hAnsi="Times New Roman" w:cs="Times New Roman"/>
          <w:b/>
          <w:bCs/>
          <w:sz w:val="24"/>
        </w:rPr>
      </w:pPr>
      <w:r w:rsidRPr="006E6314">
        <w:rPr>
          <w:rFonts w:ascii="Times New Roman" w:eastAsia="ＭＳ Ｐ明朝" w:hAnsi="Times New Roman" w:cs="Times New Roman"/>
          <w:b/>
          <w:bCs/>
          <w:sz w:val="24"/>
        </w:rPr>
        <w:t xml:space="preserve">Supplementary Figure </w:t>
      </w:r>
      <w:r w:rsidR="000D4B66">
        <w:rPr>
          <w:rFonts w:ascii="Times New Roman" w:eastAsia="ＭＳ Ｐ明朝" w:hAnsi="Times New Roman" w:cs="Times New Roman" w:hint="eastAsia"/>
          <w:b/>
          <w:bCs/>
          <w:sz w:val="24"/>
        </w:rPr>
        <w:t>4</w:t>
      </w:r>
      <w:r w:rsidRPr="006E6314">
        <w:rPr>
          <w:rFonts w:ascii="Times New Roman" w:eastAsia="ＭＳ Ｐ明朝" w:hAnsi="Times New Roman" w:cs="Times New Roman"/>
          <w:b/>
          <w:bCs/>
          <w:sz w:val="24"/>
        </w:rPr>
        <w:t>. Correlations between biomarker concentrations in skin ISF and venous plasma.</w:t>
      </w:r>
    </w:p>
    <w:p w14:paraId="6B124424" w14:textId="77777777" w:rsidR="006E6314" w:rsidRPr="006E6314" w:rsidRDefault="006E6314" w:rsidP="006E6314">
      <w:pPr>
        <w:spacing w:line="276" w:lineRule="auto"/>
        <w:rPr>
          <w:rFonts w:ascii="Times New Roman" w:eastAsia="ＭＳ Ｐ明朝" w:hAnsi="Times New Roman" w:cs="Times New Roman"/>
          <w:sz w:val="24"/>
        </w:rPr>
      </w:pPr>
      <w:r w:rsidRPr="006E6314">
        <w:rPr>
          <w:rFonts w:ascii="Times New Roman" w:eastAsia="ＭＳ Ｐ明朝" w:hAnsi="Times New Roman" w:cs="Times New Roman"/>
          <w:sz w:val="24"/>
        </w:rPr>
        <w:t>For PS19 and wild-type mice, biomarker concentrations in ISF and venous blood plasma (VB) were compared using Spearman’s rank correlation. Correlation coefficients (r) and p-values for each genotype are shown within each graph. The x-axis indicates VB biomarker concentrations, and the y-axis indicates ISF biomarker concentrations (</w:t>
      </w:r>
      <w:proofErr w:type="spellStart"/>
      <w:r w:rsidRPr="006E6314">
        <w:rPr>
          <w:rFonts w:ascii="Times New Roman" w:eastAsia="ＭＳ Ｐ明朝" w:hAnsi="Times New Roman" w:cs="Times New Roman"/>
          <w:sz w:val="24"/>
        </w:rPr>
        <w:t>pg</w:t>
      </w:r>
      <w:proofErr w:type="spellEnd"/>
      <w:r w:rsidRPr="006E6314">
        <w:rPr>
          <w:rFonts w:ascii="Times New Roman" w:eastAsia="ＭＳ Ｐ明朝" w:hAnsi="Times New Roman" w:cs="Times New Roman"/>
          <w:sz w:val="24"/>
        </w:rPr>
        <w:t>/mL).</w:t>
      </w:r>
    </w:p>
    <w:p w14:paraId="123079AB" w14:textId="77777777" w:rsidR="006E6314" w:rsidRPr="006E6314" w:rsidRDefault="006E6314" w:rsidP="0066545C">
      <w:pPr>
        <w:spacing w:line="276" w:lineRule="auto"/>
        <w:rPr>
          <w:rFonts w:ascii="Times New Roman" w:eastAsia="ＭＳ Ｐ明朝" w:hAnsi="Times New Roman" w:cs="Times New Roman"/>
          <w:sz w:val="24"/>
        </w:rPr>
      </w:pPr>
    </w:p>
    <w:p w14:paraId="7497C1B4" w14:textId="77777777" w:rsidR="00B40A5C" w:rsidRDefault="00B40A5C">
      <w:pPr>
        <w:widowControl/>
        <w:jc w:val="left"/>
        <w:rPr>
          <w:rFonts w:ascii="Times New Roman" w:eastAsia="ＭＳ Ｐ明朝" w:hAnsi="Times New Roman" w:cs="Times New Roman"/>
          <w:sz w:val="24"/>
        </w:rPr>
      </w:pPr>
      <w:r>
        <w:rPr>
          <w:rFonts w:ascii="Times New Roman" w:eastAsia="ＭＳ Ｐ明朝" w:hAnsi="Times New Roman" w:cs="Times New Roman"/>
          <w:sz w:val="24"/>
        </w:rPr>
        <w:br w:type="page"/>
      </w:r>
    </w:p>
    <w:p w14:paraId="560C8C52" w14:textId="4882A453" w:rsidR="00B40A5C" w:rsidRDefault="00B40A5C" w:rsidP="0066545C">
      <w:pPr>
        <w:spacing w:line="276" w:lineRule="auto"/>
        <w:rPr>
          <w:rFonts w:ascii="Times New Roman" w:eastAsia="ＭＳ Ｐ明朝" w:hAnsi="Times New Roman" w:cs="Times New Roman"/>
          <w:sz w:val="24"/>
        </w:rPr>
      </w:pPr>
      <w:r w:rsidRPr="00B40A5C">
        <w:rPr>
          <w:rFonts w:ascii="Times New Roman" w:eastAsia="ＭＳ Ｐ明朝" w:hAnsi="Times New Roman" w:cs="Times New Roman"/>
          <w:noProof/>
          <w:sz w:val="24"/>
        </w:rPr>
        <w:lastRenderedPageBreak/>
        <w:drawing>
          <wp:inline distT="0" distB="0" distL="0" distR="0" wp14:anchorId="56E6E196" wp14:editId="3340ED2C">
            <wp:extent cx="5759450" cy="2956560"/>
            <wp:effectExtent l="0" t="0" r="0" b="0"/>
            <wp:docPr id="5" name="図 4" descr="カレンダー が含まれている画像&#10;&#10;AI 生成コンテンツは誤りを含む可能性があります。">
              <a:extLst xmlns:a="http://schemas.openxmlformats.org/drawingml/2006/main">
                <a:ext uri="{FF2B5EF4-FFF2-40B4-BE49-F238E27FC236}">
                  <a16:creationId xmlns:a16="http://schemas.microsoft.com/office/drawing/2014/main" id="{437968E5-57A3-4BA2-36B2-D9E5A8AE1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カレンダー が含まれている画像&#10;&#10;AI 生成コンテンツは誤りを含む可能性があります。">
                      <a:extLst>
                        <a:ext uri="{FF2B5EF4-FFF2-40B4-BE49-F238E27FC236}">
                          <a16:creationId xmlns:a16="http://schemas.microsoft.com/office/drawing/2014/main" id="{437968E5-57A3-4BA2-36B2-D9E5A8AE1631}"/>
                        </a:ext>
                      </a:extLst>
                    </pic:cNvPr>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5759450" cy="2956560"/>
                    </a:xfrm>
                    <a:prstGeom prst="rect">
                      <a:avLst/>
                    </a:prstGeom>
                  </pic:spPr>
                </pic:pic>
              </a:graphicData>
            </a:graphic>
          </wp:inline>
        </w:drawing>
      </w:r>
    </w:p>
    <w:p w14:paraId="05D4990E" w14:textId="5042F5D9" w:rsidR="006E6314" w:rsidRPr="006E6314" w:rsidRDefault="006E6314" w:rsidP="006E6314">
      <w:pPr>
        <w:spacing w:line="276" w:lineRule="auto"/>
        <w:rPr>
          <w:rFonts w:ascii="Times New Roman" w:eastAsia="ＭＳ Ｐ明朝" w:hAnsi="Times New Roman" w:cs="Times New Roman"/>
          <w:b/>
          <w:bCs/>
          <w:sz w:val="24"/>
        </w:rPr>
      </w:pPr>
      <w:r w:rsidRPr="006E6314">
        <w:rPr>
          <w:rFonts w:ascii="Times New Roman" w:eastAsia="ＭＳ Ｐ明朝" w:hAnsi="Times New Roman" w:cs="Times New Roman"/>
          <w:b/>
          <w:bCs/>
          <w:sz w:val="24"/>
        </w:rPr>
        <w:t xml:space="preserve">Supplementary Figure </w:t>
      </w:r>
      <w:r w:rsidR="000D4B66">
        <w:rPr>
          <w:rFonts w:ascii="Times New Roman" w:eastAsia="ＭＳ Ｐ明朝" w:hAnsi="Times New Roman" w:cs="Times New Roman" w:hint="eastAsia"/>
          <w:b/>
          <w:bCs/>
          <w:sz w:val="24"/>
        </w:rPr>
        <w:t>5</w:t>
      </w:r>
      <w:r w:rsidRPr="006E6314">
        <w:rPr>
          <w:rFonts w:ascii="Times New Roman" w:eastAsia="ＭＳ Ｐ明朝" w:hAnsi="Times New Roman" w:cs="Times New Roman"/>
          <w:b/>
          <w:bCs/>
          <w:sz w:val="24"/>
        </w:rPr>
        <w:t>. Correlations between biomarker concentrations in skin ISF and capillary plasma.</w:t>
      </w:r>
    </w:p>
    <w:p w14:paraId="4800684E" w14:textId="77777777" w:rsidR="006E6314" w:rsidRPr="006E6314" w:rsidRDefault="006E6314" w:rsidP="006E6314">
      <w:pPr>
        <w:spacing w:line="276" w:lineRule="auto"/>
        <w:rPr>
          <w:rFonts w:ascii="Times New Roman" w:eastAsia="ＭＳ Ｐ明朝" w:hAnsi="Times New Roman" w:cs="Times New Roman"/>
          <w:sz w:val="24"/>
        </w:rPr>
      </w:pPr>
      <w:r w:rsidRPr="006E6314">
        <w:rPr>
          <w:rFonts w:ascii="Times New Roman" w:eastAsia="ＭＳ Ｐ明朝" w:hAnsi="Times New Roman" w:cs="Times New Roman"/>
          <w:sz w:val="24"/>
        </w:rPr>
        <w:t>For PS19 and wild-type mice, biomarker concentrations in ISF and capillary blood plasma (CB) were compared using Spearman’s rank correlation. Correlation coefficients (r) and p-values for each genotype are displayed within each plot. The x-axis represents CB biomarker concentrations, and the y-axis represents ISF biomarker concentrations (</w:t>
      </w:r>
      <w:proofErr w:type="spellStart"/>
      <w:r w:rsidRPr="006E6314">
        <w:rPr>
          <w:rFonts w:ascii="Times New Roman" w:eastAsia="ＭＳ Ｐ明朝" w:hAnsi="Times New Roman" w:cs="Times New Roman"/>
          <w:sz w:val="24"/>
        </w:rPr>
        <w:t>pg</w:t>
      </w:r>
      <w:proofErr w:type="spellEnd"/>
      <w:r w:rsidRPr="006E6314">
        <w:rPr>
          <w:rFonts w:ascii="Times New Roman" w:eastAsia="ＭＳ Ｐ明朝" w:hAnsi="Times New Roman" w:cs="Times New Roman"/>
          <w:sz w:val="24"/>
        </w:rPr>
        <w:t>/mL).</w:t>
      </w:r>
    </w:p>
    <w:p w14:paraId="5512E969" w14:textId="77777777" w:rsidR="006E6314" w:rsidRPr="006E6314" w:rsidRDefault="006E6314" w:rsidP="0066545C">
      <w:pPr>
        <w:spacing w:line="276" w:lineRule="auto"/>
        <w:rPr>
          <w:rFonts w:ascii="Times New Roman" w:eastAsia="ＭＳ Ｐ明朝" w:hAnsi="Times New Roman" w:cs="Times New Roman"/>
          <w:sz w:val="24"/>
        </w:rPr>
      </w:pPr>
    </w:p>
    <w:p w14:paraId="4EDE1A16" w14:textId="77777777" w:rsidR="00B40A5C" w:rsidRDefault="00B40A5C">
      <w:pPr>
        <w:widowControl/>
        <w:jc w:val="left"/>
        <w:rPr>
          <w:rFonts w:ascii="Times New Roman" w:eastAsia="ＭＳ Ｐ明朝" w:hAnsi="Times New Roman" w:cs="Times New Roman"/>
          <w:sz w:val="24"/>
        </w:rPr>
      </w:pPr>
      <w:r>
        <w:rPr>
          <w:rFonts w:ascii="Times New Roman" w:eastAsia="ＭＳ Ｐ明朝" w:hAnsi="Times New Roman" w:cs="Times New Roman"/>
          <w:sz w:val="24"/>
        </w:rPr>
        <w:br w:type="page"/>
      </w:r>
    </w:p>
    <w:p w14:paraId="253B7119" w14:textId="687375B3" w:rsidR="00B40A5C" w:rsidRDefault="00B40A5C" w:rsidP="0066545C">
      <w:pPr>
        <w:spacing w:line="276" w:lineRule="auto"/>
        <w:rPr>
          <w:rFonts w:ascii="Times New Roman" w:eastAsia="ＭＳ Ｐ明朝" w:hAnsi="Times New Roman" w:cs="Times New Roman"/>
          <w:sz w:val="24"/>
        </w:rPr>
      </w:pPr>
      <w:r w:rsidRPr="00B40A5C">
        <w:rPr>
          <w:rFonts w:ascii="Times New Roman" w:eastAsia="ＭＳ Ｐ明朝" w:hAnsi="Times New Roman" w:cs="Times New Roman"/>
          <w:noProof/>
          <w:sz w:val="24"/>
        </w:rPr>
        <w:lastRenderedPageBreak/>
        <w:drawing>
          <wp:inline distT="0" distB="0" distL="0" distR="0" wp14:anchorId="30773789" wp14:editId="558A3C87">
            <wp:extent cx="5759450" cy="3975735"/>
            <wp:effectExtent l="0" t="0" r="0" b="5715"/>
            <wp:docPr id="1796872565" name="図 4" descr="ダイアグラム&#10;&#10;AI 生成コンテンツは誤りを含む可能性があります。">
              <a:extLst xmlns:a="http://schemas.openxmlformats.org/drawingml/2006/main">
                <a:ext uri="{FF2B5EF4-FFF2-40B4-BE49-F238E27FC236}">
                  <a16:creationId xmlns:a16="http://schemas.microsoft.com/office/drawing/2014/main" id="{F31C8115-8F52-E783-D20B-C2C2495EE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72565" name="図 4" descr="ダイアグラム&#10;&#10;AI 生成コンテンツは誤りを含む可能性があります。">
                      <a:extLst>
                        <a:ext uri="{FF2B5EF4-FFF2-40B4-BE49-F238E27FC236}">
                          <a16:creationId xmlns:a16="http://schemas.microsoft.com/office/drawing/2014/main" id="{F31C8115-8F52-E783-D20B-C2C2495EE9BC}"/>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5759450" cy="3975735"/>
                    </a:xfrm>
                    <a:prstGeom prst="rect">
                      <a:avLst/>
                    </a:prstGeom>
                  </pic:spPr>
                </pic:pic>
              </a:graphicData>
            </a:graphic>
          </wp:inline>
        </w:drawing>
      </w:r>
    </w:p>
    <w:p w14:paraId="79597F18" w14:textId="33DE7567" w:rsidR="006E6314" w:rsidRPr="006E6314" w:rsidRDefault="006E6314" w:rsidP="006E6314">
      <w:pPr>
        <w:spacing w:line="276" w:lineRule="auto"/>
        <w:rPr>
          <w:rFonts w:ascii="Times New Roman" w:eastAsia="ＭＳ Ｐ明朝" w:hAnsi="Times New Roman" w:cs="Times New Roman"/>
          <w:b/>
          <w:bCs/>
          <w:sz w:val="24"/>
        </w:rPr>
      </w:pPr>
      <w:r w:rsidRPr="006E6314">
        <w:rPr>
          <w:rFonts w:ascii="Times New Roman" w:eastAsia="ＭＳ Ｐ明朝" w:hAnsi="Times New Roman" w:cs="Times New Roman"/>
          <w:b/>
          <w:bCs/>
          <w:sz w:val="24"/>
        </w:rPr>
        <w:t xml:space="preserve">Supplementary Figure </w:t>
      </w:r>
      <w:r w:rsidR="000D4B66">
        <w:rPr>
          <w:rFonts w:ascii="Times New Roman" w:eastAsia="ＭＳ Ｐ明朝" w:hAnsi="Times New Roman" w:cs="Times New Roman" w:hint="eastAsia"/>
          <w:b/>
          <w:bCs/>
          <w:sz w:val="24"/>
        </w:rPr>
        <w:t>6</w:t>
      </w:r>
      <w:r w:rsidRPr="006E6314">
        <w:rPr>
          <w:rFonts w:ascii="Times New Roman" w:eastAsia="ＭＳ Ｐ明朝" w:hAnsi="Times New Roman" w:cs="Times New Roman"/>
          <w:b/>
          <w:bCs/>
          <w:sz w:val="24"/>
        </w:rPr>
        <w:t>. Detection of outliers in body fluid biomarker concentrations in PS19 mice.</w:t>
      </w:r>
    </w:p>
    <w:p w14:paraId="796DB912" w14:textId="77777777" w:rsidR="006E6314" w:rsidRPr="006E6314" w:rsidRDefault="006E6314" w:rsidP="006E6314">
      <w:pPr>
        <w:spacing w:line="276" w:lineRule="auto"/>
        <w:rPr>
          <w:rFonts w:ascii="Times New Roman" w:eastAsia="ＭＳ Ｐ明朝" w:hAnsi="Times New Roman" w:cs="Times New Roman"/>
          <w:sz w:val="24"/>
        </w:rPr>
      </w:pPr>
      <w:r w:rsidRPr="006E6314">
        <w:rPr>
          <w:rFonts w:ascii="Times New Roman" w:eastAsia="ＭＳ Ｐ明朝" w:hAnsi="Times New Roman" w:cs="Times New Roman"/>
          <w:sz w:val="24"/>
        </w:rPr>
        <w:t xml:space="preserve">Scatter plots of GFAP, </w:t>
      </w:r>
      <w:proofErr w:type="spellStart"/>
      <w:r w:rsidRPr="006E6314">
        <w:rPr>
          <w:rFonts w:ascii="Times New Roman" w:eastAsia="ＭＳ Ｐ明朝" w:hAnsi="Times New Roman" w:cs="Times New Roman"/>
          <w:sz w:val="24"/>
        </w:rPr>
        <w:t>NfL</w:t>
      </w:r>
      <w:proofErr w:type="spellEnd"/>
      <w:r w:rsidRPr="006E6314">
        <w:rPr>
          <w:rFonts w:ascii="Times New Roman" w:eastAsia="ＭＳ Ｐ明朝" w:hAnsi="Times New Roman" w:cs="Times New Roman"/>
          <w:sz w:val="24"/>
        </w:rPr>
        <w:t>, and p-Tau181 concentrations in capillary blood (CB). The x-axis represents age (days), and the y-axis represents biomarker concentrations (</w:t>
      </w:r>
      <w:proofErr w:type="spellStart"/>
      <w:r w:rsidRPr="006E6314">
        <w:rPr>
          <w:rFonts w:ascii="Times New Roman" w:eastAsia="ＭＳ Ｐ明朝" w:hAnsi="Times New Roman" w:cs="Times New Roman"/>
          <w:sz w:val="24"/>
        </w:rPr>
        <w:t>pg</w:t>
      </w:r>
      <w:proofErr w:type="spellEnd"/>
      <w:r w:rsidRPr="006E6314">
        <w:rPr>
          <w:rFonts w:ascii="Times New Roman" w:eastAsia="ＭＳ Ｐ明朝" w:hAnsi="Times New Roman" w:cs="Times New Roman"/>
          <w:sz w:val="24"/>
        </w:rPr>
        <w:t>/mL). Outliers in PS19 mice were identified using a linear regression model combined with the ROUT method (Q = 1%) and are indicated in red.</w:t>
      </w:r>
    </w:p>
    <w:p w14:paraId="0F04BC2C" w14:textId="77777777" w:rsidR="006E6314" w:rsidRPr="006E6314" w:rsidRDefault="006E6314" w:rsidP="0066545C">
      <w:pPr>
        <w:spacing w:line="276" w:lineRule="auto"/>
        <w:rPr>
          <w:rFonts w:ascii="Times New Roman" w:eastAsia="ＭＳ Ｐ明朝" w:hAnsi="Times New Roman" w:cs="Times New Roman"/>
          <w:sz w:val="24"/>
        </w:rPr>
      </w:pPr>
    </w:p>
    <w:sectPr w:rsidR="006E6314" w:rsidRPr="006E6314" w:rsidSect="00F43DA6">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F4BC3" w14:textId="77777777" w:rsidR="00F5715B" w:rsidRDefault="00F5715B" w:rsidP="00030865">
      <w:r>
        <w:separator/>
      </w:r>
    </w:p>
  </w:endnote>
  <w:endnote w:type="continuationSeparator" w:id="0">
    <w:p w14:paraId="7D097202" w14:textId="77777777" w:rsidR="00F5715B" w:rsidRDefault="00F5715B" w:rsidP="00030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9EB76" w14:textId="77777777" w:rsidR="00F5715B" w:rsidRDefault="00F5715B" w:rsidP="00030865">
      <w:r>
        <w:separator/>
      </w:r>
    </w:p>
  </w:footnote>
  <w:footnote w:type="continuationSeparator" w:id="0">
    <w:p w14:paraId="4CD67398" w14:textId="77777777" w:rsidR="00F5715B" w:rsidRDefault="00F5715B" w:rsidP="000308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217C9"/>
    <w:multiLevelType w:val="hybridMultilevel"/>
    <w:tmpl w:val="60284F8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48E631F"/>
    <w:multiLevelType w:val="hybridMultilevel"/>
    <w:tmpl w:val="F57E654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61737892">
    <w:abstractNumId w:val="0"/>
  </w:num>
  <w:num w:numId="2" w16cid:durableId="2047945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MYLOID&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rrf20ti9xpv5eaf9ax9fsmr5std9rpazzd&quot;&gt;EndNote&lt;record-ids&gt;&lt;item&gt;151&lt;/item&gt;&lt;item&gt;152&lt;/item&gt;&lt;item&gt;153&lt;/item&gt;&lt;item&gt;154&lt;/item&gt;&lt;/record-ids&gt;&lt;/item&gt;&lt;/Libraries&gt;"/>
  </w:docVars>
  <w:rsids>
    <w:rsidRoot w:val="0074615E"/>
    <w:rsid w:val="00015BCA"/>
    <w:rsid w:val="00017B59"/>
    <w:rsid w:val="00027EE2"/>
    <w:rsid w:val="00030865"/>
    <w:rsid w:val="000314CA"/>
    <w:rsid w:val="00033AAB"/>
    <w:rsid w:val="00036D24"/>
    <w:rsid w:val="00037210"/>
    <w:rsid w:val="00043526"/>
    <w:rsid w:val="00054CC5"/>
    <w:rsid w:val="00062A64"/>
    <w:rsid w:val="00065961"/>
    <w:rsid w:val="00070FC0"/>
    <w:rsid w:val="00075433"/>
    <w:rsid w:val="00077471"/>
    <w:rsid w:val="00080E6A"/>
    <w:rsid w:val="000873B3"/>
    <w:rsid w:val="000A58CA"/>
    <w:rsid w:val="000B0AF4"/>
    <w:rsid w:val="000C5A3A"/>
    <w:rsid w:val="000D247B"/>
    <w:rsid w:val="000D2F75"/>
    <w:rsid w:val="000D4B66"/>
    <w:rsid w:val="000D7087"/>
    <w:rsid w:val="000E1425"/>
    <w:rsid w:val="000F10C2"/>
    <w:rsid w:val="00111CA6"/>
    <w:rsid w:val="00112B82"/>
    <w:rsid w:val="0011478F"/>
    <w:rsid w:val="00116C7B"/>
    <w:rsid w:val="001314FD"/>
    <w:rsid w:val="001464D4"/>
    <w:rsid w:val="001539DD"/>
    <w:rsid w:val="0016478E"/>
    <w:rsid w:val="00170C3B"/>
    <w:rsid w:val="00191D47"/>
    <w:rsid w:val="001A0CFF"/>
    <w:rsid w:val="001A4D4A"/>
    <w:rsid w:val="001B0F81"/>
    <w:rsid w:val="001B6C5B"/>
    <w:rsid w:val="001B6F50"/>
    <w:rsid w:val="001B7650"/>
    <w:rsid w:val="001C5FDF"/>
    <w:rsid w:val="001D067D"/>
    <w:rsid w:val="001D4D94"/>
    <w:rsid w:val="001F5C51"/>
    <w:rsid w:val="002022AF"/>
    <w:rsid w:val="002030E8"/>
    <w:rsid w:val="002042E9"/>
    <w:rsid w:val="00207DC1"/>
    <w:rsid w:val="00210A12"/>
    <w:rsid w:val="00214C35"/>
    <w:rsid w:val="0022644A"/>
    <w:rsid w:val="002330D2"/>
    <w:rsid w:val="0023379C"/>
    <w:rsid w:val="00233C1E"/>
    <w:rsid w:val="00243DD5"/>
    <w:rsid w:val="00260D6B"/>
    <w:rsid w:val="00271C76"/>
    <w:rsid w:val="002730F8"/>
    <w:rsid w:val="002739FD"/>
    <w:rsid w:val="00274745"/>
    <w:rsid w:val="00275139"/>
    <w:rsid w:val="00277991"/>
    <w:rsid w:val="00281250"/>
    <w:rsid w:val="00293CD1"/>
    <w:rsid w:val="002A52D1"/>
    <w:rsid w:val="002A54EF"/>
    <w:rsid w:val="002A5AAB"/>
    <w:rsid w:val="002C0E0C"/>
    <w:rsid w:val="002C1A35"/>
    <w:rsid w:val="002C56EC"/>
    <w:rsid w:val="002D1AAE"/>
    <w:rsid w:val="002D2E05"/>
    <w:rsid w:val="002D4C91"/>
    <w:rsid w:val="002D773F"/>
    <w:rsid w:val="002D7C75"/>
    <w:rsid w:val="002E6E16"/>
    <w:rsid w:val="002F22E7"/>
    <w:rsid w:val="00301913"/>
    <w:rsid w:val="00303125"/>
    <w:rsid w:val="003044B3"/>
    <w:rsid w:val="00317949"/>
    <w:rsid w:val="003256E3"/>
    <w:rsid w:val="00332329"/>
    <w:rsid w:val="00336E94"/>
    <w:rsid w:val="00341934"/>
    <w:rsid w:val="003446A6"/>
    <w:rsid w:val="0035184A"/>
    <w:rsid w:val="00355296"/>
    <w:rsid w:val="003566AF"/>
    <w:rsid w:val="003631B4"/>
    <w:rsid w:val="003A4020"/>
    <w:rsid w:val="003A5947"/>
    <w:rsid w:val="003B0272"/>
    <w:rsid w:val="003D0F8A"/>
    <w:rsid w:val="003D2961"/>
    <w:rsid w:val="003D306A"/>
    <w:rsid w:val="003D74FD"/>
    <w:rsid w:val="003E0A56"/>
    <w:rsid w:val="003E714A"/>
    <w:rsid w:val="003F7318"/>
    <w:rsid w:val="004041C6"/>
    <w:rsid w:val="004177C1"/>
    <w:rsid w:val="00421459"/>
    <w:rsid w:val="00422CF4"/>
    <w:rsid w:val="00434389"/>
    <w:rsid w:val="0044235B"/>
    <w:rsid w:val="00453B52"/>
    <w:rsid w:val="00454214"/>
    <w:rsid w:val="00454AF0"/>
    <w:rsid w:val="00467E6B"/>
    <w:rsid w:val="004734DB"/>
    <w:rsid w:val="00475951"/>
    <w:rsid w:val="00482B44"/>
    <w:rsid w:val="0048568E"/>
    <w:rsid w:val="00492B9E"/>
    <w:rsid w:val="00495016"/>
    <w:rsid w:val="0049674C"/>
    <w:rsid w:val="004A5F1C"/>
    <w:rsid w:val="004C028B"/>
    <w:rsid w:val="004C242D"/>
    <w:rsid w:val="004C2D62"/>
    <w:rsid w:val="004C4E95"/>
    <w:rsid w:val="004D11BC"/>
    <w:rsid w:val="004E0C36"/>
    <w:rsid w:val="00505EEE"/>
    <w:rsid w:val="00514BC1"/>
    <w:rsid w:val="005170BF"/>
    <w:rsid w:val="005300F8"/>
    <w:rsid w:val="00544BD5"/>
    <w:rsid w:val="0054784E"/>
    <w:rsid w:val="00550AD9"/>
    <w:rsid w:val="00551762"/>
    <w:rsid w:val="00554B8F"/>
    <w:rsid w:val="005656D6"/>
    <w:rsid w:val="0056740E"/>
    <w:rsid w:val="00571B43"/>
    <w:rsid w:val="00580E9A"/>
    <w:rsid w:val="00581867"/>
    <w:rsid w:val="00584187"/>
    <w:rsid w:val="00584A4D"/>
    <w:rsid w:val="00584F50"/>
    <w:rsid w:val="00591AD5"/>
    <w:rsid w:val="00591F3B"/>
    <w:rsid w:val="005A3925"/>
    <w:rsid w:val="005A4B21"/>
    <w:rsid w:val="005B3CDB"/>
    <w:rsid w:val="005B42D1"/>
    <w:rsid w:val="005C409C"/>
    <w:rsid w:val="005D5653"/>
    <w:rsid w:val="005F3009"/>
    <w:rsid w:val="006023BC"/>
    <w:rsid w:val="00604DF7"/>
    <w:rsid w:val="006062DB"/>
    <w:rsid w:val="0060730B"/>
    <w:rsid w:val="00624D1A"/>
    <w:rsid w:val="00632365"/>
    <w:rsid w:val="006462D3"/>
    <w:rsid w:val="00652F88"/>
    <w:rsid w:val="006604AF"/>
    <w:rsid w:val="00660532"/>
    <w:rsid w:val="0066545C"/>
    <w:rsid w:val="006722DB"/>
    <w:rsid w:val="006728BB"/>
    <w:rsid w:val="00677E71"/>
    <w:rsid w:val="00683BF8"/>
    <w:rsid w:val="00692287"/>
    <w:rsid w:val="00692FCC"/>
    <w:rsid w:val="006A3CB9"/>
    <w:rsid w:val="006D78F8"/>
    <w:rsid w:val="006E2473"/>
    <w:rsid w:val="006E6314"/>
    <w:rsid w:val="006F3DB7"/>
    <w:rsid w:val="006F4D4A"/>
    <w:rsid w:val="00704B00"/>
    <w:rsid w:val="00704CC3"/>
    <w:rsid w:val="00740F5F"/>
    <w:rsid w:val="00741A15"/>
    <w:rsid w:val="0074615E"/>
    <w:rsid w:val="00751BE7"/>
    <w:rsid w:val="0076382D"/>
    <w:rsid w:val="0076411D"/>
    <w:rsid w:val="007712BC"/>
    <w:rsid w:val="0077543B"/>
    <w:rsid w:val="00777DF3"/>
    <w:rsid w:val="00780AAF"/>
    <w:rsid w:val="00793601"/>
    <w:rsid w:val="007A6732"/>
    <w:rsid w:val="007C2D39"/>
    <w:rsid w:val="007E1F76"/>
    <w:rsid w:val="007E3A0B"/>
    <w:rsid w:val="007E450E"/>
    <w:rsid w:val="007F3729"/>
    <w:rsid w:val="007F6B11"/>
    <w:rsid w:val="00802542"/>
    <w:rsid w:val="008033E4"/>
    <w:rsid w:val="00811214"/>
    <w:rsid w:val="00813517"/>
    <w:rsid w:val="0081451E"/>
    <w:rsid w:val="00822E3E"/>
    <w:rsid w:val="00834AB0"/>
    <w:rsid w:val="00834F70"/>
    <w:rsid w:val="00836804"/>
    <w:rsid w:val="00843A00"/>
    <w:rsid w:val="0086452E"/>
    <w:rsid w:val="00876D18"/>
    <w:rsid w:val="00876E58"/>
    <w:rsid w:val="008805AE"/>
    <w:rsid w:val="00890084"/>
    <w:rsid w:val="008939A3"/>
    <w:rsid w:val="008B7228"/>
    <w:rsid w:val="008C09B2"/>
    <w:rsid w:val="008D2E64"/>
    <w:rsid w:val="008E0F0F"/>
    <w:rsid w:val="008F06FD"/>
    <w:rsid w:val="008F0B95"/>
    <w:rsid w:val="00911264"/>
    <w:rsid w:val="009137D3"/>
    <w:rsid w:val="009241C3"/>
    <w:rsid w:val="009274B3"/>
    <w:rsid w:val="00934278"/>
    <w:rsid w:val="00937B69"/>
    <w:rsid w:val="00944CD1"/>
    <w:rsid w:val="00946D43"/>
    <w:rsid w:val="00950B19"/>
    <w:rsid w:val="00961AC7"/>
    <w:rsid w:val="00972A55"/>
    <w:rsid w:val="009759D9"/>
    <w:rsid w:val="00982795"/>
    <w:rsid w:val="009828CE"/>
    <w:rsid w:val="009A4934"/>
    <w:rsid w:val="009A7F96"/>
    <w:rsid w:val="009B2B8C"/>
    <w:rsid w:val="009B4ABA"/>
    <w:rsid w:val="009B500A"/>
    <w:rsid w:val="009B5BAE"/>
    <w:rsid w:val="009C29C9"/>
    <w:rsid w:val="009C359B"/>
    <w:rsid w:val="009C4B41"/>
    <w:rsid w:val="009D0160"/>
    <w:rsid w:val="009D2D2F"/>
    <w:rsid w:val="009D52BF"/>
    <w:rsid w:val="009E203F"/>
    <w:rsid w:val="00A1074E"/>
    <w:rsid w:val="00A141CE"/>
    <w:rsid w:val="00A15D79"/>
    <w:rsid w:val="00A20911"/>
    <w:rsid w:val="00A22B1F"/>
    <w:rsid w:val="00A45907"/>
    <w:rsid w:val="00A46906"/>
    <w:rsid w:val="00A75E02"/>
    <w:rsid w:val="00AA0EFE"/>
    <w:rsid w:val="00AA0F10"/>
    <w:rsid w:val="00AA3A06"/>
    <w:rsid w:val="00AA431D"/>
    <w:rsid w:val="00AA7E25"/>
    <w:rsid w:val="00AC2E35"/>
    <w:rsid w:val="00AC35CD"/>
    <w:rsid w:val="00AC473D"/>
    <w:rsid w:val="00AC62C0"/>
    <w:rsid w:val="00AE3500"/>
    <w:rsid w:val="00AF693A"/>
    <w:rsid w:val="00B01265"/>
    <w:rsid w:val="00B03818"/>
    <w:rsid w:val="00B03C55"/>
    <w:rsid w:val="00B049C9"/>
    <w:rsid w:val="00B05069"/>
    <w:rsid w:val="00B058F7"/>
    <w:rsid w:val="00B11BC1"/>
    <w:rsid w:val="00B1303E"/>
    <w:rsid w:val="00B1565A"/>
    <w:rsid w:val="00B22FCD"/>
    <w:rsid w:val="00B241CA"/>
    <w:rsid w:val="00B3136E"/>
    <w:rsid w:val="00B3605B"/>
    <w:rsid w:val="00B40A5C"/>
    <w:rsid w:val="00B5062B"/>
    <w:rsid w:val="00B76BF0"/>
    <w:rsid w:val="00B857AB"/>
    <w:rsid w:val="00B86E2B"/>
    <w:rsid w:val="00B876F4"/>
    <w:rsid w:val="00BA4C8A"/>
    <w:rsid w:val="00BA74D6"/>
    <w:rsid w:val="00BC0745"/>
    <w:rsid w:val="00BC32ED"/>
    <w:rsid w:val="00BD06A2"/>
    <w:rsid w:val="00BD43A5"/>
    <w:rsid w:val="00BE3A16"/>
    <w:rsid w:val="00BF2CE1"/>
    <w:rsid w:val="00C12085"/>
    <w:rsid w:val="00C16A1E"/>
    <w:rsid w:val="00C17CA6"/>
    <w:rsid w:val="00C2280E"/>
    <w:rsid w:val="00C34AB0"/>
    <w:rsid w:val="00C4256B"/>
    <w:rsid w:val="00C47C87"/>
    <w:rsid w:val="00C541F4"/>
    <w:rsid w:val="00C65621"/>
    <w:rsid w:val="00C67457"/>
    <w:rsid w:val="00C73D3A"/>
    <w:rsid w:val="00C80849"/>
    <w:rsid w:val="00C96CB4"/>
    <w:rsid w:val="00CA1EE0"/>
    <w:rsid w:val="00CA20B0"/>
    <w:rsid w:val="00CB6CFA"/>
    <w:rsid w:val="00CC21F3"/>
    <w:rsid w:val="00CC2321"/>
    <w:rsid w:val="00CD460A"/>
    <w:rsid w:val="00CD4D10"/>
    <w:rsid w:val="00CE1165"/>
    <w:rsid w:val="00CF2A91"/>
    <w:rsid w:val="00CF4301"/>
    <w:rsid w:val="00CF63E1"/>
    <w:rsid w:val="00D00FC8"/>
    <w:rsid w:val="00D05AA7"/>
    <w:rsid w:val="00D34A77"/>
    <w:rsid w:val="00D35FDF"/>
    <w:rsid w:val="00D37CE6"/>
    <w:rsid w:val="00D446F0"/>
    <w:rsid w:val="00D53C7B"/>
    <w:rsid w:val="00D57268"/>
    <w:rsid w:val="00D60701"/>
    <w:rsid w:val="00D615F4"/>
    <w:rsid w:val="00D72293"/>
    <w:rsid w:val="00D72F34"/>
    <w:rsid w:val="00D738EE"/>
    <w:rsid w:val="00D74F6A"/>
    <w:rsid w:val="00D81097"/>
    <w:rsid w:val="00D84EF3"/>
    <w:rsid w:val="00D90392"/>
    <w:rsid w:val="00D93C08"/>
    <w:rsid w:val="00D93C2F"/>
    <w:rsid w:val="00D956F0"/>
    <w:rsid w:val="00DB1F7C"/>
    <w:rsid w:val="00DB22E4"/>
    <w:rsid w:val="00DB265A"/>
    <w:rsid w:val="00DC337A"/>
    <w:rsid w:val="00DC5F55"/>
    <w:rsid w:val="00DD443E"/>
    <w:rsid w:val="00DE28C5"/>
    <w:rsid w:val="00DE351F"/>
    <w:rsid w:val="00DE71FC"/>
    <w:rsid w:val="00DF3429"/>
    <w:rsid w:val="00DF4CF3"/>
    <w:rsid w:val="00E00432"/>
    <w:rsid w:val="00E03696"/>
    <w:rsid w:val="00E10178"/>
    <w:rsid w:val="00E1619D"/>
    <w:rsid w:val="00E17880"/>
    <w:rsid w:val="00E20526"/>
    <w:rsid w:val="00E221C7"/>
    <w:rsid w:val="00E32B2C"/>
    <w:rsid w:val="00E427B6"/>
    <w:rsid w:val="00E46517"/>
    <w:rsid w:val="00E66F5F"/>
    <w:rsid w:val="00E67A71"/>
    <w:rsid w:val="00E700AA"/>
    <w:rsid w:val="00E749D6"/>
    <w:rsid w:val="00E74FBB"/>
    <w:rsid w:val="00E76296"/>
    <w:rsid w:val="00E76602"/>
    <w:rsid w:val="00E80E62"/>
    <w:rsid w:val="00E91205"/>
    <w:rsid w:val="00E947A2"/>
    <w:rsid w:val="00EA18DF"/>
    <w:rsid w:val="00EA4430"/>
    <w:rsid w:val="00EB2F65"/>
    <w:rsid w:val="00EB3401"/>
    <w:rsid w:val="00EC7EAA"/>
    <w:rsid w:val="00EC7F3D"/>
    <w:rsid w:val="00ED1E20"/>
    <w:rsid w:val="00EE684A"/>
    <w:rsid w:val="00EF211C"/>
    <w:rsid w:val="00F074A8"/>
    <w:rsid w:val="00F1625E"/>
    <w:rsid w:val="00F16E2F"/>
    <w:rsid w:val="00F36777"/>
    <w:rsid w:val="00F405A7"/>
    <w:rsid w:val="00F43048"/>
    <w:rsid w:val="00F43DA6"/>
    <w:rsid w:val="00F553C3"/>
    <w:rsid w:val="00F557E7"/>
    <w:rsid w:val="00F55A0C"/>
    <w:rsid w:val="00F566FD"/>
    <w:rsid w:val="00F5715B"/>
    <w:rsid w:val="00F60E28"/>
    <w:rsid w:val="00F74382"/>
    <w:rsid w:val="00F80E43"/>
    <w:rsid w:val="00F80FB4"/>
    <w:rsid w:val="00F84698"/>
    <w:rsid w:val="00F84BA2"/>
    <w:rsid w:val="00F87E8B"/>
    <w:rsid w:val="00F87FAF"/>
    <w:rsid w:val="00F961F9"/>
    <w:rsid w:val="00FA61EE"/>
    <w:rsid w:val="00FB4397"/>
    <w:rsid w:val="00FC1244"/>
    <w:rsid w:val="00FC21D3"/>
    <w:rsid w:val="00FC470D"/>
    <w:rsid w:val="00FC55D6"/>
    <w:rsid w:val="00FC5A26"/>
    <w:rsid w:val="00FC7FCB"/>
    <w:rsid w:val="00FD211E"/>
    <w:rsid w:val="00FD6F71"/>
    <w:rsid w:val="00FE24CB"/>
    <w:rsid w:val="00FE4DB2"/>
    <w:rsid w:val="00FF7B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83D3D81"/>
  <w15:chartTrackingRefBased/>
  <w15:docId w15:val="{55680FFE-082F-B849-8383-375D0ECE2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5A0C"/>
    <w:pPr>
      <w:widowControl w:val="0"/>
      <w:jc w:val="both"/>
    </w:pPr>
  </w:style>
  <w:style w:type="paragraph" w:styleId="1">
    <w:name w:val="heading 1"/>
    <w:basedOn w:val="a"/>
    <w:next w:val="a"/>
    <w:link w:val="10"/>
    <w:uiPriority w:val="9"/>
    <w:qFormat/>
    <w:rsid w:val="0074615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4615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4615E"/>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4615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4615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4615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4615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4615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4615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4615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4615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4615E"/>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4615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4615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4615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4615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4615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4615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4615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4615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4615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4615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4615E"/>
    <w:pPr>
      <w:spacing w:before="160" w:after="160"/>
      <w:jc w:val="center"/>
    </w:pPr>
    <w:rPr>
      <w:i/>
      <w:iCs/>
      <w:color w:val="404040" w:themeColor="text1" w:themeTint="BF"/>
    </w:rPr>
  </w:style>
  <w:style w:type="character" w:customStyle="1" w:styleId="a8">
    <w:name w:val="引用文 (文字)"/>
    <w:basedOn w:val="a0"/>
    <w:link w:val="a7"/>
    <w:uiPriority w:val="29"/>
    <w:rsid w:val="0074615E"/>
    <w:rPr>
      <w:i/>
      <w:iCs/>
      <w:color w:val="404040" w:themeColor="text1" w:themeTint="BF"/>
    </w:rPr>
  </w:style>
  <w:style w:type="paragraph" w:styleId="a9">
    <w:name w:val="List Paragraph"/>
    <w:basedOn w:val="a"/>
    <w:uiPriority w:val="34"/>
    <w:qFormat/>
    <w:rsid w:val="0074615E"/>
    <w:pPr>
      <w:ind w:left="720"/>
      <w:contextualSpacing/>
    </w:pPr>
  </w:style>
  <w:style w:type="character" w:styleId="21">
    <w:name w:val="Intense Emphasis"/>
    <w:basedOn w:val="a0"/>
    <w:uiPriority w:val="21"/>
    <w:qFormat/>
    <w:rsid w:val="0074615E"/>
    <w:rPr>
      <w:i/>
      <w:iCs/>
      <w:color w:val="0F4761" w:themeColor="accent1" w:themeShade="BF"/>
    </w:rPr>
  </w:style>
  <w:style w:type="paragraph" w:styleId="22">
    <w:name w:val="Intense Quote"/>
    <w:basedOn w:val="a"/>
    <w:next w:val="a"/>
    <w:link w:val="23"/>
    <w:uiPriority w:val="30"/>
    <w:qFormat/>
    <w:rsid w:val="007461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4615E"/>
    <w:rPr>
      <w:i/>
      <w:iCs/>
      <w:color w:val="0F4761" w:themeColor="accent1" w:themeShade="BF"/>
    </w:rPr>
  </w:style>
  <w:style w:type="character" w:styleId="24">
    <w:name w:val="Intense Reference"/>
    <w:basedOn w:val="a0"/>
    <w:uiPriority w:val="32"/>
    <w:qFormat/>
    <w:rsid w:val="0074615E"/>
    <w:rPr>
      <w:b/>
      <w:bCs/>
      <w:smallCaps/>
      <w:color w:val="0F4761" w:themeColor="accent1" w:themeShade="BF"/>
      <w:spacing w:val="5"/>
    </w:rPr>
  </w:style>
  <w:style w:type="paragraph" w:customStyle="1" w:styleId="Default">
    <w:name w:val="Default"/>
    <w:rsid w:val="0074615E"/>
    <w:pPr>
      <w:autoSpaceDE w:val="0"/>
      <w:autoSpaceDN w:val="0"/>
      <w:adjustRightInd w:val="0"/>
    </w:pPr>
    <w:rPr>
      <w:rFonts w:ascii="Arial" w:hAnsi="Arial" w:cs="Arial"/>
      <w:color w:val="000000"/>
      <w:kern w:val="0"/>
      <w:sz w:val="24"/>
      <w:lang w:eastAsia="en-US"/>
    </w:rPr>
  </w:style>
  <w:style w:type="character" w:styleId="aa">
    <w:name w:val="Hyperlink"/>
    <w:basedOn w:val="a0"/>
    <w:uiPriority w:val="99"/>
    <w:unhideWhenUsed/>
    <w:rsid w:val="0074615E"/>
    <w:rPr>
      <w:color w:val="467886" w:themeColor="hyperlink"/>
      <w:u w:val="single"/>
    </w:rPr>
  </w:style>
  <w:style w:type="character" w:styleId="ab">
    <w:name w:val="Unresolved Mention"/>
    <w:basedOn w:val="a0"/>
    <w:uiPriority w:val="99"/>
    <w:semiHidden/>
    <w:unhideWhenUsed/>
    <w:rsid w:val="0074615E"/>
    <w:rPr>
      <w:color w:val="605E5C"/>
      <w:shd w:val="clear" w:color="auto" w:fill="E1DFDD"/>
    </w:rPr>
  </w:style>
  <w:style w:type="table" w:styleId="ac">
    <w:name w:val="Table Grid"/>
    <w:basedOn w:val="a1"/>
    <w:uiPriority w:val="39"/>
    <w:rsid w:val="00567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030865"/>
    <w:pPr>
      <w:tabs>
        <w:tab w:val="center" w:pos="4252"/>
        <w:tab w:val="right" w:pos="8504"/>
      </w:tabs>
      <w:snapToGrid w:val="0"/>
    </w:pPr>
  </w:style>
  <w:style w:type="character" w:customStyle="1" w:styleId="ae">
    <w:name w:val="ヘッダー (文字)"/>
    <w:basedOn w:val="a0"/>
    <w:link w:val="ad"/>
    <w:uiPriority w:val="99"/>
    <w:rsid w:val="00030865"/>
  </w:style>
  <w:style w:type="paragraph" w:styleId="af">
    <w:name w:val="footer"/>
    <w:basedOn w:val="a"/>
    <w:link w:val="af0"/>
    <w:uiPriority w:val="99"/>
    <w:unhideWhenUsed/>
    <w:rsid w:val="00030865"/>
    <w:pPr>
      <w:tabs>
        <w:tab w:val="center" w:pos="4252"/>
        <w:tab w:val="right" w:pos="8504"/>
      </w:tabs>
      <w:snapToGrid w:val="0"/>
    </w:pPr>
  </w:style>
  <w:style w:type="character" w:customStyle="1" w:styleId="af0">
    <w:name w:val="フッター (文字)"/>
    <w:basedOn w:val="a0"/>
    <w:link w:val="af"/>
    <w:uiPriority w:val="99"/>
    <w:rsid w:val="00030865"/>
  </w:style>
  <w:style w:type="character" w:customStyle="1" w:styleId="af1">
    <w:name w:val="なし"/>
    <w:rsid w:val="00E10178"/>
    <w:rPr>
      <w:lang w:val="ja-JP" w:eastAsia="ja-JP"/>
    </w:rPr>
  </w:style>
  <w:style w:type="table" w:styleId="af2">
    <w:name w:val="Grid Table Light"/>
    <w:basedOn w:val="a1"/>
    <w:uiPriority w:val="40"/>
    <w:rsid w:val="00F55A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Web">
    <w:name w:val="Normal (Web)"/>
    <w:basedOn w:val="a"/>
    <w:uiPriority w:val="99"/>
    <w:unhideWhenUsed/>
    <w:rsid w:val="00F55A0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3">
    <w:name w:val="annotation reference"/>
    <w:basedOn w:val="a0"/>
    <w:uiPriority w:val="99"/>
    <w:semiHidden/>
    <w:unhideWhenUsed/>
    <w:rsid w:val="00495016"/>
    <w:rPr>
      <w:sz w:val="18"/>
      <w:szCs w:val="18"/>
    </w:rPr>
  </w:style>
  <w:style w:type="paragraph" w:styleId="af4">
    <w:name w:val="annotation text"/>
    <w:basedOn w:val="a"/>
    <w:link w:val="af5"/>
    <w:uiPriority w:val="99"/>
    <w:unhideWhenUsed/>
    <w:rsid w:val="00495016"/>
    <w:pPr>
      <w:jc w:val="left"/>
    </w:pPr>
  </w:style>
  <w:style w:type="character" w:customStyle="1" w:styleId="af5">
    <w:name w:val="コメント文字列 (文字)"/>
    <w:basedOn w:val="a0"/>
    <w:link w:val="af4"/>
    <w:uiPriority w:val="99"/>
    <w:rsid w:val="00495016"/>
  </w:style>
  <w:style w:type="paragraph" w:styleId="af6">
    <w:name w:val="annotation subject"/>
    <w:basedOn w:val="af4"/>
    <w:next w:val="af4"/>
    <w:link w:val="af7"/>
    <w:uiPriority w:val="99"/>
    <w:semiHidden/>
    <w:unhideWhenUsed/>
    <w:rsid w:val="00495016"/>
    <w:rPr>
      <w:b/>
      <w:bCs/>
    </w:rPr>
  </w:style>
  <w:style w:type="character" w:customStyle="1" w:styleId="af7">
    <w:name w:val="コメント内容 (文字)"/>
    <w:basedOn w:val="af5"/>
    <w:link w:val="af6"/>
    <w:uiPriority w:val="99"/>
    <w:semiHidden/>
    <w:rsid w:val="00495016"/>
    <w:rPr>
      <w:b/>
      <w:bCs/>
    </w:rPr>
  </w:style>
  <w:style w:type="paragraph" w:styleId="af8">
    <w:name w:val="Revision"/>
    <w:hidden/>
    <w:uiPriority w:val="99"/>
    <w:semiHidden/>
    <w:rsid w:val="000D7087"/>
  </w:style>
  <w:style w:type="character" w:customStyle="1" w:styleId="apple-converted-space">
    <w:name w:val="apple-converted-space"/>
    <w:basedOn w:val="a0"/>
    <w:rsid w:val="00EB3401"/>
  </w:style>
  <w:style w:type="paragraph" w:customStyle="1" w:styleId="EndNoteBibliographyTitle">
    <w:name w:val="EndNote Bibliography Title"/>
    <w:basedOn w:val="a"/>
    <w:link w:val="EndNoteBibliographyTitle0"/>
    <w:rsid w:val="00341934"/>
    <w:pPr>
      <w:jc w:val="center"/>
    </w:pPr>
    <w:rPr>
      <w:rFonts w:ascii="游明朝" w:eastAsia="游明朝" w:hAnsi="游明朝"/>
      <w:sz w:val="20"/>
    </w:rPr>
  </w:style>
  <w:style w:type="character" w:customStyle="1" w:styleId="EndNoteBibliographyTitle0">
    <w:name w:val="EndNote Bibliography Title (文字)"/>
    <w:basedOn w:val="a0"/>
    <w:link w:val="EndNoteBibliographyTitle"/>
    <w:rsid w:val="00341934"/>
    <w:rPr>
      <w:rFonts w:ascii="游明朝" w:eastAsia="游明朝" w:hAnsi="游明朝"/>
      <w:sz w:val="20"/>
    </w:rPr>
  </w:style>
  <w:style w:type="paragraph" w:customStyle="1" w:styleId="EndNoteBibliography">
    <w:name w:val="EndNote Bibliography"/>
    <w:basedOn w:val="a"/>
    <w:link w:val="EndNoteBibliography0"/>
    <w:rsid w:val="00341934"/>
    <w:rPr>
      <w:rFonts w:ascii="游明朝" w:eastAsia="游明朝" w:hAnsi="游明朝"/>
      <w:sz w:val="20"/>
    </w:rPr>
  </w:style>
  <w:style w:type="character" w:customStyle="1" w:styleId="EndNoteBibliography0">
    <w:name w:val="EndNote Bibliography (文字)"/>
    <w:basedOn w:val="a0"/>
    <w:link w:val="EndNoteBibliography"/>
    <w:rsid w:val="00341934"/>
    <w:rPr>
      <w:rFonts w:ascii="游明朝" w:eastAsia="游明朝" w:hAnsi="游明朝"/>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FBA47-B78A-44F7-95F7-B4E5A3AD4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8</Pages>
  <Words>855</Words>
  <Characters>4879</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KOBAYASHI Natsumi</dc:creator>
  <cp:keywords/>
  <dc:description/>
  <cp:lastModifiedBy>Tomoaki MURAKAMI</cp:lastModifiedBy>
  <cp:revision>21</cp:revision>
  <dcterms:created xsi:type="dcterms:W3CDTF">2025-10-14T20:33:00Z</dcterms:created>
  <dcterms:modified xsi:type="dcterms:W3CDTF">2025-12-16T20:58:00Z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c829382b-5bda-4f0d-97dc-5f07f28010d0</vt:lpwstr>
  </property>
</Properties>
</file>