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364C" w:rsidRDefault="007E364C" w:rsidP="007E364C">
      <w:pPr>
        <w:rPr>
          <w:b/>
          <w:bCs/>
        </w:rPr>
      </w:pPr>
      <w:r>
        <w:rPr>
          <w:b/>
          <w:bCs/>
        </w:rPr>
        <w:t>Supplementary information.</w:t>
      </w:r>
    </w:p>
    <w:p w:rsidR="007E364C" w:rsidRPr="00962BD0" w:rsidRDefault="007E364C" w:rsidP="007E364C">
      <w:pPr>
        <w:rPr>
          <w:b/>
          <w:bCs/>
        </w:rPr>
      </w:pPr>
      <w:r>
        <w:rPr>
          <w:b/>
          <w:bCs/>
        </w:rPr>
        <w:t>1</w:t>
      </w:r>
      <w:r w:rsidRPr="00962BD0">
        <w:rPr>
          <w:b/>
          <w:bCs/>
        </w:rPr>
        <w:t>. Ancillary Reaction Pathway: Sulfur–Nitrogen Chemistry</w:t>
      </w:r>
    </w:p>
    <w:p w:rsidR="007E364C" w:rsidRPr="00962BD0" w:rsidRDefault="007E364C" w:rsidP="007E364C">
      <w:pPr>
        <w:rPr>
          <w:sz w:val="24"/>
          <w:szCs w:val="24"/>
        </w:rPr>
      </w:pPr>
      <w:r w:rsidRPr="00962BD0">
        <w:rPr>
          <w:sz w:val="24"/>
          <w:szCs w:val="24"/>
        </w:rPr>
        <w:t>A secondary reaction involving NO, hydroxocobalamin, sodium hydroxide, sodium sulfate, and NO₂ yielded sulfur-containing byproducts, including sodium polysulfide (</w:t>
      </w:r>
      <w:proofErr w:type="spellStart"/>
      <w:r w:rsidRPr="00962BD0">
        <w:rPr>
          <w:sz w:val="24"/>
          <w:szCs w:val="24"/>
        </w:rPr>
        <w:t>Na₂S</w:t>
      </w:r>
      <w:proofErr w:type="spellEnd"/>
      <w:r w:rsidRPr="00962BD0">
        <w:rPr>
          <w:sz w:val="24"/>
          <w:szCs w:val="24"/>
        </w:rPr>
        <w:t>₅) and sulfur dioxide (SO₂)</w:t>
      </w:r>
      <w:r>
        <w:rPr>
          <w:sz w:val="24"/>
          <w:szCs w:val="24"/>
        </w:rPr>
        <w:t xml:space="preserve"> </w:t>
      </w:r>
      <w:r w:rsidRPr="007A7C08">
        <w:rPr>
          <w:sz w:val="24"/>
          <w:szCs w:val="24"/>
        </w:rPr>
        <w:t>[33]</w:t>
      </w:r>
      <w:r w:rsidRPr="00962BD0">
        <w:rPr>
          <w:sz w:val="24"/>
          <w:szCs w:val="24"/>
        </w:rPr>
        <w:t>, according to:</w:t>
      </w:r>
    </w:p>
    <w:p w:rsidR="007E364C" w:rsidRPr="00962BD0" w:rsidRDefault="007E364C" w:rsidP="007E364C">
      <w:pPr>
        <w:rPr>
          <w:sz w:val="28"/>
          <w:szCs w:val="28"/>
        </w:rPr>
      </w:pPr>
      <w:r w:rsidRPr="00962BD0">
        <w:rPr>
          <w:sz w:val="28"/>
          <w:szCs w:val="28"/>
        </w:rPr>
        <w:t>NO + Hydroxocobalamin + NaOH + Na₂SO₄ + NO₂ → Na₂S₅ + SO₂ + Cb(III) + NO⁺</w:t>
      </w:r>
    </w:p>
    <w:p w:rsidR="007E364C" w:rsidRPr="00962BD0" w:rsidRDefault="007E364C" w:rsidP="007E364C">
      <w:pPr>
        <w:rPr>
          <w:sz w:val="24"/>
          <w:szCs w:val="24"/>
        </w:rPr>
      </w:pPr>
      <w:r w:rsidRPr="00962BD0">
        <w:rPr>
          <w:sz w:val="24"/>
          <w:szCs w:val="24"/>
        </w:rPr>
        <w:t>Although not directly related to the primary redox mechanism, this reaction demonstrates that NO can drive complex sulfur–nitrogen transformations under alkaline conditions. The biological significance remains speculative but may represent a detoxification mechanism for reactive nitrogen species (RNS) during nitrosative stress.</w:t>
      </w:r>
    </w:p>
    <w:p w:rsidR="007E364C" w:rsidRPr="00962BD0" w:rsidRDefault="007E364C" w:rsidP="007E364C">
      <w:pPr>
        <w:rPr>
          <w:sz w:val="24"/>
          <w:szCs w:val="24"/>
        </w:rPr>
      </w:pPr>
      <w:r w:rsidRPr="00962BD0">
        <w:rPr>
          <w:sz w:val="24"/>
          <w:szCs w:val="24"/>
        </w:rPr>
        <w:t>FTIR and UV–Vis spectra confirmed the appearance of characteristic S–S and S–O vibrational bands, consistent with polysulfide and SO₂ formation. These findings warrant further exploration to understand potential links between NO metabolism and sulfur-based redox buffering systems.</w:t>
      </w:r>
    </w:p>
    <w:p w:rsidR="007E364C" w:rsidRDefault="007E364C" w:rsidP="007E364C">
      <w:pPr>
        <w:rPr>
          <w:b/>
          <w:bCs/>
        </w:rPr>
      </w:pPr>
    </w:p>
    <w:p w:rsidR="007E364C" w:rsidRPr="00C97F4F" w:rsidRDefault="007E364C" w:rsidP="007E364C">
      <w:pPr>
        <w:rPr>
          <w:b/>
          <w:bCs/>
        </w:rPr>
      </w:pPr>
      <w:r w:rsidRPr="00C97F4F">
        <w:rPr>
          <w:b/>
          <w:bCs/>
        </w:rPr>
        <w:t>Biological Implication: </w:t>
      </w:r>
      <w:r w:rsidRPr="00C97F4F">
        <w:t>This reversible adduct does not scavenge NO irreversibly but acts as a transient NO reservoir or buffer. The kinetics of NO release would be governed by the equilibrium constant of this reaction, which is likely sensitive to the local chemical environment (e.g., pH, redox potential, concentration gradients).</w:t>
      </w:r>
    </w:p>
    <w:p w:rsidR="007E364C" w:rsidRPr="00C97F4F" w:rsidRDefault="007E364C" w:rsidP="007E364C">
      <w:pPr>
        <w:rPr>
          <w:b/>
          <w:bCs/>
        </w:rPr>
      </w:pPr>
      <w:r w:rsidRPr="00C97F4F">
        <w:rPr>
          <w:b/>
          <w:bCs/>
        </w:rPr>
        <w:t>Cellular Redox Modulation (Kinetic Cycle)</w:t>
      </w:r>
    </w:p>
    <w:p w:rsidR="007E364C" w:rsidRPr="00C97F4F" w:rsidRDefault="007E364C" w:rsidP="007E364C">
      <w:pPr>
        <w:numPr>
          <w:ilvl w:val="0"/>
          <w:numId w:val="1"/>
        </w:numPr>
      </w:pPr>
      <w:r w:rsidRPr="00C97F4F">
        <w:t xml:space="preserve">Process: Endothelial cells partially reduce extracellular </w:t>
      </w:r>
      <w:proofErr w:type="spellStart"/>
      <w:r w:rsidRPr="00C97F4F">
        <w:t>Cb</w:t>
      </w:r>
      <w:proofErr w:type="spellEnd"/>
      <w:r w:rsidRPr="00C97F4F">
        <w:t xml:space="preserve">(III) to cell-associated </w:t>
      </w:r>
      <w:proofErr w:type="spellStart"/>
      <w:r w:rsidRPr="00C97F4F">
        <w:t>Cb</w:t>
      </w:r>
      <w:proofErr w:type="spellEnd"/>
      <w:r w:rsidRPr="00C97F4F">
        <w:t>(II).</w:t>
      </w:r>
    </w:p>
    <w:p w:rsidR="007E364C" w:rsidRPr="00C97F4F" w:rsidRDefault="007E364C" w:rsidP="007E364C">
      <w:pPr>
        <w:numPr>
          <w:ilvl w:val="0"/>
          <w:numId w:val="1"/>
        </w:numPr>
      </w:pPr>
      <w:r w:rsidRPr="00C97F4F">
        <w:t>Kinetic Quality: Sustained / Cyclic</w:t>
      </w:r>
    </w:p>
    <w:p w:rsidR="007E364C" w:rsidRPr="00C97F4F" w:rsidRDefault="007E364C" w:rsidP="007E364C">
      <w:pPr>
        <w:numPr>
          <w:ilvl w:val="1"/>
          <w:numId w:val="1"/>
        </w:numPr>
      </w:pPr>
      <w:r w:rsidRPr="00C97F4F">
        <w:t>This cellular process establishes a dynamic kinetic cycle:</w:t>
      </w:r>
    </w:p>
    <w:p w:rsidR="007E364C" w:rsidRPr="00C97F4F" w:rsidRDefault="007E364C" w:rsidP="007E364C">
      <w:pPr>
        <w:numPr>
          <w:ilvl w:val="2"/>
          <w:numId w:val="1"/>
        </w:numPr>
      </w:pPr>
      <w:r w:rsidRPr="00C97F4F">
        <w:t xml:space="preserve">Reduction (Slow?): Cellular reduction of </w:t>
      </w:r>
      <w:proofErr w:type="spellStart"/>
      <w:r w:rsidRPr="00C97F4F">
        <w:t>Cb</w:t>
      </w:r>
      <w:proofErr w:type="spellEnd"/>
      <w:r w:rsidRPr="00C97F4F">
        <w:t xml:space="preserve">(III) to </w:t>
      </w:r>
      <w:proofErr w:type="spellStart"/>
      <w:r w:rsidRPr="00C97F4F">
        <w:t>Cb</w:t>
      </w:r>
      <w:proofErr w:type="spellEnd"/>
      <w:r w:rsidRPr="00C97F4F">
        <w:t>(II).</w:t>
      </w:r>
    </w:p>
    <w:p w:rsidR="007E364C" w:rsidRPr="00C97F4F" w:rsidRDefault="007E364C" w:rsidP="007E364C">
      <w:pPr>
        <w:numPr>
          <w:ilvl w:val="2"/>
          <w:numId w:val="1"/>
        </w:numPr>
      </w:pPr>
      <w:r w:rsidRPr="00C97F4F">
        <w:t xml:space="preserve">Oxidation (Fast): Rapid oxidation of this </w:t>
      </w:r>
      <w:proofErr w:type="spellStart"/>
      <w:r w:rsidRPr="00C97F4F">
        <w:t>Cb</w:t>
      </w:r>
      <w:proofErr w:type="spellEnd"/>
      <w:r w:rsidRPr="00C97F4F">
        <w:t>(II) by NO.</w:t>
      </w:r>
    </w:p>
    <w:p w:rsidR="007E364C" w:rsidRPr="00C97F4F" w:rsidRDefault="007E364C" w:rsidP="007E364C">
      <w:pPr>
        <w:numPr>
          <w:ilvl w:val="2"/>
          <w:numId w:val="1"/>
        </w:numPr>
      </w:pPr>
      <w:r w:rsidRPr="00C97F4F">
        <w:t xml:space="preserve">Binding (Fast/Reversible): Simultaneous reversible binding of NO to remaining </w:t>
      </w:r>
      <w:proofErr w:type="spellStart"/>
      <w:r w:rsidRPr="00C97F4F">
        <w:t>Cb</w:t>
      </w:r>
      <w:proofErr w:type="spellEnd"/>
      <w:r w:rsidRPr="00C97F4F">
        <w:t>(III).</w:t>
      </w:r>
    </w:p>
    <w:p w:rsidR="007E364C" w:rsidRPr="00C97F4F" w:rsidRDefault="007E364C" w:rsidP="007E364C">
      <w:pPr>
        <w:numPr>
          <w:ilvl w:val="0"/>
          <w:numId w:val="1"/>
        </w:numPr>
        <w:rPr>
          <w:b/>
          <w:bCs/>
        </w:rPr>
      </w:pPr>
      <w:r w:rsidRPr="00C97F4F">
        <w:rPr>
          <w:b/>
          <w:bCs/>
        </w:rPr>
        <w:t>Overall Kinetic Implication: </w:t>
      </w:r>
      <w:r w:rsidRPr="00C97F4F">
        <w:t xml:space="preserve">The net effect on NO bioavailability is not a single, first-order reaction but a complex interplay of multiple competing reactions with different rates. The system can switch from net NO scavenging (if the oxidation of </w:t>
      </w:r>
      <w:proofErr w:type="spellStart"/>
      <w:r w:rsidRPr="00C97F4F">
        <w:t>Cb</w:t>
      </w:r>
      <w:proofErr w:type="spellEnd"/>
      <w:r w:rsidRPr="00C97F4F">
        <w:t>(II) dominates) to net NO buffering/release (if the adduct formation and subsequent release dominate), depending on the relative rates of each process within the specific cellular context</w:t>
      </w:r>
      <w:r>
        <w:t xml:space="preserve"> </w:t>
      </w:r>
      <w:r w:rsidRPr="007A7C08">
        <w:t>[29, 30]</w:t>
      </w:r>
      <w:r w:rsidRPr="00C97F4F">
        <w:t>.</w:t>
      </w:r>
    </w:p>
    <w:p w:rsidR="007E364C" w:rsidRDefault="007E364C" w:rsidP="007E364C">
      <w:pPr>
        <w:rPr>
          <w:b/>
          <w:bCs/>
        </w:rPr>
      </w:pPr>
    </w:p>
    <w:p w:rsidR="001D3385" w:rsidRDefault="001D3385" w:rsidP="007E364C">
      <w:pPr>
        <w:rPr>
          <w:b/>
          <w:bCs/>
        </w:rPr>
      </w:pPr>
    </w:p>
    <w:p w:rsidR="001D3385" w:rsidRPr="00834A2E" w:rsidRDefault="001D3385" w:rsidP="001D3385">
      <w:pPr>
        <w:rPr>
          <w:b/>
          <w:bCs/>
        </w:rPr>
      </w:pPr>
      <w:r w:rsidRPr="00834A2E">
        <w:rPr>
          <w:b/>
          <w:bCs/>
        </w:rPr>
        <w:lastRenderedPageBreak/>
        <w:t>Factual Clarification</w:t>
      </w:r>
      <w:r>
        <w:rPr>
          <w:b/>
          <w:bCs/>
        </w:rPr>
        <w:t xml:space="preserve"> for section 3.6.2.</w:t>
      </w:r>
      <w:r w:rsidRPr="00834A2E">
        <w:rPr>
          <w:b/>
          <w:bCs/>
        </w:rPr>
        <w:t>:</w:t>
      </w:r>
    </w:p>
    <w:p w:rsidR="001D3385" w:rsidRPr="001D3385" w:rsidRDefault="001D3385" w:rsidP="001D3385">
      <w:pPr>
        <w:numPr>
          <w:ilvl w:val="0"/>
          <w:numId w:val="2"/>
        </w:numPr>
      </w:pPr>
      <w:r w:rsidRPr="001D3385">
        <w:t xml:space="preserve">Figure 6a is a DFT-optimized geometry of the </w:t>
      </w:r>
      <w:proofErr w:type="spellStart"/>
      <w:r w:rsidRPr="001D3385">
        <w:t>Cb</w:t>
      </w:r>
      <w:proofErr w:type="spellEnd"/>
      <w:r w:rsidRPr="001D3385">
        <w:t>(III)-NO adduct, derived from the X-ray coordinates. It shows the core region of the cobalamin-NO complex, focusing on the Co–N–O bonding environment and key surrounding atoms. This is a common practice in computational chemistry to highlight the active site without displaying the entire large molecule.</w:t>
      </w:r>
    </w:p>
    <w:p w:rsidR="001D3385" w:rsidRPr="001D3385" w:rsidRDefault="001D3385" w:rsidP="001D3385">
      <w:pPr>
        <w:numPr>
          <w:ilvl w:val="0"/>
          <w:numId w:val="2"/>
        </w:numPr>
      </w:pPr>
      <w:r w:rsidRPr="001D3385">
        <w:t>Figure 6b is a 3D molecular electrostatic potential (MEP) or orbital surface map of the same adduct.</w:t>
      </w:r>
    </w:p>
    <w:p w:rsidR="001D3385" w:rsidRPr="001D3385" w:rsidRDefault="001D3385" w:rsidP="001D3385">
      <w:pPr>
        <w:numPr>
          <w:ilvl w:val="1"/>
          <w:numId w:val="2"/>
        </w:numPr>
      </w:pPr>
      <w:r w:rsidRPr="001D3385">
        <w:t>The Co atom is at the center of the coordinated structure.</w:t>
      </w:r>
    </w:p>
    <w:p w:rsidR="001D3385" w:rsidRPr="001D3385" w:rsidRDefault="001D3385" w:rsidP="001D3385">
      <w:pPr>
        <w:numPr>
          <w:ilvl w:val="1"/>
          <w:numId w:val="2"/>
        </w:numPr>
      </w:pPr>
      <w:r w:rsidRPr="001D3385">
        <w:t>Color coding typically represents electrostatic potential (red = negative, blue = positive) or orbital phases ( HOMO/LUMO), which are standard in DFT visualizations to illustrate electronic properties relevant to reactivity.</w:t>
      </w:r>
    </w:p>
    <w:p w:rsidR="001D3385" w:rsidRDefault="001D3385" w:rsidP="007E364C">
      <w:pPr>
        <w:rPr>
          <w:b/>
          <w:bCs/>
        </w:rPr>
      </w:pPr>
    </w:p>
    <w:p w:rsidR="00F20593" w:rsidRDefault="00F20593"/>
    <w:sectPr w:rsidR="00F205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2B2937"/>
    <w:multiLevelType w:val="multilevel"/>
    <w:tmpl w:val="C87A90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D60053D"/>
    <w:multiLevelType w:val="multilevel"/>
    <w:tmpl w:val="2744B8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1045159">
    <w:abstractNumId w:val="0"/>
  </w:num>
  <w:num w:numId="2" w16cid:durableId="179394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64C"/>
    <w:rsid w:val="000C2CC6"/>
    <w:rsid w:val="001D3385"/>
    <w:rsid w:val="001F323B"/>
    <w:rsid w:val="0042425B"/>
    <w:rsid w:val="007E364C"/>
    <w:rsid w:val="00B069A4"/>
    <w:rsid w:val="00E25636"/>
    <w:rsid w:val="00F20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8B428"/>
  <w15:chartTrackingRefBased/>
  <w15:docId w15:val="{7F73C505-FFB5-4E75-8E08-6690F5278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364C"/>
  </w:style>
  <w:style w:type="paragraph" w:styleId="Heading1">
    <w:name w:val="heading 1"/>
    <w:basedOn w:val="Normal"/>
    <w:next w:val="Normal"/>
    <w:link w:val="Heading1Char"/>
    <w:uiPriority w:val="9"/>
    <w:qFormat/>
    <w:rsid w:val="007E36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E36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E36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36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36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3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3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3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3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6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E36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E36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36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36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3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64C"/>
    <w:rPr>
      <w:rFonts w:eastAsiaTheme="majorEastAsia" w:cstheme="majorBidi"/>
      <w:color w:val="272727" w:themeColor="text1" w:themeTint="D8"/>
    </w:rPr>
  </w:style>
  <w:style w:type="paragraph" w:styleId="Title">
    <w:name w:val="Title"/>
    <w:basedOn w:val="Normal"/>
    <w:next w:val="Normal"/>
    <w:link w:val="TitleChar"/>
    <w:uiPriority w:val="10"/>
    <w:qFormat/>
    <w:rsid w:val="007E3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64C"/>
    <w:pPr>
      <w:spacing w:before="160"/>
      <w:jc w:val="center"/>
    </w:pPr>
    <w:rPr>
      <w:i/>
      <w:iCs/>
      <w:color w:val="404040" w:themeColor="text1" w:themeTint="BF"/>
    </w:rPr>
  </w:style>
  <w:style w:type="character" w:customStyle="1" w:styleId="QuoteChar">
    <w:name w:val="Quote Char"/>
    <w:basedOn w:val="DefaultParagraphFont"/>
    <w:link w:val="Quote"/>
    <w:uiPriority w:val="29"/>
    <w:rsid w:val="007E364C"/>
    <w:rPr>
      <w:i/>
      <w:iCs/>
      <w:color w:val="404040" w:themeColor="text1" w:themeTint="BF"/>
    </w:rPr>
  </w:style>
  <w:style w:type="paragraph" w:styleId="ListParagraph">
    <w:name w:val="List Paragraph"/>
    <w:basedOn w:val="Normal"/>
    <w:uiPriority w:val="34"/>
    <w:qFormat/>
    <w:rsid w:val="007E364C"/>
    <w:pPr>
      <w:ind w:left="720"/>
      <w:contextualSpacing/>
    </w:pPr>
  </w:style>
  <w:style w:type="character" w:styleId="IntenseEmphasis">
    <w:name w:val="Intense Emphasis"/>
    <w:basedOn w:val="DefaultParagraphFont"/>
    <w:uiPriority w:val="21"/>
    <w:qFormat/>
    <w:rsid w:val="007E364C"/>
    <w:rPr>
      <w:i/>
      <w:iCs/>
      <w:color w:val="2F5496" w:themeColor="accent1" w:themeShade="BF"/>
    </w:rPr>
  </w:style>
  <w:style w:type="paragraph" w:styleId="IntenseQuote">
    <w:name w:val="Intense Quote"/>
    <w:basedOn w:val="Normal"/>
    <w:next w:val="Normal"/>
    <w:link w:val="IntenseQuoteChar"/>
    <w:uiPriority w:val="30"/>
    <w:qFormat/>
    <w:rsid w:val="007E36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364C"/>
    <w:rPr>
      <w:i/>
      <w:iCs/>
      <w:color w:val="2F5496" w:themeColor="accent1" w:themeShade="BF"/>
    </w:rPr>
  </w:style>
  <w:style w:type="character" w:styleId="IntenseReference">
    <w:name w:val="Intense Reference"/>
    <w:basedOn w:val="DefaultParagraphFont"/>
    <w:uiPriority w:val="32"/>
    <w:qFormat/>
    <w:rsid w:val="007E36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OLATUNJI-NOZEEM SALAKO</dc:creator>
  <cp:keywords/>
  <dc:description/>
  <cp:lastModifiedBy>OLATUNJI-NOZEEM SALAKO</cp:lastModifiedBy>
  <cp:revision>2</cp:revision>
  <dcterms:created xsi:type="dcterms:W3CDTF">2026-02-18T15:47:00Z</dcterms:created>
  <dcterms:modified xsi:type="dcterms:W3CDTF">2026-02-18T15:47:00Z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5b44fbef-ad44-47cb-9ff7-b0bddadb48d8</vt:lpwstr>
  </property>
</Properties>
</file>