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119D9" w14:textId="77777777" w:rsidR="00B94DA2" w:rsidRDefault="001975E6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Supplementary Material</w:t>
      </w:r>
    </w:p>
    <w:p w14:paraId="3A3119DA" w14:textId="77777777" w:rsidR="00B94DA2" w:rsidRDefault="00B94DA2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14:paraId="3A3119DB" w14:textId="77777777" w:rsidR="00B94DA2" w:rsidRDefault="001975E6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Spatiotemporal arising of molecular and functional Blood-Brain Barrier properties in the developing </w:t>
      </w: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  <w:t xml:space="preserve">Gallus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  <w:t>gallus</w:t>
      </w:r>
      <w:proofErr w:type="spellEnd"/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optic tectum</w:t>
      </w:r>
    </w:p>
    <w:p w14:paraId="3A3119DC" w14:textId="77777777" w:rsidR="00B94DA2" w:rsidRDefault="00B94DA2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A3119DD" w14:textId="77777777" w:rsidR="00B94DA2" w:rsidRPr="001F6348" w:rsidRDefault="001975E6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lang w:val="es-CL"/>
        </w:rPr>
      </w:pPr>
      <w:r>
        <w:rPr>
          <w:rFonts w:ascii="Arial" w:eastAsia="Arial" w:hAnsi="Arial" w:cs="Arial"/>
          <w:b/>
          <w:bCs/>
          <w:color w:val="000000"/>
        </w:rPr>
        <w:t> </w:t>
      </w:r>
      <w:r w:rsidRPr="001F6348">
        <w:rPr>
          <w:rFonts w:ascii="Arial" w:eastAsia="Arial" w:hAnsi="Arial" w:cs="Arial"/>
          <w:b/>
          <w:bCs/>
          <w:color w:val="000000"/>
          <w:lang w:val="es-CL"/>
        </w:rPr>
        <w:t>Jesús Juárez-Balarezo</w:t>
      </w:r>
      <w:proofErr w:type="gramStart"/>
      <w:r w:rsidRPr="001F6348">
        <w:rPr>
          <w:rFonts w:ascii="Arial" w:eastAsia="Arial" w:hAnsi="Arial" w:cs="Arial"/>
          <w:b/>
          <w:bCs/>
          <w:color w:val="000000"/>
          <w:vertAlign w:val="superscript"/>
          <w:lang w:val="es-CL"/>
        </w:rPr>
        <w:t>1,+</w:t>
      </w:r>
      <w:proofErr w:type="gramEnd"/>
      <w:r w:rsidRPr="001F6348">
        <w:rPr>
          <w:rFonts w:ascii="Arial" w:eastAsia="Arial" w:hAnsi="Arial" w:cs="Arial"/>
          <w:b/>
          <w:bCs/>
          <w:color w:val="000000"/>
          <w:lang w:val="es-CL"/>
        </w:rPr>
        <w:t>, María Jesús Garrido-Muñoz</w:t>
      </w:r>
      <w:proofErr w:type="gramStart"/>
      <w:r w:rsidRPr="001F6348">
        <w:rPr>
          <w:rFonts w:ascii="Arial" w:eastAsia="Arial" w:hAnsi="Arial" w:cs="Arial"/>
          <w:b/>
          <w:bCs/>
          <w:color w:val="000000"/>
          <w:vertAlign w:val="superscript"/>
          <w:lang w:val="es-CL"/>
        </w:rPr>
        <w:t>1,+</w:t>
      </w:r>
      <w:proofErr w:type="gramEnd"/>
      <w:r w:rsidRPr="001F6348">
        <w:rPr>
          <w:rFonts w:ascii="Arial" w:eastAsia="Arial" w:hAnsi="Arial" w:cs="Arial"/>
          <w:b/>
          <w:bCs/>
          <w:color w:val="000000"/>
          <w:lang w:val="es-CL"/>
        </w:rPr>
        <w:t>, Benjamín Reuse</w:t>
      </w:r>
      <w:r w:rsidRPr="001F6348">
        <w:rPr>
          <w:rFonts w:ascii="Arial" w:eastAsia="Arial" w:hAnsi="Arial" w:cs="Arial"/>
          <w:b/>
          <w:bCs/>
          <w:color w:val="000000"/>
          <w:vertAlign w:val="superscript"/>
          <w:lang w:val="es-CL"/>
        </w:rPr>
        <w:t>1</w:t>
      </w:r>
      <w:r w:rsidRPr="001F6348">
        <w:rPr>
          <w:rFonts w:ascii="Arial" w:eastAsia="Arial" w:hAnsi="Arial" w:cs="Arial"/>
          <w:b/>
          <w:bCs/>
          <w:color w:val="000000"/>
          <w:lang w:val="es-CL"/>
        </w:rPr>
        <w:t>, Ignacio Casanova-Maldonado</w:t>
      </w:r>
      <w:r w:rsidRPr="001F6348">
        <w:rPr>
          <w:rFonts w:ascii="Arial" w:eastAsia="Arial" w:hAnsi="Arial" w:cs="Arial"/>
          <w:b/>
          <w:bCs/>
          <w:color w:val="000000"/>
          <w:vertAlign w:val="superscript"/>
          <w:lang w:val="es-CL"/>
        </w:rPr>
        <w:t>1</w:t>
      </w:r>
      <w:r w:rsidRPr="001F6348">
        <w:rPr>
          <w:rFonts w:ascii="Arial" w:eastAsia="Arial" w:hAnsi="Arial" w:cs="Arial"/>
          <w:b/>
          <w:bCs/>
          <w:color w:val="000000"/>
          <w:lang w:val="es-CL"/>
        </w:rPr>
        <w:t>, Verónica Palma</w:t>
      </w:r>
      <w:r w:rsidRPr="001F6348">
        <w:rPr>
          <w:rFonts w:ascii="Arial" w:eastAsia="Arial" w:hAnsi="Arial" w:cs="Arial"/>
          <w:b/>
          <w:bCs/>
          <w:color w:val="000000"/>
          <w:vertAlign w:val="superscript"/>
          <w:lang w:val="es-CL"/>
        </w:rPr>
        <w:t>1c</w:t>
      </w:r>
      <w:r w:rsidRPr="001F6348">
        <w:rPr>
          <w:rFonts w:ascii="Arial" w:eastAsia="Arial" w:hAnsi="Arial" w:cs="Arial"/>
          <w:b/>
          <w:bCs/>
          <w:color w:val="000000"/>
          <w:lang w:val="es-CL"/>
        </w:rPr>
        <w:t>.</w:t>
      </w:r>
    </w:p>
    <w:p w14:paraId="3A3119DE" w14:textId="77777777" w:rsidR="00B94DA2" w:rsidRPr="001F6348" w:rsidRDefault="00B94DA2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es-CL"/>
        </w:rPr>
      </w:pPr>
    </w:p>
    <w:p w14:paraId="3A3119DF" w14:textId="77777777" w:rsidR="00B94DA2" w:rsidRPr="001F6348" w:rsidRDefault="001975E6">
      <w:pPr>
        <w:rPr>
          <w:rFonts w:ascii="Arial" w:eastAsia="Arial" w:hAnsi="Arial" w:cs="Arial"/>
          <w:b/>
          <w:bCs/>
          <w:color w:val="000000"/>
          <w:sz w:val="22"/>
          <w:szCs w:val="22"/>
          <w:lang w:val="es-CL"/>
        </w:rPr>
      </w:pPr>
      <w:r w:rsidRPr="001F6348">
        <w:rPr>
          <w:lang w:val="es-CL"/>
        </w:rPr>
        <w:br w:type="page"/>
      </w:r>
    </w:p>
    <w:p w14:paraId="3A3119E0" w14:textId="77777777" w:rsidR="00B94DA2" w:rsidRPr="001F6348" w:rsidRDefault="00B94DA2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es-CL"/>
        </w:rPr>
      </w:pPr>
    </w:p>
    <w:p w14:paraId="3A3119E1" w14:textId="77777777" w:rsidR="00B94DA2" w:rsidRDefault="001975E6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311A49" wp14:editId="3A311A4A">
            <wp:extent cx="5612130" cy="3928196"/>
            <wp:effectExtent l="0" t="0" r="0" b="0"/>
            <wp:docPr id="2091056574" name="image3.png" descr="Interfaz de usuario gráfica, Texto, Aplicación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z de usuario gráfica, Texto, Aplicación&#10;&#10;El contenido generado por IA puede ser incorrec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8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Supplementary Figure 1. Transcriptional dynamics of additional BBB-associated genes in the developing 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Gallus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gallus</w:t>
      </w:r>
      <w:proofErr w:type="spellEnd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OT.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Relative mRNA expression of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(A)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AXIN2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(B)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OCLN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(C)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GLUT1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(D)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SLC7A5,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(E)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MFSD2A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and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(F)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BSG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Gallus </w:t>
      </w:r>
      <w:proofErr w:type="spellStart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gallus</w:t>
      </w:r>
      <w:proofErr w:type="spell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embryo OT at development stages as indicated. Expression levels were normalized to the reference genes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ATCB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and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AARS1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and calculated relative to HH38. Data are presented as mean ± SEM (n = 5, each in duplicate). ns, not significant; *p &lt; 0.05 (One way ANOVA against HH32).</w:t>
      </w:r>
    </w:p>
    <w:p w14:paraId="3A3119E2" w14:textId="77777777" w:rsidR="00B94DA2" w:rsidRDefault="00B94DA2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3119E3" w14:textId="77777777" w:rsidR="00B94DA2" w:rsidRDefault="001975E6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</w:p>
    <w:p w14:paraId="3A3119E4" w14:textId="77777777" w:rsidR="00B94DA2" w:rsidRDefault="001975E6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Supplementary Figure 2.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Multiple comparison analysis of BBB- related genes across experimental development stages</w:t>
      </w:r>
      <w:r>
        <w:rPr>
          <w:rFonts w:ascii="Arial" w:eastAsia="Arial" w:hAnsi="Arial" w:cs="Arial"/>
          <w:color w:val="000000"/>
          <w:sz w:val="22"/>
          <w:szCs w:val="22"/>
        </w:rPr>
        <w:t>. Data are presented as p-value according to One way ANOVA analysis followed by Fisher’s LSD test. Comparisons with p-value &lt; 0.05 are highlig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>ed in bold.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311A4B" wp14:editId="3A311A4C">
            <wp:simplePos x="0" y="0"/>
            <wp:positionH relativeFrom="column">
              <wp:posOffset>-2132</wp:posOffset>
            </wp:positionH>
            <wp:positionV relativeFrom="paragraph">
              <wp:posOffset>60384</wp:posOffset>
            </wp:positionV>
            <wp:extent cx="5717540" cy="7487285"/>
            <wp:effectExtent l="0" t="0" r="0" b="0"/>
            <wp:wrapSquare wrapText="bothSides" distT="0" distB="0" distL="114300" distR="114300"/>
            <wp:docPr id="20910565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7487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3119E5" w14:textId="77777777" w:rsidR="00B94DA2" w:rsidRDefault="00B94D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3119E6" w14:textId="77777777" w:rsidR="00B94DA2" w:rsidRDefault="001975E6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A311A4D" wp14:editId="3A311A4E">
            <wp:extent cx="5612130" cy="2019300"/>
            <wp:effectExtent l="0" t="0" r="0" b="0"/>
            <wp:docPr id="209105657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119E7" w14:textId="77777777" w:rsidR="00B94DA2" w:rsidRDefault="00B94DA2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3A3119E8" w14:textId="77777777" w:rsidR="00B94DA2" w:rsidRDefault="001975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Supplementary Figure 3. Tridimensional reconstruction of ZO-1 distribution across developing OT. </w:t>
      </w:r>
      <w:r>
        <w:rPr>
          <w:rFonts w:ascii="Arial" w:eastAsia="Arial" w:hAnsi="Arial" w:cs="Arial"/>
          <w:color w:val="000000"/>
          <w:sz w:val="22"/>
          <w:szCs w:val="22"/>
        </w:rPr>
        <w:t>Representative 3D images of OT sections labeled for blood vessels (magenta) and ZO-1 (cyan) at HH36 (A), HH38 (B) and HH40 (C) developmental stages. Scale bar = 200 µm.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</w:p>
    <w:p w14:paraId="3A3119E9" w14:textId="77777777" w:rsidR="00B94DA2" w:rsidRDefault="001975E6">
      <w:pPr>
        <w:jc w:val="both"/>
        <w:rPr>
          <w:rFonts w:ascii="Times New Roman" w:eastAsia="Times New Roman" w:hAnsi="Times New Roman" w:cs="Times New Roman"/>
        </w:rPr>
      </w:pPr>
      <w:r>
        <w:br w:type="page"/>
      </w:r>
    </w:p>
    <w:p w14:paraId="3A3119EA" w14:textId="77777777" w:rsidR="00B94DA2" w:rsidRDefault="001975E6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 xml:space="preserve">Supplementary Figure 4. Claudin-5 immunoreactivity in developing OT blood vessels. </w:t>
      </w:r>
      <w:r>
        <w:rPr>
          <w:rFonts w:ascii="Arial" w:eastAsia="Arial" w:hAnsi="Arial" w:cs="Arial"/>
          <w:color w:val="000000"/>
          <w:sz w:val="22"/>
          <w:szCs w:val="22"/>
        </w:rPr>
        <w:t>Representative images showing tissue parenchyma (nuclear staining – gray), blood vessels (magenta) and CLDN5 (cyan) at HH36 (A-B’), HH38 (C-D’) and HH40 (E-F’) developmental stages; Scale bar = 200 µm. Magnifications correspond to area delimited in white doted squares; Scale bar = 50 µm. Arrowheads indicate blood vessels regions positive for CLDN5 signal.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A311A4F" wp14:editId="3A311A50">
            <wp:simplePos x="0" y="0"/>
            <wp:positionH relativeFrom="column">
              <wp:posOffset>-175259</wp:posOffset>
            </wp:positionH>
            <wp:positionV relativeFrom="paragraph">
              <wp:posOffset>47</wp:posOffset>
            </wp:positionV>
            <wp:extent cx="5983605" cy="5933440"/>
            <wp:effectExtent l="0" t="0" r="0" b="0"/>
            <wp:wrapTopAndBottom distT="0" distB="0"/>
            <wp:docPr id="2091056573" name="image4.png" descr="Patrón de fond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trón de fondo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593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3119EB" w14:textId="77777777" w:rsidR="00B94DA2" w:rsidRDefault="001975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 </w:t>
      </w:r>
    </w:p>
    <w:p w14:paraId="3A3119EC" w14:textId="77777777" w:rsidR="00B94DA2" w:rsidRDefault="00B94D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3119ED" w14:textId="77777777" w:rsidR="00B94DA2" w:rsidRDefault="001975E6">
      <w:pPr>
        <w:rPr>
          <w:rFonts w:ascii="Times New Roman" w:eastAsia="Times New Roman" w:hAnsi="Times New Roman" w:cs="Times New Roman"/>
        </w:rPr>
      </w:pPr>
      <w:r>
        <w:br w:type="page"/>
      </w:r>
    </w:p>
    <w:p w14:paraId="3A3119EE" w14:textId="77777777" w:rsidR="00B94DA2" w:rsidRDefault="001975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A311A51" wp14:editId="3A311A52">
            <wp:extent cx="4974590" cy="6986905"/>
            <wp:effectExtent l="0" t="0" r="0" b="0"/>
            <wp:docPr id="20910565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69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119EF" w14:textId="77777777" w:rsidR="00B94DA2" w:rsidRDefault="00B94D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3119F0" w14:textId="77777777" w:rsidR="00B94DA2" w:rsidRDefault="001975E6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Supplementary Figure 5.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Multiple comparison analysis for EB permeability assay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Data presented as p-value according to Two- way RM ANOVA analysis. Comparisons with p-value &lt; 0.05 in bold text.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(A)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Comparison between OT and Forebrain for the same developmental stages.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(B)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and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(C) </w:t>
      </w:r>
      <w:r>
        <w:rPr>
          <w:rFonts w:ascii="Arial" w:eastAsia="Arial" w:hAnsi="Arial" w:cs="Arial"/>
          <w:color w:val="000000"/>
          <w:sz w:val="22"/>
          <w:szCs w:val="22"/>
        </w:rPr>
        <w:t>show comparisons in EB concentration between OT and forebrain for every development stage, separately.  </w:t>
      </w:r>
    </w:p>
    <w:p w14:paraId="3A3119F1" w14:textId="77777777" w:rsidR="00B94DA2" w:rsidRDefault="001975E6">
      <w:pPr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</w:p>
    <w:p w14:paraId="3A3119F2" w14:textId="77777777" w:rsidR="00B94DA2" w:rsidRDefault="00B94D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3119F3" w14:textId="77777777" w:rsidR="00B94DA2" w:rsidRDefault="001975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A311A53" wp14:editId="3A311A54">
            <wp:simplePos x="0" y="0"/>
            <wp:positionH relativeFrom="column">
              <wp:posOffset>-216594</wp:posOffset>
            </wp:positionH>
            <wp:positionV relativeFrom="paragraph">
              <wp:posOffset>210820</wp:posOffset>
            </wp:positionV>
            <wp:extent cx="6017260" cy="1962785"/>
            <wp:effectExtent l="0" t="0" r="0" b="0"/>
            <wp:wrapTopAndBottom distT="0" distB="0"/>
            <wp:docPr id="20910565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196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3119F4" w14:textId="77777777" w:rsidR="00B94DA2" w:rsidRDefault="00B94D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3119F5" w14:textId="77777777" w:rsidR="00B94DA2" w:rsidRDefault="001975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Supplementary Figure 6. Validation of the Rhodamine-123 (R123) assay for assessing P-glycoprotein (P-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gp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) function.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Quantification of R123 tissue concentration (ng/µL*g) in the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(A)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OT and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(B)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Forebrain. Across three different injected concentrations, a progressive decrease in R123 accumulation is observed from HH34 to HH42, indicating a developmental increase in functional P-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gp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efflux activity. Data are presented as mean ± SD (n = 5). Statistical significance was determined using a Two-way RM ANOVA (*p &lt; 0.05)</w:t>
      </w:r>
    </w:p>
    <w:p w14:paraId="3A3119F6" w14:textId="77777777" w:rsidR="00B94DA2" w:rsidRDefault="00B94DA2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3A3119F7" w14:textId="77777777" w:rsidR="00B94DA2" w:rsidRDefault="00B94DA2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3A3119F8" w14:textId="77777777" w:rsidR="00B94DA2" w:rsidRDefault="001975E6">
      <w:pPr>
        <w:rPr>
          <w:rFonts w:ascii="Times New Roman" w:eastAsia="Times New Roman" w:hAnsi="Times New Roman" w:cs="Times New Roman"/>
        </w:rPr>
      </w:pPr>
      <w:r>
        <w:br w:type="page"/>
      </w:r>
    </w:p>
    <w:p w14:paraId="3A3119F9" w14:textId="77777777" w:rsidR="00B94DA2" w:rsidRDefault="001975E6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A311A55" wp14:editId="3A311A56">
            <wp:extent cx="4974590" cy="6986905"/>
            <wp:effectExtent l="0" t="0" r="0" b="0"/>
            <wp:docPr id="209105657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698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119FA" w14:textId="77777777" w:rsidR="00B94DA2" w:rsidRDefault="001975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Supplementary Figure 7.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Multiple comparison analysis for R123 efflux assay. Data is presented as p-value according to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Two way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RM ANOVA. Comparisons with p-value &lt; 0.05 in bold text. (A) Comparison between OT and Forebrain for the same stages. (B) and (C) show comparisons in R123 concentration between OT and Forebrain for every development stage, separately.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 </w:t>
      </w:r>
    </w:p>
    <w:p w14:paraId="3A3119FB" w14:textId="77777777" w:rsidR="00B94DA2" w:rsidRDefault="00B94D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3119FC" w14:textId="3D358E0F" w:rsidR="00B94DA2" w:rsidRDefault="001F6348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 xml:space="preserve">Supplementary </w:t>
      </w:r>
      <w:r w:rsidR="001975E6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Table 1: Primer sequences used for qPCR analysis. </w:t>
      </w:r>
      <w:r w:rsidR="001975E6">
        <w:rPr>
          <w:rFonts w:ascii="Arial" w:eastAsia="Arial" w:hAnsi="Arial" w:cs="Arial"/>
          <w:color w:val="000000"/>
          <w:sz w:val="22"/>
          <w:szCs w:val="22"/>
        </w:rPr>
        <w:t>List of forward (</w:t>
      </w:r>
      <w:proofErr w:type="spellStart"/>
      <w:r w:rsidR="001975E6">
        <w:rPr>
          <w:rFonts w:ascii="Arial" w:eastAsia="Arial" w:hAnsi="Arial" w:cs="Arial"/>
          <w:color w:val="000000"/>
          <w:sz w:val="22"/>
          <w:szCs w:val="22"/>
        </w:rPr>
        <w:t>Fw</w:t>
      </w:r>
      <w:proofErr w:type="spellEnd"/>
      <w:r w:rsidR="001975E6">
        <w:rPr>
          <w:rFonts w:ascii="Arial" w:eastAsia="Arial" w:hAnsi="Arial" w:cs="Arial"/>
          <w:color w:val="000000"/>
          <w:sz w:val="22"/>
          <w:szCs w:val="22"/>
        </w:rPr>
        <w:t xml:space="preserve"> Sequence) and reverse primers (</w:t>
      </w:r>
      <w:proofErr w:type="spellStart"/>
      <w:r w:rsidR="001975E6">
        <w:rPr>
          <w:rFonts w:ascii="Arial" w:eastAsia="Arial" w:hAnsi="Arial" w:cs="Arial"/>
          <w:color w:val="000000"/>
          <w:sz w:val="22"/>
          <w:szCs w:val="22"/>
        </w:rPr>
        <w:t>Rv</w:t>
      </w:r>
      <w:proofErr w:type="spellEnd"/>
      <w:r w:rsidR="001975E6">
        <w:rPr>
          <w:rFonts w:ascii="Arial" w:eastAsia="Arial" w:hAnsi="Arial" w:cs="Arial"/>
          <w:color w:val="000000"/>
          <w:sz w:val="22"/>
          <w:szCs w:val="22"/>
        </w:rPr>
        <w:t xml:space="preserve"> Sequence) for reference genes and target genes involved in signaling (</w:t>
      </w:r>
      <w:r w:rsidR="001975E6">
        <w:rPr>
          <w:rFonts w:ascii="Arial" w:eastAsia="Arial" w:hAnsi="Arial" w:cs="Arial"/>
          <w:i/>
          <w:iCs/>
          <w:color w:val="000000"/>
          <w:sz w:val="22"/>
          <w:szCs w:val="22"/>
        </w:rPr>
        <w:t>SHH, HIF1A, VEGF, AXIN2</w:t>
      </w:r>
      <w:r w:rsidR="001975E6">
        <w:rPr>
          <w:rFonts w:ascii="Arial" w:eastAsia="Arial" w:hAnsi="Arial" w:cs="Arial"/>
          <w:color w:val="000000"/>
          <w:sz w:val="22"/>
          <w:szCs w:val="22"/>
        </w:rPr>
        <w:t>), tight junctions (</w:t>
      </w:r>
      <w:r w:rsidR="001975E6">
        <w:rPr>
          <w:rFonts w:ascii="Arial" w:eastAsia="Arial" w:hAnsi="Arial" w:cs="Arial"/>
          <w:i/>
          <w:iCs/>
          <w:color w:val="000000"/>
          <w:sz w:val="22"/>
          <w:szCs w:val="22"/>
        </w:rPr>
        <w:t>CLDN5, OCLN</w:t>
      </w:r>
      <w:r w:rsidR="001975E6">
        <w:rPr>
          <w:rFonts w:ascii="Arial" w:eastAsia="Arial" w:hAnsi="Arial" w:cs="Arial"/>
          <w:color w:val="000000"/>
          <w:sz w:val="22"/>
          <w:szCs w:val="22"/>
        </w:rPr>
        <w:t>), and transport (</w:t>
      </w:r>
      <w:r w:rsidR="001975E6">
        <w:rPr>
          <w:rFonts w:ascii="Arial" w:eastAsia="Arial" w:hAnsi="Arial" w:cs="Arial"/>
          <w:i/>
          <w:iCs/>
          <w:color w:val="000000"/>
          <w:sz w:val="22"/>
          <w:szCs w:val="22"/>
        </w:rPr>
        <w:t>ABCB1, PLVAP, GLUT1, SLC7A5, MFSD2A, BSG</w:t>
      </w:r>
      <w:r w:rsidR="001975E6">
        <w:rPr>
          <w:rFonts w:ascii="Arial" w:eastAsia="Arial" w:hAnsi="Arial" w:cs="Arial"/>
          <w:color w:val="000000"/>
          <w:sz w:val="22"/>
          <w:szCs w:val="22"/>
        </w:rPr>
        <w:t xml:space="preserve">). All sequences are derived from the </w:t>
      </w:r>
      <w:r w:rsidR="001975E6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Gallus </w:t>
      </w:r>
      <w:proofErr w:type="spellStart"/>
      <w:r w:rsidR="001975E6">
        <w:rPr>
          <w:rFonts w:ascii="Arial" w:eastAsia="Arial" w:hAnsi="Arial" w:cs="Arial"/>
          <w:i/>
          <w:iCs/>
          <w:color w:val="000000"/>
          <w:sz w:val="22"/>
          <w:szCs w:val="22"/>
        </w:rPr>
        <w:t>gallus</w:t>
      </w:r>
      <w:proofErr w:type="spellEnd"/>
      <w:r w:rsidR="001975E6">
        <w:rPr>
          <w:rFonts w:ascii="Arial" w:eastAsia="Arial" w:hAnsi="Arial" w:cs="Arial"/>
          <w:color w:val="000000"/>
          <w:sz w:val="22"/>
          <w:szCs w:val="22"/>
        </w:rPr>
        <w:t xml:space="preserve"> genome.</w:t>
      </w:r>
    </w:p>
    <w:tbl>
      <w:tblPr>
        <w:tblStyle w:val="a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28"/>
        <w:gridCol w:w="1222"/>
        <w:gridCol w:w="3317"/>
        <w:gridCol w:w="3261"/>
      </w:tblGrid>
      <w:tr w:rsidR="00B94DA2" w14:paraId="3A311A01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9FD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9FE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9FF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Fw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Sequence 5’-3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0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Rv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Sequence 5’-3’</w:t>
            </w:r>
          </w:p>
        </w:tc>
      </w:tr>
      <w:tr w:rsidR="00B94DA2" w14:paraId="3A311A06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2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AARS1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3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4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TCAATCGATGAGACCAGGCG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5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TGATTTCCTGCGTGGACAGG</w:t>
            </w:r>
          </w:p>
        </w:tc>
      </w:tr>
      <w:tr w:rsidR="00B94DA2" w14:paraId="3A311A0B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7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ACTB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8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9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ACCGCAAATGCTTCTAAACCG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A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TGAGTCAAGCGCCAAAAGAA</w:t>
            </w:r>
          </w:p>
        </w:tc>
      </w:tr>
      <w:tr w:rsidR="00B94DA2" w14:paraId="3A311A10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C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SHH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0D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E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CCATCACTCCGAGGAATCGC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0F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CTCCTGATTTCGCTGCCACT</w:t>
            </w:r>
          </w:p>
        </w:tc>
      </w:tr>
      <w:tr w:rsidR="00B94DA2" w14:paraId="3A311A15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1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HIF1A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12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3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TGGGACTCACTCAGTTCGAT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4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GCTGGTCAGCGTACACTTCA</w:t>
            </w:r>
          </w:p>
        </w:tc>
      </w:tr>
      <w:tr w:rsidR="00B94DA2" w14:paraId="3A311A1A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6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VEGF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17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8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CAAGAAAGGCCGGTACAAACCA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9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TCGACTTGCAACGTGAGTCTGT</w:t>
            </w:r>
          </w:p>
        </w:tc>
      </w:tr>
      <w:tr w:rsidR="00B94DA2" w14:paraId="3A311A1F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B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AXIN2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1C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D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ACGTTGGAGAACGGGTACAG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1E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GGGGGATCCCATCTACACTG</w:t>
            </w:r>
          </w:p>
        </w:tc>
      </w:tr>
      <w:tr w:rsidR="00B94DA2" w14:paraId="3A311A24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0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CLDN5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21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2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ATGCAGTGCAAGGTGTACGA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3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GATCACGATGCGGGACTTCA</w:t>
            </w:r>
          </w:p>
        </w:tc>
      </w:tr>
      <w:tr w:rsidR="00B94DA2" w14:paraId="3A311A29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5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OCLN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26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7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GGCCTTCGTCATGCTCATCG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8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GTCCACGGTGCAGTAGTGGT</w:t>
            </w:r>
          </w:p>
        </w:tc>
      </w:tr>
      <w:tr w:rsidR="00B94DA2" w14:paraId="3A311A2E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A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ABCB1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2B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C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GCCTCACAAGTAAAAGGAGCAA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D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CTGCCACTGCAATGATTGGT</w:t>
            </w:r>
          </w:p>
        </w:tc>
      </w:tr>
      <w:tr w:rsidR="00B94DA2" w14:paraId="3A311A33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2F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PLVAP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30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1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CCGGAATGCCAACCTGACAC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2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CCTTCTGATGTCCTCTAGCCTG</w:t>
            </w:r>
          </w:p>
        </w:tc>
      </w:tr>
      <w:tr w:rsidR="00B94DA2" w14:paraId="3A311A38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4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GLUT1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35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6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GAGCGGCAGCAAGATGACAG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7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TGGGCTCCTCATATCGGTACA</w:t>
            </w:r>
          </w:p>
        </w:tc>
      </w:tr>
      <w:tr w:rsidR="00B94DA2" w14:paraId="3A311A3D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9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SLC7A5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3A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B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AGATTGCAACGGGTGATGTG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C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GATGATAGCCAGAGGCAGGTT</w:t>
            </w:r>
          </w:p>
        </w:tc>
      </w:tr>
      <w:tr w:rsidR="00B94DA2" w14:paraId="3A311A42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3E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MFSD2A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3F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40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CTACGCTCAGCCTGGACTTC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41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TTCTTGTTCTCCCTGCGCTT</w:t>
            </w:r>
          </w:p>
        </w:tc>
      </w:tr>
      <w:tr w:rsidR="00B94DA2" w14:paraId="3A311A47" w14:textId="77777777">
        <w:trPr>
          <w:trHeight w:val="34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43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BSG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A44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Gallus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gallus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45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GATGCTACAGGTCCGGTGAT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1A46" w14:textId="77777777" w:rsidR="00B94DA2" w:rsidRDefault="001975E6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ACCTTCCCCTCGATCGTGTA</w:t>
            </w:r>
          </w:p>
        </w:tc>
      </w:tr>
    </w:tbl>
    <w:p w14:paraId="3A311A48" w14:textId="77777777" w:rsidR="00B94DA2" w:rsidRDefault="00B94DA2">
      <w:pPr>
        <w:jc w:val="both"/>
      </w:pPr>
    </w:p>
    <w:sectPr w:rsidR="00B94DA2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9136AC-6441-4713-9DD6-5F168D1CA8B5}"/>
    <w:embedItalic r:id="rId2" w:fontKey="{54DC431A-1D1E-4A21-B2A0-7BE9C7485FB2}"/>
  </w:font>
  <w:font w:name="Play">
    <w:charset w:val="00"/>
    <w:family w:val="auto"/>
    <w:pitch w:val="default"/>
    <w:embedRegular r:id="rId3" w:fontKey="{F001549D-CA36-453C-92D0-D0163E6AC6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553A1EF-272B-4F43-B73C-7172C3489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DA2"/>
    <w:rsid w:val="001975E6"/>
    <w:rsid w:val="001F6348"/>
    <w:rsid w:val="00AC419B"/>
    <w:rsid w:val="00B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119D9"/>
  <w15:docId w15:val="{5BE41025-8B15-4BEF-AA9E-93F74478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6A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6A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6A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D66A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D66A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D66A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D66AC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D66AC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D66AC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6AC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6AC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6AC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D66A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D66A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6A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66AC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6AC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66AC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6A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6AC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6AC9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H27aBnpQl5FqqmFL01p2WwnMEg==">CgMxLjA4AHIhMWNaYTFYYjVJaXkxZ1BrY3VGV3hhVmlqRUdyMW5yV255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669</Words>
  <Characters>3685</Characters>
  <Application>Microsoft Office Word</Application>
  <DocSecurity>0</DocSecurity>
  <Lines>30</Lines>
  <Paragraphs>8</Paragraphs>
  <ScaleCrop>false</ScaleCrop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Jesús Garrido Muñoz (maria.garrido.m)</dc:creator>
  <cp:lastModifiedBy>Jesús Juárez Balarezo</cp:lastModifiedBy>
  <cp:revision>3</cp:revision>
  <dcterms:created xsi:type="dcterms:W3CDTF">2026-02-16T21:08:00Z</dcterms:created>
  <dcterms:modified xsi:type="dcterms:W3CDTF">2026-02-20T17:30:00Z</dcterms:modified>
</cp:coreProperties>
</file>