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0B757" w14:textId="4C063FCF" w:rsidR="007F10F7" w:rsidRPr="00F63D22" w:rsidRDefault="007F10F7" w:rsidP="007F10F7">
      <w:pPr>
        <w:spacing w:line="480" w:lineRule="auto"/>
        <w:rPr>
          <w:rFonts w:asciiTheme="majorBidi" w:hAnsiTheme="majorBidi" w:cstheme="majorBidi"/>
        </w:rPr>
      </w:pPr>
      <w:r w:rsidRPr="00F63D22">
        <w:rPr>
          <w:rFonts w:asciiTheme="majorBidi" w:hAnsiTheme="majorBidi" w:cstheme="majorBidi"/>
        </w:rPr>
        <w:t>Table S</w:t>
      </w:r>
      <w:r w:rsidR="00F63D22" w:rsidRPr="00F63D22">
        <w:rPr>
          <w:rFonts w:asciiTheme="majorBidi" w:hAnsiTheme="majorBidi" w:cstheme="majorBidi"/>
          <w:lang w:val="da-GL"/>
        </w:rPr>
        <w:t>1</w:t>
      </w:r>
      <w:r w:rsidRPr="00F63D22">
        <w:rPr>
          <w:rFonts w:asciiTheme="majorBidi" w:hAnsiTheme="majorBidi" w:cstheme="majorBidi"/>
        </w:rPr>
        <w:t>. Energy characteristics [</w:t>
      </w:r>
      <w:proofErr w:type="spellStart"/>
      <w:r w:rsidRPr="00F63D22">
        <w:rPr>
          <w:rFonts w:asciiTheme="majorBidi" w:hAnsiTheme="majorBidi" w:cstheme="majorBidi"/>
        </w:rPr>
        <w:t>Lifshitz</w:t>
      </w:r>
      <w:proofErr w:type="spellEnd"/>
      <w:r w:rsidRPr="00F63D22">
        <w:rPr>
          <w:rFonts w:asciiTheme="majorBidi" w:hAnsiTheme="majorBidi" w:cstheme="majorBidi"/>
        </w:rPr>
        <w:t>–van der Waals (ϒ</w:t>
      </w:r>
      <w:r w:rsidRPr="00F63D22">
        <w:rPr>
          <w:rFonts w:asciiTheme="majorBidi" w:hAnsiTheme="majorBidi" w:cstheme="majorBidi"/>
          <w:vertAlign w:val="superscript"/>
        </w:rPr>
        <w:t>LW</w:t>
      </w:r>
      <w:r w:rsidRPr="00F63D22">
        <w:rPr>
          <w:rFonts w:asciiTheme="majorBidi" w:hAnsiTheme="majorBidi" w:cstheme="majorBidi"/>
        </w:rPr>
        <w:t>), electron-donor (ϒ</w:t>
      </w:r>
      <w:r w:rsidRPr="00F63D22">
        <w:rPr>
          <w:rFonts w:asciiTheme="majorBidi" w:hAnsiTheme="majorBidi" w:cstheme="majorBidi"/>
          <w:vertAlign w:val="superscript"/>
        </w:rPr>
        <w:t>-</w:t>
      </w:r>
      <w:r w:rsidRPr="00F63D22">
        <w:rPr>
          <w:rFonts w:asciiTheme="majorBidi" w:hAnsiTheme="majorBidi" w:cstheme="majorBidi"/>
        </w:rPr>
        <w:t>), and electron-acceptor (ϒ</w:t>
      </w:r>
      <w:r w:rsidRPr="00F63D22">
        <w:rPr>
          <w:rFonts w:asciiTheme="majorBidi" w:hAnsiTheme="majorBidi" w:cstheme="majorBidi"/>
          <w:vertAlign w:val="superscript"/>
        </w:rPr>
        <w:t>+</w:t>
      </w:r>
      <w:r w:rsidRPr="00F63D22">
        <w:rPr>
          <w:rFonts w:asciiTheme="majorBidi" w:hAnsiTheme="majorBidi" w:cstheme="majorBidi"/>
        </w:rPr>
        <w:t>) parameters (</w:t>
      </w:r>
      <w:proofErr w:type="spellStart"/>
      <w:r w:rsidRPr="00F63D22">
        <w:rPr>
          <w:rFonts w:asciiTheme="majorBidi" w:eastAsia="Times New Roman" w:hAnsiTheme="majorBidi" w:cstheme="majorBidi"/>
        </w:rPr>
        <w:t>mJ</w:t>
      </w:r>
      <w:proofErr w:type="spellEnd"/>
      <w:r w:rsidR="00F63D22">
        <w:rPr>
          <w:rFonts w:asciiTheme="majorBidi" w:eastAsia="Times New Roman" w:hAnsiTheme="majorBidi" w:cstheme="majorBidi"/>
          <w:lang w:val="da-GL"/>
        </w:rPr>
        <w:t xml:space="preserve"> </w:t>
      </w:r>
      <w:r w:rsidRPr="00F63D22">
        <w:rPr>
          <w:rFonts w:asciiTheme="majorBidi" w:eastAsia="Times New Roman" w:hAnsiTheme="majorBidi" w:cstheme="majorBidi"/>
        </w:rPr>
        <w:t>m</w:t>
      </w:r>
      <w:r w:rsidRPr="00F63D22">
        <w:rPr>
          <w:rFonts w:asciiTheme="majorBidi" w:hAnsiTheme="majorBidi" w:cstheme="majorBidi"/>
          <w:vertAlign w:val="superscript"/>
          <w:lang w:bidi="ar-MA"/>
        </w:rPr>
        <w:t>-</w:t>
      </w:r>
      <w:r w:rsidRPr="00F63D22">
        <w:rPr>
          <w:rFonts w:asciiTheme="majorBidi" w:hAnsiTheme="majorBidi" w:cstheme="majorBidi"/>
          <w:vertAlign w:val="superscript"/>
        </w:rPr>
        <w:t>2</w:t>
      </w:r>
      <w:r w:rsidRPr="00F63D22">
        <w:rPr>
          <w:rFonts w:asciiTheme="majorBidi" w:hAnsiTheme="majorBidi" w:cstheme="majorBidi"/>
        </w:rPr>
        <w:t xml:space="preserve">)] of the liquids used </w:t>
      </w:r>
    </w:p>
    <w:tbl>
      <w:tblPr>
        <w:tblW w:w="7543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3190"/>
        <w:gridCol w:w="957"/>
        <w:gridCol w:w="1822"/>
        <w:gridCol w:w="1574"/>
      </w:tblGrid>
      <w:tr w:rsidR="007F10F7" w:rsidRPr="00F63D22" w14:paraId="57C6C264" w14:textId="77777777" w:rsidTr="00306E6A">
        <w:trPr>
          <w:trHeight w:val="434"/>
        </w:trPr>
        <w:tc>
          <w:tcPr>
            <w:tcW w:w="3190" w:type="dxa"/>
            <w:vMerge w:val="restart"/>
            <w:tcBorders>
              <w:bottom w:val="single" w:sz="4" w:space="0" w:color="7F7F7F"/>
            </w:tcBorders>
            <w:shd w:val="clear" w:color="auto" w:fill="auto"/>
            <w:vAlign w:val="center"/>
          </w:tcPr>
          <w:p w14:paraId="23C671A1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Liquids</w:t>
            </w:r>
          </w:p>
        </w:tc>
        <w:tc>
          <w:tcPr>
            <w:tcW w:w="4353" w:type="dxa"/>
            <w:gridSpan w:val="3"/>
            <w:tcBorders>
              <w:bottom w:val="single" w:sz="4" w:space="0" w:color="7F7F7F"/>
            </w:tcBorders>
            <w:shd w:val="clear" w:color="auto" w:fill="auto"/>
            <w:vAlign w:val="center"/>
          </w:tcPr>
          <w:p w14:paraId="0F01EBFB" w14:textId="3E1AB4D1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Surface energy parameters (</w:t>
            </w:r>
            <w:proofErr w:type="spellStart"/>
            <w:r w:rsidRPr="00F63D22">
              <w:rPr>
                <w:rFonts w:asciiTheme="majorBidi" w:eastAsia="Times New Roman" w:hAnsiTheme="majorBidi" w:cstheme="majorBidi"/>
              </w:rPr>
              <w:t>mJ</w:t>
            </w:r>
            <w:proofErr w:type="spellEnd"/>
            <w:r w:rsidR="00F63D22">
              <w:rPr>
                <w:rFonts w:asciiTheme="majorBidi" w:eastAsia="Times New Roman" w:hAnsiTheme="majorBidi" w:cstheme="majorBidi"/>
                <w:lang w:val="da-GL"/>
              </w:rPr>
              <w:t xml:space="preserve"> </w:t>
            </w:r>
            <w:r w:rsidRPr="00F63D22">
              <w:rPr>
                <w:rFonts w:asciiTheme="majorBidi" w:eastAsia="Times New Roman" w:hAnsiTheme="majorBidi" w:cstheme="majorBidi"/>
              </w:rPr>
              <w:t>m</w:t>
            </w:r>
            <w:r w:rsidRPr="00F63D22">
              <w:rPr>
                <w:rFonts w:asciiTheme="majorBidi" w:hAnsiTheme="majorBidi" w:cstheme="majorBidi"/>
                <w:vertAlign w:val="superscript"/>
                <w:lang w:bidi="ar-MA"/>
              </w:rPr>
              <w:t>-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2</w:t>
            </w:r>
            <w:r w:rsidRPr="00F63D22">
              <w:rPr>
                <w:rFonts w:asciiTheme="majorBidi" w:hAnsiTheme="majorBidi" w:cstheme="majorBidi"/>
              </w:rPr>
              <w:t>)</w:t>
            </w:r>
          </w:p>
        </w:tc>
      </w:tr>
      <w:tr w:rsidR="007F10F7" w:rsidRPr="00F63D22" w14:paraId="795150D4" w14:textId="77777777" w:rsidTr="00306E6A">
        <w:trPr>
          <w:trHeight w:val="429"/>
        </w:trPr>
        <w:tc>
          <w:tcPr>
            <w:tcW w:w="3190" w:type="dxa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F1C57BB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5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D5EA63A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 xml:space="preserve">ϒ 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LW</w:t>
            </w:r>
          </w:p>
        </w:tc>
        <w:tc>
          <w:tcPr>
            <w:tcW w:w="18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31C04AB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ϒ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+</w:t>
            </w:r>
          </w:p>
        </w:tc>
        <w:tc>
          <w:tcPr>
            <w:tcW w:w="157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4EBE8DD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ϒ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-</w:t>
            </w:r>
          </w:p>
        </w:tc>
      </w:tr>
      <w:tr w:rsidR="007F10F7" w:rsidRPr="00F63D22" w14:paraId="22CC6AF9" w14:textId="77777777" w:rsidTr="00306E6A">
        <w:trPr>
          <w:trHeight w:val="414"/>
        </w:trPr>
        <w:tc>
          <w:tcPr>
            <w:tcW w:w="3190" w:type="dxa"/>
            <w:shd w:val="clear" w:color="auto" w:fill="auto"/>
          </w:tcPr>
          <w:p w14:paraId="3F96E075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Water (</w:t>
            </w:r>
            <w:proofErr w:type="spellStart"/>
            <w:r w:rsidRPr="00F63D22">
              <w:rPr>
                <w:rFonts w:asciiTheme="majorBidi" w:hAnsiTheme="majorBidi" w:cstheme="majorBidi"/>
              </w:rPr>
              <w:t>θ</w:t>
            </w:r>
            <w:r w:rsidRPr="00F63D22">
              <w:rPr>
                <w:rFonts w:asciiTheme="majorBidi" w:hAnsiTheme="majorBidi" w:cstheme="majorBidi"/>
                <w:vertAlign w:val="subscript"/>
              </w:rPr>
              <w:t>w</w:t>
            </w:r>
            <w:proofErr w:type="spellEnd"/>
            <w:r w:rsidRPr="00F63D2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57" w:type="dxa"/>
            <w:shd w:val="clear" w:color="auto" w:fill="auto"/>
          </w:tcPr>
          <w:p w14:paraId="1A2DC3B2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21.8</w:t>
            </w:r>
          </w:p>
        </w:tc>
        <w:tc>
          <w:tcPr>
            <w:tcW w:w="1822" w:type="dxa"/>
            <w:shd w:val="clear" w:color="auto" w:fill="auto"/>
          </w:tcPr>
          <w:p w14:paraId="68B93950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25.5</w:t>
            </w:r>
          </w:p>
        </w:tc>
        <w:tc>
          <w:tcPr>
            <w:tcW w:w="1573" w:type="dxa"/>
            <w:shd w:val="clear" w:color="auto" w:fill="auto"/>
          </w:tcPr>
          <w:p w14:paraId="24D88E00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25.5</w:t>
            </w:r>
          </w:p>
        </w:tc>
      </w:tr>
      <w:tr w:rsidR="007F10F7" w:rsidRPr="00F63D22" w14:paraId="6FEC6620" w14:textId="77777777" w:rsidTr="00306E6A">
        <w:trPr>
          <w:trHeight w:val="414"/>
        </w:trPr>
        <w:tc>
          <w:tcPr>
            <w:tcW w:w="31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7308530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Formamide (</w:t>
            </w:r>
            <w:proofErr w:type="spellStart"/>
            <w:r w:rsidRPr="00F63D22">
              <w:rPr>
                <w:rFonts w:asciiTheme="majorBidi" w:hAnsiTheme="majorBidi" w:cstheme="majorBidi"/>
              </w:rPr>
              <w:t>θ</w:t>
            </w:r>
            <w:r w:rsidRPr="00F63D22">
              <w:rPr>
                <w:rFonts w:asciiTheme="majorBidi" w:hAnsiTheme="majorBidi" w:cstheme="majorBidi"/>
                <w:vertAlign w:val="subscript"/>
              </w:rPr>
              <w:t>F</w:t>
            </w:r>
            <w:proofErr w:type="spellEnd"/>
            <w:r w:rsidRPr="00F63D2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5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B7234CA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38.7</w:t>
            </w:r>
          </w:p>
        </w:tc>
        <w:tc>
          <w:tcPr>
            <w:tcW w:w="182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760059F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157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9C46F3E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39.4</w:t>
            </w:r>
          </w:p>
        </w:tc>
      </w:tr>
      <w:tr w:rsidR="007F10F7" w:rsidRPr="00F63D22" w14:paraId="5544A59F" w14:textId="77777777" w:rsidTr="00306E6A">
        <w:trPr>
          <w:trHeight w:val="414"/>
        </w:trPr>
        <w:tc>
          <w:tcPr>
            <w:tcW w:w="3190" w:type="dxa"/>
            <w:shd w:val="clear" w:color="auto" w:fill="auto"/>
          </w:tcPr>
          <w:p w14:paraId="5B16DA33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Diiodomethane (</w:t>
            </w:r>
            <w:proofErr w:type="spellStart"/>
            <w:r w:rsidRPr="00F63D22">
              <w:rPr>
                <w:rFonts w:asciiTheme="majorBidi" w:hAnsiTheme="majorBidi" w:cstheme="majorBidi"/>
              </w:rPr>
              <w:t>θ</w:t>
            </w:r>
            <w:r w:rsidRPr="00F63D22">
              <w:rPr>
                <w:rFonts w:asciiTheme="majorBidi" w:hAnsiTheme="majorBidi" w:cstheme="majorBidi"/>
                <w:vertAlign w:val="subscript"/>
              </w:rPr>
              <w:t>D</w:t>
            </w:r>
            <w:proofErr w:type="spellEnd"/>
            <w:r w:rsidRPr="00F63D2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57" w:type="dxa"/>
            <w:shd w:val="clear" w:color="auto" w:fill="auto"/>
          </w:tcPr>
          <w:p w14:paraId="16BDCB0B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50.5</w:t>
            </w:r>
          </w:p>
        </w:tc>
        <w:tc>
          <w:tcPr>
            <w:tcW w:w="1822" w:type="dxa"/>
            <w:shd w:val="clear" w:color="auto" w:fill="auto"/>
          </w:tcPr>
          <w:p w14:paraId="0A2329C9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0.7</w:t>
            </w:r>
          </w:p>
        </w:tc>
        <w:tc>
          <w:tcPr>
            <w:tcW w:w="1573" w:type="dxa"/>
            <w:shd w:val="clear" w:color="auto" w:fill="auto"/>
          </w:tcPr>
          <w:p w14:paraId="0206ADC2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0</w:t>
            </w:r>
          </w:p>
        </w:tc>
      </w:tr>
    </w:tbl>
    <w:p w14:paraId="45929CCE" w14:textId="77777777" w:rsidR="007F10F7" w:rsidRPr="00F63D22" w:rsidRDefault="007F10F7" w:rsidP="007F10F7">
      <w:pPr>
        <w:spacing w:line="480" w:lineRule="auto"/>
        <w:rPr>
          <w:rFonts w:asciiTheme="majorBidi" w:hAnsiTheme="majorBidi" w:cstheme="majorBidi"/>
        </w:rPr>
        <w:sectPr w:rsidR="007F10F7" w:rsidRPr="00F63D22" w:rsidSect="00F63D22">
          <w:footerReference w:type="default" r:id="rId6"/>
          <w:type w:val="continuous"/>
          <w:pgSz w:w="12240" w:h="15840"/>
          <w:pgMar w:top="1417" w:right="1417" w:bottom="1417" w:left="1417" w:header="720" w:footer="720" w:gutter="0"/>
          <w:cols w:space="720"/>
          <w:docGrid w:linePitch="360"/>
        </w:sectPr>
      </w:pPr>
    </w:p>
    <w:p w14:paraId="249665BA" w14:textId="7C79EC91" w:rsidR="007F10F7" w:rsidRPr="00F63D22" w:rsidRDefault="007F10F7" w:rsidP="007F10F7">
      <w:pPr>
        <w:tabs>
          <w:tab w:val="left" w:pos="0"/>
        </w:tabs>
        <w:spacing w:line="480" w:lineRule="auto"/>
        <w:rPr>
          <w:rFonts w:asciiTheme="majorBidi" w:hAnsiTheme="majorBidi" w:cstheme="majorBidi"/>
        </w:rPr>
      </w:pPr>
      <w:r w:rsidRPr="00F63D22">
        <w:rPr>
          <w:rFonts w:asciiTheme="majorBidi" w:hAnsiTheme="majorBidi" w:cstheme="majorBidi"/>
        </w:rPr>
        <w:lastRenderedPageBreak/>
        <w:t>Table S</w:t>
      </w:r>
      <w:r w:rsidR="00F63D22" w:rsidRPr="00F63D22">
        <w:rPr>
          <w:rFonts w:asciiTheme="majorBidi" w:hAnsiTheme="majorBidi" w:cstheme="majorBidi"/>
          <w:lang w:val="da-GL"/>
        </w:rPr>
        <w:t>2</w:t>
      </w:r>
      <w:r w:rsidRPr="00F63D22">
        <w:rPr>
          <w:rFonts w:asciiTheme="majorBidi" w:hAnsiTheme="majorBidi" w:cstheme="majorBidi"/>
        </w:rPr>
        <w:t xml:space="preserve">. Variables and levels used in the screening design for factors affecting the biosorption capacity of AR14. </w:t>
      </w:r>
    </w:p>
    <w:tbl>
      <w:tblPr>
        <w:tblW w:w="11648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485"/>
        <w:gridCol w:w="513"/>
        <w:gridCol w:w="1446"/>
        <w:gridCol w:w="870"/>
        <w:gridCol w:w="2027"/>
        <w:gridCol w:w="2428"/>
        <w:gridCol w:w="1651"/>
        <w:gridCol w:w="1228"/>
      </w:tblGrid>
      <w:tr w:rsidR="007F10F7" w:rsidRPr="00F63D22" w14:paraId="213E16B2" w14:textId="77777777" w:rsidTr="00306E6A">
        <w:trPr>
          <w:trHeight w:val="227"/>
        </w:trPr>
        <w:tc>
          <w:tcPr>
            <w:tcW w:w="1485" w:type="dxa"/>
            <w:tcBorders>
              <w:bottom w:val="single" w:sz="4" w:space="0" w:color="7F7F7F"/>
            </w:tcBorders>
            <w:shd w:val="clear" w:color="auto" w:fill="auto"/>
          </w:tcPr>
          <w:p w14:paraId="38C950B6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Test variables</w:t>
            </w:r>
          </w:p>
        </w:tc>
        <w:tc>
          <w:tcPr>
            <w:tcW w:w="1959" w:type="dxa"/>
            <w:gridSpan w:val="2"/>
            <w:tcBorders>
              <w:bottom w:val="single" w:sz="4" w:space="0" w:color="7F7F7F"/>
            </w:tcBorders>
            <w:shd w:val="clear" w:color="auto" w:fill="auto"/>
          </w:tcPr>
          <w:p w14:paraId="1E2A1C2D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Temperature (ºC) (A)</w:t>
            </w:r>
          </w:p>
        </w:tc>
        <w:tc>
          <w:tcPr>
            <w:tcW w:w="870" w:type="dxa"/>
            <w:tcBorders>
              <w:bottom w:val="single" w:sz="4" w:space="0" w:color="7F7F7F"/>
            </w:tcBorders>
            <w:shd w:val="clear" w:color="auto" w:fill="auto"/>
          </w:tcPr>
          <w:p w14:paraId="5087BDD1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pH (B)</w:t>
            </w:r>
          </w:p>
        </w:tc>
        <w:tc>
          <w:tcPr>
            <w:tcW w:w="2027" w:type="dxa"/>
            <w:tcBorders>
              <w:bottom w:val="single" w:sz="4" w:space="0" w:color="7F7F7F"/>
            </w:tcBorders>
            <w:shd w:val="clear" w:color="auto" w:fill="auto"/>
          </w:tcPr>
          <w:p w14:paraId="0289E21B" w14:textId="4EE39447" w:rsidR="007F10F7" w:rsidRPr="00F63D22" w:rsidRDefault="007F10F7" w:rsidP="00306E6A">
            <w:pPr>
              <w:tabs>
                <w:tab w:val="left" w:pos="0"/>
              </w:tabs>
              <w:spacing w:line="480" w:lineRule="auto"/>
              <w:ind w:left="-118" w:right="-109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Yeast dosage (g</w:t>
            </w:r>
            <w:r w:rsidR="00F63D22">
              <w:rPr>
                <w:rFonts w:asciiTheme="majorBidi" w:hAnsiTheme="majorBidi" w:cstheme="majorBidi"/>
                <w:lang w:val="da-GL"/>
              </w:rPr>
              <w:t xml:space="preserve"> </w:t>
            </w:r>
            <w:r w:rsidRPr="00F63D22">
              <w:rPr>
                <w:rFonts w:asciiTheme="majorBidi" w:hAnsiTheme="majorBidi" w:cstheme="majorBidi"/>
              </w:rPr>
              <w:t>L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-1</w:t>
            </w:r>
            <w:r w:rsidRPr="00F63D22">
              <w:rPr>
                <w:rFonts w:asciiTheme="majorBidi" w:hAnsiTheme="majorBidi" w:cstheme="majorBidi"/>
              </w:rPr>
              <w:t>) (C)</w:t>
            </w:r>
          </w:p>
        </w:tc>
        <w:tc>
          <w:tcPr>
            <w:tcW w:w="2428" w:type="dxa"/>
            <w:tcBorders>
              <w:bottom w:val="single" w:sz="4" w:space="0" w:color="7F7F7F"/>
            </w:tcBorders>
            <w:shd w:val="clear" w:color="auto" w:fill="auto"/>
          </w:tcPr>
          <w:p w14:paraId="7EB3DDDA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Shaking speed (rpm) (D)</w:t>
            </w:r>
          </w:p>
        </w:tc>
        <w:tc>
          <w:tcPr>
            <w:tcW w:w="1651" w:type="dxa"/>
            <w:tcBorders>
              <w:bottom w:val="single" w:sz="4" w:space="0" w:color="7F7F7F"/>
            </w:tcBorders>
            <w:shd w:val="clear" w:color="auto" w:fill="auto"/>
          </w:tcPr>
          <w:p w14:paraId="5552EF4E" w14:textId="0BBC57BD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Dye (mg L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-1</w:t>
            </w:r>
            <w:r w:rsidRPr="00F63D22">
              <w:rPr>
                <w:rFonts w:asciiTheme="majorBidi" w:hAnsiTheme="majorBidi" w:cstheme="majorBidi"/>
              </w:rPr>
              <w:t>) (E)</w:t>
            </w:r>
          </w:p>
        </w:tc>
        <w:tc>
          <w:tcPr>
            <w:tcW w:w="1228" w:type="dxa"/>
            <w:tcBorders>
              <w:bottom w:val="single" w:sz="4" w:space="0" w:color="7F7F7F"/>
            </w:tcBorders>
            <w:shd w:val="clear" w:color="auto" w:fill="auto"/>
          </w:tcPr>
          <w:p w14:paraId="69B35E85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Time (h) (F)</w:t>
            </w:r>
          </w:p>
        </w:tc>
      </w:tr>
      <w:tr w:rsidR="007F10F7" w:rsidRPr="00F63D22" w14:paraId="7599E8A3" w14:textId="77777777" w:rsidTr="00306E6A">
        <w:trPr>
          <w:trHeight w:val="104"/>
        </w:trPr>
        <w:tc>
          <w:tcPr>
            <w:tcW w:w="1998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5F9603C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Low level (-)</w:t>
            </w:r>
          </w:p>
        </w:tc>
        <w:tc>
          <w:tcPr>
            <w:tcW w:w="144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AEDD921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1AFA015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02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99CF7FB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eastAsia="Times New Roman" w:hAnsiTheme="majorBidi" w:cstheme="majorBidi"/>
              </w:rPr>
              <w:t>0.5</w:t>
            </w:r>
          </w:p>
        </w:tc>
        <w:tc>
          <w:tcPr>
            <w:tcW w:w="242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5E2346D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65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201F4B7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122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015F662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</w:t>
            </w:r>
          </w:p>
        </w:tc>
      </w:tr>
      <w:tr w:rsidR="007F10F7" w:rsidRPr="00F63D22" w14:paraId="605D8790" w14:textId="77777777" w:rsidTr="00306E6A">
        <w:trPr>
          <w:trHeight w:val="115"/>
        </w:trPr>
        <w:tc>
          <w:tcPr>
            <w:tcW w:w="1998" w:type="dxa"/>
            <w:gridSpan w:val="2"/>
            <w:shd w:val="clear" w:color="auto" w:fill="auto"/>
          </w:tcPr>
          <w:p w14:paraId="2C7EA9A8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High level (+)</w:t>
            </w:r>
          </w:p>
        </w:tc>
        <w:tc>
          <w:tcPr>
            <w:tcW w:w="1445" w:type="dxa"/>
            <w:shd w:val="clear" w:color="auto" w:fill="auto"/>
          </w:tcPr>
          <w:p w14:paraId="123F5000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870" w:type="dxa"/>
            <w:shd w:val="clear" w:color="auto" w:fill="auto"/>
          </w:tcPr>
          <w:p w14:paraId="21ECCBCC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027" w:type="dxa"/>
            <w:shd w:val="clear" w:color="auto" w:fill="auto"/>
          </w:tcPr>
          <w:p w14:paraId="145302A4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2428" w:type="dxa"/>
            <w:shd w:val="clear" w:color="auto" w:fill="auto"/>
          </w:tcPr>
          <w:p w14:paraId="4F990387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651" w:type="dxa"/>
            <w:shd w:val="clear" w:color="auto" w:fill="auto"/>
          </w:tcPr>
          <w:p w14:paraId="3C29237E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1228" w:type="dxa"/>
            <w:shd w:val="clear" w:color="auto" w:fill="auto"/>
          </w:tcPr>
          <w:p w14:paraId="11435D43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8</w:t>
            </w:r>
          </w:p>
        </w:tc>
      </w:tr>
    </w:tbl>
    <w:p w14:paraId="7F26904D" w14:textId="77777777" w:rsidR="007F10F7" w:rsidRPr="00F63D22" w:rsidRDefault="007F10F7" w:rsidP="007F10F7">
      <w:pPr>
        <w:spacing w:line="480" w:lineRule="auto"/>
        <w:rPr>
          <w:rFonts w:asciiTheme="majorBidi" w:hAnsiTheme="majorBidi" w:cstheme="majorBidi"/>
        </w:rPr>
        <w:sectPr w:rsidR="007F10F7" w:rsidRPr="00F63D22" w:rsidSect="00F63D22">
          <w:pgSz w:w="15840" w:h="12240" w:orient="landscape"/>
          <w:pgMar w:top="1417" w:right="1417" w:bottom="1417" w:left="1417" w:header="720" w:footer="720" w:gutter="0"/>
          <w:cols w:space="720"/>
          <w:docGrid w:linePitch="360"/>
        </w:sectPr>
      </w:pPr>
    </w:p>
    <w:p w14:paraId="057AD6E2" w14:textId="7139093D" w:rsidR="007F10F7" w:rsidRPr="00F63D22" w:rsidRDefault="007F10F7" w:rsidP="007F10F7">
      <w:pPr>
        <w:tabs>
          <w:tab w:val="left" w:pos="0"/>
        </w:tabs>
        <w:spacing w:line="480" w:lineRule="auto"/>
        <w:rPr>
          <w:rFonts w:asciiTheme="majorBidi" w:hAnsiTheme="majorBidi" w:cstheme="majorBidi"/>
        </w:rPr>
      </w:pPr>
      <w:r w:rsidRPr="00F63D22">
        <w:rPr>
          <w:rFonts w:asciiTheme="majorBidi" w:hAnsiTheme="majorBidi" w:cstheme="majorBidi"/>
        </w:rPr>
        <w:lastRenderedPageBreak/>
        <w:t>Table S</w:t>
      </w:r>
      <w:r w:rsidR="00F63D22" w:rsidRPr="00F63D22">
        <w:rPr>
          <w:rFonts w:asciiTheme="majorBidi" w:hAnsiTheme="majorBidi" w:cstheme="majorBidi"/>
          <w:lang w:val="da-GL"/>
        </w:rPr>
        <w:t>3</w:t>
      </w:r>
      <w:r w:rsidRPr="00F63D22">
        <w:rPr>
          <w:rFonts w:asciiTheme="majorBidi" w:hAnsiTheme="majorBidi" w:cstheme="majorBidi"/>
        </w:rPr>
        <w:t>. Process variables used in Box-Behnken design, with 3 design factors and one optimization parameters</w:t>
      </w:r>
    </w:p>
    <w:tbl>
      <w:tblPr>
        <w:tblW w:w="9271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3309"/>
        <w:gridCol w:w="1491"/>
        <w:gridCol w:w="1491"/>
        <w:gridCol w:w="1097"/>
        <w:gridCol w:w="1056"/>
        <w:gridCol w:w="827"/>
      </w:tblGrid>
      <w:tr w:rsidR="007F10F7" w:rsidRPr="00F63D22" w14:paraId="163DDD95" w14:textId="77777777" w:rsidTr="00306E6A">
        <w:trPr>
          <w:trHeight w:val="219"/>
        </w:trPr>
        <w:tc>
          <w:tcPr>
            <w:tcW w:w="3309" w:type="dxa"/>
            <w:tcBorders>
              <w:bottom w:val="single" w:sz="4" w:space="0" w:color="7F7F7F"/>
            </w:tcBorders>
            <w:shd w:val="clear" w:color="auto" w:fill="auto"/>
          </w:tcPr>
          <w:p w14:paraId="549247C9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 xml:space="preserve">Name </w:t>
            </w:r>
          </w:p>
        </w:tc>
        <w:tc>
          <w:tcPr>
            <w:tcW w:w="1491" w:type="dxa"/>
            <w:tcBorders>
              <w:bottom w:val="single" w:sz="4" w:space="0" w:color="7F7F7F"/>
            </w:tcBorders>
            <w:shd w:val="clear" w:color="auto" w:fill="auto"/>
          </w:tcPr>
          <w:p w14:paraId="0AD8BFE4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 xml:space="preserve">Units </w:t>
            </w:r>
          </w:p>
        </w:tc>
        <w:tc>
          <w:tcPr>
            <w:tcW w:w="1491" w:type="dxa"/>
            <w:tcBorders>
              <w:bottom w:val="single" w:sz="4" w:space="0" w:color="7F7F7F"/>
            </w:tcBorders>
            <w:shd w:val="clear" w:color="auto" w:fill="auto"/>
          </w:tcPr>
          <w:p w14:paraId="38464773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 xml:space="preserve">Type </w:t>
            </w:r>
          </w:p>
        </w:tc>
        <w:tc>
          <w:tcPr>
            <w:tcW w:w="1097" w:type="dxa"/>
            <w:tcBorders>
              <w:bottom w:val="single" w:sz="4" w:space="0" w:color="7F7F7F"/>
            </w:tcBorders>
            <w:shd w:val="clear" w:color="auto" w:fill="auto"/>
          </w:tcPr>
          <w:p w14:paraId="7B2FD466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056" w:type="dxa"/>
            <w:tcBorders>
              <w:bottom w:val="single" w:sz="4" w:space="0" w:color="7F7F7F"/>
            </w:tcBorders>
            <w:shd w:val="clear" w:color="auto" w:fill="auto"/>
          </w:tcPr>
          <w:p w14:paraId="74F45426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827" w:type="dxa"/>
            <w:tcBorders>
              <w:bottom w:val="single" w:sz="4" w:space="0" w:color="7F7F7F"/>
            </w:tcBorders>
            <w:shd w:val="clear" w:color="auto" w:fill="auto"/>
          </w:tcPr>
          <w:p w14:paraId="5C4D22D3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+1</w:t>
            </w:r>
          </w:p>
        </w:tc>
      </w:tr>
      <w:tr w:rsidR="007F10F7" w:rsidRPr="00F63D22" w14:paraId="13074C5D" w14:textId="77777777" w:rsidTr="00306E6A">
        <w:trPr>
          <w:trHeight w:val="219"/>
        </w:trPr>
        <w:tc>
          <w:tcPr>
            <w:tcW w:w="33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E6A6A4E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ind w:right="-363"/>
              <w:rPr>
                <w:rFonts w:asciiTheme="majorBidi" w:hAnsiTheme="majorBidi" w:cstheme="majorBidi"/>
              </w:rPr>
            </w:pPr>
            <w:bookmarkStart w:id="0" w:name="_Hlk55474032"/>
            <w:r w:rsidRPr="00F63D22">
              <w:rPr>
                <w:rFonts w:asciiTheme="majorBidi" w:hAnsiTheme="majorBidi" w:cstheme="majorBidi"/>
              </w:rPr>
              <w:t>Dye concentration (A)</w:t>
            </w:r>
          </w:p>
        </w:tc>
        <w:tc>
          <w:tcPr>
            <w:tcW w:w="149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37D0F9F" w14:textId="12FFCFB6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mg</w:t>
            </w:r>
            <w:r w:rsidR="00F63D22">
              <w:rPr>
                <w:rFonts w:asciiTheme="majorBidi" w:hAnsiTheme="majorBidi" w:cstheme="majorBidi"/>
                <w:lang w:val="da-GL"/>
              </w:rPr>
              <w:t xml:space="preserve"> </w:t>
            </w:r>
            <w:r w:rsidRPr="00F63D22">
              <w:rPr>
                <w:rFonts w:asciiTheme="majorBidi" w:hAnsiTheme="majorBidi" w:cstheme="majorBidi"/>
              </w:rPr>
              <w:t>L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-1</w:t>
            </w:r>
          </w:p>
        </w:tc>
        <w:tc>
          <w:tcPr>
            <w:tcW w:w="149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FCD2612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09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C3A5C2D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105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5EF09CE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82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E580D68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200</w:t>
            </w:r>
          </w:p>
        </w:tc>
      </w:tr>
      <w:tr w:rsidR="007F10F7" w:rsidRPr="00F63D22" w14:paraId="451117F9" w14:textId="77777777" w:rsidTr="00306E6A">
        <w:trPr>
          <w:trHeight w:val="248"/>
        </w:trPr>
        <w:tc>
          <w:tcPr>
            <w:tcW w:w="3309" w:type="dxa"/>
            <w:shd w:val="clear" w:color="auto" w:fill="auto"/>
          </w:tcPr>
          <w:p w14:paraId="1A094FBF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ind w:right="-363"/>
              <w:rPr>
                <w:rFonts w:asciiTheme="majorBidi" w:hAnsiTheme="majorBidi" w:cstheme="majorBidi"/>
              </w:rPr>
            </w:pPr>
            <w:bookmarkStart w:id="1" w:name="_Hlk56105560"/>
            <w:r w:rsidRPr="00F63D22">
              <w:rPr>
                <w:rFonts w:asciiTheme="majorBidi" w:hAnsiTheme="majorBidi" w:cstheme="majorBidi"/>
              </w:rPr>
              <w:t xml:space="preserve">Biomass dosage </w:t>
            </w:r>
            <w:bookmarkEnd w:id="1"/>
            <w:r w:rsidRPr="00F63D22">
              <w:rPr>
                <w:rFonts w:asciiTheme="majorBidi" w:hAnsiTheme="majorBidi" w:cstheme="majorBidi"/>
              </w:rPr>
              <w:t>(B)</w:t>
            </w:r>
          </w:p>
        </w:tc>
        <w:tc>
          <w:tcPr>
            <w:tcW w:w="1491" w:type="dxa"/>
            <w:shd w:val="clear" w:color="auto" w:fill="auto"/>
          </w:tcPr>
          <w:p w14:paraId="7245228F" w14:textId="74BCCDF8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g</w:t>
            </w:r>
            <w:r w:rsidR="00F63D22">
              <w:rPr>
                <w:rFonts w:asciiTheme="majorBidi" w:hAnsiTheme="majorBidi" w:cstheme="majorBidi"/>
                <w:lang w:val="da-GL"/>
              </w:rPr>
              <w:t xml:space="preserve"> </w:t>
            </w:r>
            <w:r w:rsidRPr="00F63D22">
              <w:rPr>
                <w:rFonts w:asciiTheme="majorBidi" w:hAnsiTheme="majorBidi" w:cstheme="majorBidi"/>
              </w:rPr>
              <w:t>L</w:t>
            </w:r>
            <w:r w:rsidRPr="00F63D22">
              <w:rPr>
                <w:rFonts w:asciiTheme="majorBidi" w:hAnsiTheme="majorBidi" w:cstheme="majorBidi"/>
                <w:vertAlign w:val="superscript"/>
              </w:rPr>
              <w:t>-1</w:t>
            </w:r>
          </w:p>
        </w:tc>
        <w:tc>
          <w:tcPr>
            <w:tcW w:w="1491" w:type="dxa"/>
            <w:shd w:val="clear" w:color="auto" w:fill="auto"/>
          </w:tcPr>
          <w:p w14:paraId="614BAF6C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097" w:type="dxa"/>
            <w:shd w:val="clear" w:color="auto" w:fill="auto"/>
          </w:tcPr>
          <w:p w14:paraId="2F95BC98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eastAsia="Times New Roman" w:hAnsiTheme="majorBidi" w:cstheme="majorBidi"/>
                <w:lang w:eastAsia="fr-MA"/>
              </w:rPr>
              <w:t>0.5</w:t>
            </w:r>
          </w:p>
        </w:tc>
        <w:tc>
          <w:tcPr>
            <w:tcW w:w="1056" w:type="dxa"/>
            <w:shd w:val="clear" w:color="auto" w:fill="auto"/>
          </w:tcPr>
          <w:p w14:paraId="1E70DE73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eastAsia="Times New Roman" w:hAnsiTheme="majorBidi" w:cstheme="majorBidi"/>
                <w:lang w:eastAsia="fr-MA"/>
              </w:rPr>
              <w:t>1</w:t>
            </w:r>
          </w:p>
        </w:tc>
        <w:tc>
          <w:tcPr>
            <w:tcW w:w="827" w:type="dxa"/>
            <w:shd w:val="clear" w:color="auto" w:fill="auto"/>
          </w:tcPr>
          <w:p w14:paraId="6B12A356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eastAsia="Times New Roman" w:hAnsiTheme="majorBidi" w:cstheme="majorBidi"/>
                <w:lang w:eastAsia="fr-MA"/>
              </w:rPr>
              <w:t>2</w:t>
            </w:r>
          </w:p>
        </w:tc>
      </w:tr>
      <w:tr w:rsidR="007F10F7" w:rsidRPr="00F63D22" w14:paraId="12F10CD0" w14:textId="77777777" w:rsidTr="00306E6A">
        <w:trPr>
          <w:trHeight w:val="219"/>
        </w:trPr>
        <w:tc>
          <w:tcPr>
            <w:tcW w:w="33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BD17D81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ind w:right="-363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pH (C)</w:t>
            </w:r>
          </w:p>
        </w:tc>
        <w:tc>
          <w:tcPr>
            <w:tcW w:w="149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EC893BB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---</w:t>
            </w:r>
          </w:p>
        </w:tc>
        <w:tc>
          <w:tcPr>
            <w:tcW w:w="149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FD84CEB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09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80BA112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05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12F173E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82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69B67FD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7</w:t>
            </w:r>
          </w:p>
        </w:tc>
      </w:tr>
      <w:bookmarkEnd w:id="0"/>
      <w:tr w:rsidR="007F10F7" w:rsidRPr="004C5386" w14:paraId="4C211479" w14:textId="77777777" w:rsidTr="00306E6A">
        <w:trPr>
          <w:trHeight w:val="219"/>
        </w:trPr>
        <w:tc>
          <w:tcPr>
            <w:tcW w:w="3309" w:type="dxa"/>
            <w:shd w:val="clear" w:color="auto" w:fill="auto"/>
          </w:tcPr>
          <w:p w14:paraId="44853381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ind w:right="-363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Decolorization (D%)</w:t>
            </w:r>
          </w:p>
        </w:tc>
        <w:tc>
          <w:tcPr>
            <w:tcW w:w="1491" w:type="dxa"/>
            <w:shd w:val="clear" w:color="auto" w:fill="auto"/>
          </w:tcPr>
          <w:p w14:paraId="4515AF51" w14:textId="77777777" w:rsidR="007F10F7" w:rsidRPr="00F63D22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1491" w:type="dxa"/>
            <w:shd w:val="clear" w:color="auto" w:fill="auto"/>
          </w:tcPr>
          <w:p w14:paraId="6BF37F1B" w14:textId="77777777" w:rsidR="007F10F7" w:rsidRPr="004C5386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  <w:r w:rsidRPr="00F63D22">
              <w:rPr>
                <w:rFonts w:asciiTheme="majorBidi" w:hAnsiTheme="majorBidi" w:cstheme="majorBidi"/>
              </w:rPr>
              <w:t>Response</w:t>
            </w:r>
          </w:p>
        </w:tc>
        <w:tc>
          <w:tcPr>
            <w:tcW w:w="1097" w:type="dxa"/>
            <w:shd w:val="clear" w:color="auto" w:fill="auto"/>
          </w:tcPr>
          <w:p w14:paraId="77600FFD" w14:textId="77777777" w:rsidR="007F10F7" w:rsidRPr="004C5386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56" w:type="dxa"/>
            <w:shd w:val="clear" w:color="auto" w:fill="auto"/>
          </w:tcPr>
          <w:p w14:paraId="3B524D61" w14:textId="77777777" w:rsidR="007F10F7" w:rsidRPr="004C5386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27" w:type="dxa"/>
            <w:shd w:val="clear" w:color="auto" w:fill="auto"/>
          </w:tcPr>
          <w:p w14:paraId="5F6F4E70" w14:textId="77777777" w:rsidR="007F10F7" w:rsidRPr="004C5386" w:rsidRDefault="007F10F7" w:rsidP="00306E6A">
            <w:pPr>
              <w:tabs>
                <w:tab w:val="left" w:pos="0"/>
              </w:tabs>
              <w:spacing w:line="480" w:lineRule="auto"/>
              <w:rPr>
                <w:rFonts w:asciiTheme="majorBidi" w:hAnsiTheme="majorBidi" w:cstheme="majorBidi"/>
              </w:rPr>
            </w:pPr>
          </w:p>
        </w:tc>
      </w:tr>
    </w:tbl>
    <w:p w14:paraId="2C1B547A" w14:textId="77777777" w:rsidR="007F10F7" w:rsidRPr="004C5386" w:rsidRDefault="007F10F7" w:rsidP="007F10F7">
      <w:pPr>
        <w:spacing w:line="480" w:lineRule="auto"/>
        <w:rPr>
          <w:rFonts w:asciiTheme="majorBidi" w:hAnsiTheme="majorBidi" w:cstheme="majorBidi"/>
        </w:rPr>
      </w:pPr>
    </w:p>
    <w:p w14:paraId="0517C771" w14:textId="77777777" w:rsidR="006E03BE" w:rsidRDefault="006E03BE"/>
    <w:sectPr w:rsidR="006E03BE" w:rsidSect="00F63D22">
      <w:type w:val="continuous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7516A" w14:textId="77777777" w:rsidR="00C05181" w:rsidRDefault="00C05181">
      <w:r>
        <w:separator/>
      </w:r>
    </w:p>
  </w:endnote>
  <w:endnote w:type="continuationSeparator" w:id="0">
    <w:p w14:paraId="710646F0" w14:textId="77777777" w:rsidR="00C05181" w:rsidRDefault="00C05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4A317" w14:textId="77777777" w:rsidR="00FB483E" w:rsidRPr="006D7B91" w:rsidRDefault="00C05181" w:rsidP="00FB483E">
    <w:pPr>
      <w:pStyle w:val="Pieddepage"/>
      <w:ind w:left="9204" w:hanging="9204"/>
      <w:jc w:val="center"/>
      <w:rPr>
        <w:rFonts w:ascii="Times New Roman" w:hAnsi="Times New Roman"/>
        <w:caps/>
        <w:sz w:val="24"/>
        <w:szCs w:val="24"/>
      </w:rPr>
    </w:pPr>
  </w:p>
  <w:p w14:paraId="0E7169DF" w14:textId="77777777" w:rsidR="00FB483E" w:rsidRPr="006D7B91" w:rsidRDefault="00C05181" w:rsidP="00FB483E">
    <w:pPr>
      <w:pStyle w:val="Pieddepage"/>
      <w:ind w:left="9204" w:hanging="9204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BAA5D" w14:textId="77777777" w:rsidR="00C05181" w:rsidRDefault="00C05181">
      <w:r>
        <w:separator/>
      </w:r>
    </w:p>
  </w:footnote>
  <w:footnote w:type="continuationSeparator" w:id="0">
    <w:p w14:paraId="665134E6" w14:textId="77777777" w:rsidR="00C05181" w:rsidRDefault="00C05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0F7"/>
    <w:rsid w:val="00193389"/>
    <w:rsid w:val="00326E0E"/>
    <w:rsid w:val="006E03BE"/>
    <w:rsid w:val="007917EF"/>
    <w:rsid w:val="007B140C"/>
    <w:rsid w:val="007F10F7"/>
    <w:rsid w:val="00C05181"/>
    <w:rsid w:val="00F6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746D2"/>
  <w15:chartTrackingRefBased/>
  <w15:docId w15:val="{5CBFB560-968F-4EFB-B780-A77E5A67B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0F7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7F10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PieddepageCar">
    <w:name w:val="Pied de page Car"/>
    <w:basedOn w:val="Policepardfaut"/>
    <w:link w:val="Pieddepage"/>
    <w:uiPriority w:val="99"/>
    <w:rsid w:val="007F10F7"/>
    <w:rPr>
      <w:rFonts w:eastAsiaTheme="minorEastAsia"/>
      <w:kern w:val="2"/>
      <w:sz w:val="20"/>
      <w:szCs w:val="20"/>
      <w:lang w:val="en-US" w:eastAsia="ja-JP"/>
    </w:rPr>
  </w:style>
  <w:style w:type="character" w:styleId="Numrodeligne">
    <w:name w:val="line number"/>
    <w:basedOn w:val="Policepardfaut"/>
    <w:uiPriority w:val="99"/>
    <w:semiHidden/>
    <w:unhideWhenUsed/>
    <w:rsid w:val="007F1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138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Danouche</dc:creator>
  <cp:keywords/>
  <dc:description/>
  <cp:lastModifiedBy>Mohammed Danouche</cp:lastModifiedBy>
  <cp:revision>2</cp:revision>
  <dcterms:created xsi:type="dcterms:W3CDTF">2021-04-20T21:50:00Z</dcterms:created>
  <dcterms:modified xsi:type="dcterms:W3CDTF">2021-04-20T22:54:00Z</dcterms:modified>
</cp:coreProperties>
</file>