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8AECE">
      <w:pPr>
        <w:keepNext/>
        <w:keepLines/>
        <w:widowControl/>
        <w:spacing w:before="299" w:after="299" w:line="278" w:lineRule="auto"/>
        <w:outlineLvl w:val="1"/>
        <w:rPr>
          <w:rFonts w:ascii="Times New Roman" w:hAnsi="Times New Roman" w:eastAsia="Times New Roman" w:cs="Times New Roman"/>
          <w:b/>
          <w:kern w:val="2"/>
          <w:sz w:val="24"/>
          <w:szCs w:val="24"/>
          <w:u w:val="single"/>
          <w14:ligatures w14:val="standardContextual"/>
        </w:rPr>
      </w:pPr>
      <w:r>
        <w:rPr>
          <w:rFonts w:hint="default" w:ascii="Times New Roman" w:hAnsi="Times New Roman" w:eastAsia="Times New Roman" w:cs="Times New Roman"/>
          <w:b/>
          <w:kern w:val="2"/>
          <w:sz w:val="24"/>
          <w:szCs w:val="24"/>
          <w:u w:val="none"/>
          <w:lang w:val="en-US"/>
          <w14:ligatures w14:val="standardContextual"/>
        </w:rPr>
        <w:t xml:space="preserve">                                </w:t>
      </w:r>
      <w:r>
        <w:rPr>
          <w:rFonts w:hint="default" w:ascii="Times New Roman" w:hAnsi="Times New Roman" w:eastAsia="Times New Roman" w:cs="Times New Roman"/>
          <w:b/>
          <w:kern w:val="2"/>
          <w:sz w:val="24"/>
          <w:szCs w:val="24"/>
          <w:u w:val="single"/>
          <w:lang w:val="en-US"/>
          <w14:ligatures w14:val="standardContextual"/>
        </w:rPr>
        <w:t xml:space="preserve"> Supplementary Material</w:t>
      </w:r>
    </w:p>
    <w:p w14:paraId="717CAC2A">
      <w:pPr>
        <w:keepNext/>
        <w:keepLines/>
        <w:widowControl/>
        <w:spacing w:before="299" w:after="299" w:line="278" w:lineRule="auto"/>
        <w:outlineLvl w:val="1"/>
        <w:rPr>
          <w:rFonts w:ascii="Times New Roman" w:hAnsi="Times New Roman" w:eastAsia="Times New Roman" w:cs="Times New Roman"/>
          <w:b/>
          <w:kern w:val="2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 w:eastAsia="Times New Roman" w:cs="Times New Roman"/>
          <w:b/>
          <w:kern w:val="2"/>
          <w:sz w:val="24"/>
          <w:szCs w:val="24"/>
          <w:u w:val="single"/>
          <w14:ligatures w14:val="standardContextual"/>
        </w:rPr>
        <w:t>Supplementary Figures – Posterior predictive checks</w:t>
      </w:r>
    </w:p>
    <w:p w14:paraId="56E5CC7B">
      <w:pPr>
        <w:keepNext/>
        <w:keepLines/>
        <w:widowControl/>
        <w:spacing w:before="281" w:after="281" w:line="278" w:lineRule="auto"/>
        <w:outlineLvl w:val="2"/>
        <w:rPr>
          <w:rFonts w:ascii="Times New Roman" w:hAnsi="Times New Roman" w:eastAsia="Times New Roman" w:cs="Times New Roman"/>
          <w:b/>
          <w:kern w:val="2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 w:eastAsia="Times New Roman" w:cs="Times New Roman"/>
          <w:b/>
          <w:kern w:val="2"/>
          <w:sz w:val="24"/>
          <w:szCs w:val="24"/>
          <w:u w:val="single"/>
          <w14:ligatures w14:val="standardContextual"/>
        </w:rPr>
        <w:t xml:space="preserve">Fig. S1 Posterior predictive distributions of overall RED Ratio means </w:t>
      </w:r>
    </w:p>
    <w:p w14:paraId="48E26306">
      <w:pPr>
        <w:widowControl/>
        <w:spacing w:after="160" w:line="278" w:lineRule="auto"/>
        <w:rPr>
          <w:rFonts w:ascii="SimSun" w:hAnsi="SimSun" w:eastAsia="SimSun" w:cs="SimSun"/>
          <w:sz w:val="24"/>
          <w:szCs w:val="24"/>
        </w:rPr>
      </w:pPr>
      <w:r>
        <w:drawing>
          <wp:inline distT="0" distB="0" distL="0" distR="0">
            <wp:extent cx="5943600" cy="3610610"/>
            <wp:effectExtent l="0" t="0" r="0" b="21590"/>
            <wp:docPr id="93388787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887876" name="drawi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SimSun" w:hAnsi="SimSun" w:eastAsia="SimSun" w:cs="SimSun"/>
          <w:sz w:val="24"/>
          <w:szCs w:val="24"/>
        </w:rPr>
        <w:t xml:space="preserve"> </w:t>
      </w:r>
    </w:p>
    <w:p w14:paraId="2FFDBCF0">
      <w:pPr>
        <w:keepNext/>
        <w:keepLines/>
        <w:widowControl/>
        <w:spacing w:before="281" w:after="281"/>
        <w:outlineLvl w:val="2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kern w:val="2"/>
          <w:sz w:val="20"/>
          <w:szCs w:val="20"/>
          <w14:ligatures w14:val="standardContextual"/>
        </w:rPr>
        <w:t xml:space="preserve">Fig. S1 Posterior predictive distributions of overall RED Ratio means </w:t>
      </w:r>
    </w:p>
    <w:p w14:paraId="34462246">
      <w:pPr>
        <w:widowControl/>
        <w:numPr>
          <w:ilvl w:val="0"/>
          <w:numId w:val="1"/>
        </w:numPr>
        <w:spacing w:after="160" w:line="480" w:lineRule="auto"/>
        <w:jc w:val="both"/>
        <w:rPr>
          <w:rFonts w:ascii="Times New Roman Regular" w:hAnsi="Times New Roman Regular" w:cs="Times New Roman Regular"/>
          <w:sz w:val="24"/>
          <w:szCs w:val="24"/>
          <w:vertAlign w:val="superscript"/>
        </w:rPr>
      </w:pPr>
      <w:r>
        <w:rPr>
          <w:rFonts w:ascii="Times New Roman Regular" w:hAnsi="Times New Roman Regular" w:cs="Times New Roman Regular"/>
          <w:sz w:val="24"/>
          <w:szCs w:val="24"/>
          <w:vertAlign w:val="superscript"/>
        </w:rPr>
        <w:t>Posterior predictive distributions were obtained from intercept-only Bayesian normal models fitted to averaged lateral incisor/central incisor (LI/CI) and canine/lateral incisor (Canine/LI) RED ratios.</w:t>
      </w:r>
    </w:p>
    <w:p w14:paraId="019D9E2B">
      <w:pPr>
        <w:widowControl/>
        <w:numPr>
          <w:ilvl w:val="0"/>
          <w:numId w:val="1"/>
        </w:numPr>
        <w:spacing w:after="160" w:line="480" w:lineRule="auto"/>
        <w:jc w:val="both"/>
        <w:rPr>
          <w:rFonts w:ascii="Times New Roman Regular" w:hAnsi="Times New Roman Regular" w:cs="Times New Roman Regular"/>
          <w:sz w:val="24"/>
          <w:szCs w:val="24"/>
          <w:vertAlign w:val="superscript"/>
        </w:rPr>
      </w:pPr>
      <w:r>
        <w:rPr>
          <w:rFonts w:ascii="Times New Roman Regular" w:hAnsi="Times New Roman Regular" w:cs="Times New Roman Regular"/>
          <w:sz w:val="24"/>
          <w:szCs w:val="24"/>
          <w:vertAlign w:val="superscript"/>
        </w:rPr>
        <w:t>Density plots represent posterior predictive sample means generated from replicated datasets, with vertical lines indicating the observed sample means.</w:t>
      </w:r>
    </w:p>
    <w:p w14:paraId="15D28BEE">
      <w:pPr>
        <w:pStyle w:val="5"/>
        <w:numPr>
          <w:ilvl w:val="0"/>
          <w:numId w:val="0"/>
        </w:numPr>
        <w:spacing w:line="480" w:lineRule="auto"/>
        <w:ind w:leftChars="0"/>
        <w:jc w:val="both"/>
        <w:rPr>
          <w:rFonts w:ascii="Times New Roman" w:hAnsi="Times New Roman" w:eastAsia="Times New Roman" w:cs="Times New Roman"/>
          <w:b/>
          <w:kern w:val="2"/>
          <w:sz w:val="24"/>
          <w:szCs w:val="24"/>
          <w:u w:val="single"/>
          <w14:ligatures w14:val="standardContextual"/>
        </w:rPr>
      </w:pPr>
      <w:r>
        <w:rPr>
          <w:rFonts w:hint="default" w:ascii="Times New Roman Regular" w:hAnsi="Times New Roman Regular" w:cs="Times New Roman Regular"/>
          <w:sz w:val="24"/>
          <w:szCs w:val="24"/>
          <w:vertAlign w:val="superscript"/>
          <w:lang w:val="en-US"/>
        </w:rPr>
        <w:t>3.</w:t>
      </w:r>
      <w:r>
        <w:rPr>
          <w:rFonts w:ascii="Times New Roman Regular" w:hAnsi="Times New Roman Regular" w:cs="Times New Roman Regular"/>
          <w:sz w:val="24"/>
          <w:szCs w:val="24"/>
          <w:vertAlign w:val="superscript"/>
        </w:rPr>
        <w:t>The close correspondence between observed means and the central mass of the posterior predictive distributions indicates that the model adequately reproduces the central tendency of both RED ratios.</w:t>
      </w:r>
    </w:p>
    <w:p w14:paraId="1F9AC1BF">
      <w:pPr>
        <w:pStyle w:val="5"/>
        <w:numPr>
          <w:ilvl w:val="0"/>
          <w:numId w:val="0"/>
        </w:numPr>
        <w:spacing w:line="480" w:lineRule="auto"/>
        <w:jc w:val="both"/>
        <w:rPr>
          <w:rFonts w:ascii="Times New Roman" w:hAnsi="Times New Roman" w:eastAsia="Times New Roman" w:cs="Times New Roman"/>
          <w:b/>
          <w:kern w:val="2"/>
          <w:sz w:val="24"/>
          <w:szCs w:val="24"/>
          <w:u w:val="single"/>
          <w14:ligatures w14:val="standardContextual"/>
        </w:rPr>
      </w:pPr>
      <w:r>
        <w:rPr>
          <w:rFonts w:hint="default" w:ascii="Times New Roman Regular" w:hAnsi="Times New Roman Regular" w:cs="Times New Roman Regular"/>
          <w:sz w:val="24"/>
          <w:szCs w:val="24"/>
          <w:vertAlign w:val="superscript"/>
          <w:lang w:val="en-US"/>
        </w:rPr>
        <w:t>4.</w:t>
      </w:r>
      <w:r>
        <w:rPr>
          <w:rFonts w:ascii="Times New Roman Regular" w:hAnsi="Times New Roman Regular" w:cs="Times New Roman Regular"/>
          <w:sz w:val="24"/>
          <w:szCs w:val="24"/>
          <w:vertAlign w:val="superscript"/>
        </w:rPr>
        <w:t>No evidence was observed that the specified priors or model structure systematically constrained estimates away from the observed data.</w:t>
      </w:r>
    </w:p>
    <w:p w14:paraId="0F078020">
      <w:pPr>
        <w:keepNext/>
        <w:keepLines/>
        <w:widowControl/>
        <w:spacing w:before="281" w:after="281" w:line="278" w:lineRule="auto"/>
        <w:outlineLvl w:val="2"/>
        <w:rPr>
          <w:rFonts w:ascii="Times New Roman" w:hAnsi="Times New Roman" w:eastAsia="Times New Roman" w:cs="Times New Roman"/>
          <w:b/>
          <w:kern w:val="2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 w:eastAsia="Times New Roman" w:cs="Times New Roman"/>
          <w:b/>
          <w:kern w:val="2"/>
          <w:sz w:val="24"/>
          <w:szCs w:val="24"/>
          <w:u w:val="single"/>
          <w14:ligatures w14:val="standardContextual"/>
        </w:rPr>
        <w:t>Figure S2. Posterior predictive gender-specific RED means</w:t>
      </w:r>
    </w:p>
    <w:p w14:paraId="2DCB06E5">
      <w:pPr>
        <w:widowControl/>
        <w:spacing w:after="160" w:line="278" w:lineRule="auto"/>
        <w:rPr>
          <w:rFonts w:ascii="Times New Roman" w:hAnsi="Times New Roman" w:eastAsia="Times New Roman" w:cs="Times New Roman"/>
          <w:kern w:val="2"/>
          <w:sz w:val="24"/>
          <w:szCs w:val="24"/>
          <w14:ligatures w14:val="standardContextual"/>
        </w:rPr>
      </w:pPr>
      <w:r>
        <w:drawing>
          <wp:inline distT="0" distB="0" distL="0" distR="0">
            <wp:extent cx="5943600" cy="3997325"/>
            <wp:effectExtent l="0" t="0" r="0" b="15875"/>
            <wp:docPr id="170273718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737183" name="drawi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0715" cy="400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44CAA">
      <w:pPr>
        <w:keepNext/>
        <w:keepLines/>
        <w:widowControl/>
        <w:spacing w:before="281" w:after="281" w:line="278" w:lineRule="auto"/>
        <w:jc w:val="both"/>
        <w:outlineLvl w:val="2"/>
        <w:rPr>
          <w:rFonts w:ascii="Times New Roman" w:hAnsi="Times New Roman" w:eastAsia="Times New Roman" w:cs="Times New Roman"/>
          <w:b/>
          <w:kern w:val="2"/>
          <w:sz w:val="20"/>
          <w:szCs w:val="20"/>
          <w14:ligatures w14:val="standardContextual"/>
        </w:rPr>
      </w:pPr>
      <w:r>
        <w:rPr>
          <w:rFonts w:ascii="Times New Roman" w:hAnsi="Times New Roman" w:eastAsia="Times New Roman" w:cs="Times New Roman"/>
          <w:b/>
          <w:kern w:val="2"/>
          <w:sz w:val="20"/>
          <w:szCs w:val="20"/>
          <w14:ligatures w14:val="standardContextual"/>
        </w:rPr>
        <w:t>Fig. S2 Posterior predictive gender-specific RED means</w:t>
      </w:r>
    </w:p>
    <w:p w14:paraId="4B8E0EEB">
      <w:pPr>
        <w:pStyle w:val="5"/>
        <w:numPr>
          <w:ilvl w:val="0"/>
          <w:numId w:val="2"/>
        </w:numPr>
        <w:spacing w:line="480" w:lineRule="auto"/>
        <w:jc w:val="both"/>
        <w:rPr>
          <w:sz w:val="24"/>
          <w:szCs w:val="24"/>
          <w:vertAlign w:val="superscript"/>
        </w:rPr>
      </w:pPr>
      <w:r>
        <w:rPr>
          <w:rFonts w:hint="eastAsia" w:ascii="SimSun" w:hAnsi="SimSun" w:cs="SimSun"/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Posterior predictive distributions were generated from Bayesian normal regression models including sex (Female vs. Male) for LI/CI and Canine/LI RED ratios.</w:t>
      </w:r>
    </w:p>
    <w:p w14:paraId="23DF1C33">
      <w:pPr>
        <w:pStyle w:val="5"/>
        <w:numPr>
          <w:ilvl w:val="0"/>
          <w:numId w:val="2"/>
        </w:numPr>
        <w:spacing w:line="480" w:lineRule="auto"/>
        <w:jc w:val="both"/>
        <w:rPr>
          <w:sz w:val="24"/>
          <w:szCs w:val="24"/>
          <w:vertAlign w:val="superscript"/>
        </w:rPr>
      </w:pPr>
      <w:r>
        <w:rPr>
          <w:rFonts w:hint="eastAsia" w:ascii="SimSun" w:hAnsi="SimSun" w:cs="SimSun"/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For each posterior draw, sex-specific sample means were simulated, with dots showing LI/CI and crosses showing Canine/LI; observed means are indicated by separate markers.</w:t>
      </w:r>
    </w:p>
    <w:p w14:paraId="4149874D">
      <w:pPr>
        <w:pStyle w:val="5"/>
        <w:numPr>
          <w:ilvl w:val="0"/>
          <w:numId w:val="2"/>
        </w:numPr>
        <w:spacing w:line="480" w:lineRule="auto"/>
        <w:jc w:val="both"/>
        <w:rPr>
          <w:sz w:val="24"/>
          <w:szCs w:val="24"/>
          <w:vertAlign w:val="superscript"/>
        </w:rPr>
      </w:pPr>
      <w:r>
        <w:rPr>
          <w:rFonts w:hint="eastAsia" w:ascii="SimSun" w:hAnsi="SimSun" w:cs="SimSun"/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The 45° reference line (y = x) denotes equality between Female and Male means.</w:t>
      </w:r>
    </w:p>
    <w:p w14:paraId="3CD86658">
      <w:pPr>
        <w:pStyle w:val="5"/>
        <w:numPr>
          <w:ilvl w:val="0"/>
          <w:numId w:val="2"/>
        </w:num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Observed sex-specific means fall within the cloud of simulated points and close to the 45° line, indicating adequate model fit and no systematic sex-specific misfit.</w:t>
      </w:r>
    </w:p>
    <w:p w14:paraId="3DBA7EC0">
      <w:pPr>
        <w:keepNext/>
        <w:keepLines/>
        <w:widowControl/>
        <w:spacing w:before="281" w:after="281" w:line="278" w:lineRule="auto"/>
        <w:outlineLvl w:val="2"/>
        <w:rPr>
          <w:rFonts w:ascii="Times New Roman" w:hAnsi="Times New Roman" w:eastAsia="Times New Roman" w:cs="Times New Roman"/>
          <w:b/>
          <w:kern w:val="2"/>
          <w:sz w:val="24"/>
          <w:szCs w:val="24"/>
          <w:u w:val="single"/>
          <w14:ligatures w14:val="standardContextual"/>
        </w:rPr>
      </w:pPr>
    </w:p>
    <w:p w14:paraId="4F5AA302">
      <w:pPr>
        <w:keepNext/>
        <w:keepLines/>
        <w:widowControl/>
        <w:spacing w:before="281" w:after="281" w:line="278" w:lineRule="auto"/>
        <w:outlineLvl w:val="2"/>
        <w:rPr>
          <w:rFonts w:ascii="Times New Roman" w:hAnsi="Times New Roman" w:eastAsia="Times New Roman" w:cs="Times New Roman"/>
          <w:b/>
          <w:kern w:val="2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 w:eastAsia="Times New Roman" w:cs="Times New Roman"/>
          <w:b/>
          <w:kern w:val="2"/>
          <w:sz w:val="24"/>
          <w:szCs w:val="24"/>
          <w:u w:val="single"/>
          <w14:ligatures w14:val="standardContextual"/>
        </w:rPr>
        <w:t>Figure S3. Posterior predictive distributions of Golden proportion counts</w:t>
      </w:r>
    </w:p>
    <w:p w14:paraId="632C72FE">
      <w:pPr>
        <w:widowControl/>
        <w:spacing w:before="240" w:after="240" w:line="278" w:lineRule="auto"/>
        <w:rPr>
          <w:rFonts w:ascii="Times New Roman" w:hAnsi="Times New Roman" w:eastAsia="Times New Roman" w:cs="Times New Roman"/>
          <w:kern w:val="2"/>
          <w:sz w:val="24"/>
          <w:szCs w:val="24"/>
          <w14:ligatures w14:val="standardContextual"/>
        </w:rPr>
      </w:pPr>
      <w:r>
        <w:drawing>
          <wp:inline distT="0" distB="0" distL="0" distR="0">
            <wp:extent cx="5943600" cy="3562350"/>
            <wp:effectExtent l="0" t="0" r="0" b="19050"/>
            <wp:docPr id="92992598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925984" name="drawi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4705C">
      <w:pPr>
        <w:keepNext/>
        <w:keepLines/>
        <w:widowControl/>
        <w:spacing w:before="281" w:after="281" w:line="278" w:lineRule="auto"/>
        <w:jc w:val="both"/>
        <w:outlineLvl w:val="2"/>
        <w:rPr>
          <w:rFonts w:ascii="Times New Roman" w:hAnsi="Times New Roman" w:eastAsia="Times New Roman" w:cs="Times New Roman"/>
          <w:b/>
          <w:kern w:val="2"/>
          <w:sz w:val="20"/>
          <w:szCs w:val="20"/>
          <w14:ligatures w14:val="standardContextual"/>
        </w:rPr>
      </w:pPr>
      <w:r>
        <w:rPr>
          <w:rFonts w:ascii="Times New Roman" w:hAnsi="Times New Roman" w:eastAsia="Times New Roman" w:cs="Times New Roman"/>
          <w:b/>
          <w:kern w:val="2"/>
          <w:sz w:val="20"/>
          <w:szCs w:val="20"/>
          <w14:ligatures w14:val="standardContextual"/>
        </w:rPr>
        <w:t>Fig S3. Posterior predictive distributions of Golden proportion counts</w:t>
      </w:r>
    </w:p>
    <w:p w14:paraId="4B975D73">
      <w:pPr>
        <w:pStyle w:val="5"/>
        <w:numPr>
          <w:ilvl w:val="0"/>
          <w:numId w:val="3"/>
        </w:numPr>
        <w:spacing w:line="480" w:lineRule="auto"/>
        <w:jc w:val="both"/>
        <w:rPr>
          <w:sz w:val="24"/>
          <w:szCs w:val="24"/>
          <w:vertAlign w:val="superscript"/>
        </w:rPr>
      </w:pPr>
      <w:r>
        <w:rPr>
          <w:rFonts w:hint="eastAsia" w:ascii="SimSun" w:hAnsi="SimSun" w:cs="SimSun"/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Posterior predictive distributions of Golden cases were simulated for LI/CI, Canine/LI, and full sextant using Beta-Binomial models; vertical lines show observed counts.</w:t>
      </w:r>
    </w:p>
    <w:p w14:paraId="08E8F16D">
      <w:pPr>
        <w:pStyle w:val="5"/>
        <w:numPr>
          <w:ilvl w:val="0"/>
          <w:numId w:val="3"/>
        </w:num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Observed counts for LI/CI and Canine/LI lie near the center of the predictive distributions, indicating good model fit.</w:t>
      </w:r>
    </w:p>
    <w:p w14:paraId="6B82A49B">
      <w:pPr>
        <w:pStyle w:val="5"/>
        <w:numPr>
          <w:ilvl w:val="0"/>
          <w:numId w:val="3"/>
        </w:numPr>
        <w:spacing w:line="480" w:lineRule="auto"/>
        <w:jc w:val="both"/>
        <w:rPr>
          <w:rFonts w:eastAsia="Times New Roman"/>
          <w:b/>
          <w:kern w:val="2"/>
          <w:sz w:val="24"/>
          <w:szCs w:val="24"/>
          <w:vertAlign w:val="superscript"/>
          <w14:ligatures w14:val="standardContextual"/>
        </w:rPr>
      </w:pPr>
      <w:r>
        <w:rPr>
          <w:sz w:val="24"/>
          <w:szCs w:val="24"/>
          <w:vertAlign w:val="superscript"/>
        </w:rPr>
        <w:t>For the full sextant, observed zero counts are compatible with the posterior predictive distribution despite occasional nonzero simulations, reflecting small-sample uncertainty.</w:t>
      </w:r>
    </w:p>
    <w:p w14:paraId="28F4024E">
      <w:pPr>
        <w:keepNext/>
        <w:keepLines/>
        <w:widowControl/>
        <w:spacing w:before="299" w:after="299" w:line="278" w:lineRule="auto"/>
        <w:outlineLvl w:val="1"/>
        <w:rPr>
          <w:rFonts w:ascii="Times New Roman" w:hAnsi="Times New Roman" w:eastAsia="Times New Roman" w:cs="Times New Roman"/>
          <w:b/>
          <w:kern w:val="2"/>
          <w:sz w:val="24"/>
          <w:szCs w:val="24"/>
          <w:u w:val="single"/>
          <w14:ligatures w14:val="standardContextual"/>
        </w:rPr>
      </w:pPr>
    </w:p>
    <w:p w14:paraId="5C5FE35D">
      <w:pPr>
        <w:keepNext/>
        <w:keepLines/>
        <w:widowControl/>
        <w:spacing w:before="299" w:after="299" w:line="278" w:lineRule="auto"/>
        <w:outlineLvl w:val="1"/>
        <w:rPr>
          <w:rFonts w:ascii="Times New Roman" w:hAnsi="Times New Roman" w:eastAsia="Times New Roman" w:cs="Times New Roman"/>
          <w:b/>
          <w:kern w:val="2"/>
          <w:sz w:val="24"/>
          <w:szCs w:val="24"/>
          <w:u w:val="single"/>
          <w14:ligatures w14:val="standardContextual"/>
        </w:rPr>
      </w:pPr>
    </w:p>
    <w:p w14:paraId="29CF3306">
      <w:pPr>
        <w:keepNext/>
        <w:keepLines/>
        <w:widowControl/>
        <w:spacing w:before="299" w:after="299" w:line="278" w:lineRule="auto"/>
        <w:outlineLvl w:val="1"/>
        <w:rPr>
          <w:rFonts w:ascii="Times New Roman" w:hAnsi="Times New Roman" w:eastAsia="Times New Roman" w:cs="Times New Roman"/>
          <w:b/>
          <w:kern w:val="2"/>
          <w:sz w:val="24"/>
          <w:szCs w:val="24"/>
          <w:u w:val="single"/>
          <w14:ligatures w14:val="standardContextual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kern w:val="2"/>
          <w:sz w:val="24"/>
          <w:szCs w:val="24"/>
          <w:u w:val="single"/>
          <w14:ligatures w14:val="standardContextual"/>
        </w:rPr>
        <w:t>Supplementary Tables – Sensitivity analyses</w:t>
      </w:r>
    </w:p>
    <w:p w14:paraId="0CE5423A">
      <w:pPr>
        <w:widowControl/>
        <w:spacing w:after="220" w:line="278" w:lineRule="auto"/>
        <w:rPr>
          <w:rFonts w:ascii="Times New Roman" w:hAnsi="Times New Roman" w:eastAsia="Times New Roman" w:cs="Times New Roman"/>
          <w:kern w:val="2"/>
          <w:sz w:val="24"/>
          <w:szCs w:val="24"/>
          <w14:ligatures w14:val="standardContextual"/>
        </w:rPr>
      </w:pPr>
    </w:p>
    <w:p w14:paraId="522A64C4">
      <w:pPr>
        <w:widowControl/>
        <w:spacing w:after="220" w:line="278" w:lineRule="auto"/>
        <w:rPr>
          <w:rFonts w:ascii="Times New Roman Bold" w:hAnsi="Times New Roman Bold" w:eastAsia="Times New Roman" w:cs="Times New Roman Bold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 Bold" w:hAnsi="Times New Roman Bold" w:eastAsia="Times New Roman" w:cs="Times New Roman Bold"/>
          <w:b/>
          <w:bCs/>
          <w:kern w:val="2"/>
          <w:sz w:val="24"/>
          <w:szCs w:val="24"/>
          <w14:ligatures w14:val="standardContextual"/>
        </w:rPr>
        <w:t>Table S1. Sensitivity of RED population means to wider priors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070"/>
        <w:gridCol w:w="1380"/>
        <w:gridCol w:w="1388"/>
        <w:gridCol w:w="1201"/>
        <w:gridCol w:w="1517"/>
        <w:gridCol w:w="1524"/>
      </w:tblGrid>
      <w:tr w14:paraId="1340DBB2">
        <w:trPr>
          <w:trHeight w:val="300" w:hRule="atLeast"/>
        </w:trPr>
        <w:tc>
          <w:tcPr>
            <w:tcW w:w="1270" w:type="dxa"/>
            <w:vAlign w:val="center"/>
          </w:tcPr>
          <w:p w14:paraId="3F6887CC">
            <w:pPr>
              <w:widowControl/>
              <w:spacing w:line="278" w:lineRule="auto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Ratio</w:t>
            </w:r>
          </w:p>
        </w:tc>
        <w:tc>
          <w:tcPr>
            <w:tcW w:w="1070" w:type="dxa"/>
            <w:vAlign w:val="center"/>
          </w:tcPr>
          <w:p w14:paraId="282E79B9">
            <w:pPr>
              <w:widowControl/>
              <w:spacing w:line="278" w:lineRule="auto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Baseline Mean</w:t>
            </w:r>
          </w:p>
        </w:tc>
        <w:tc>
          <w:tcPr>
            <w:tcW w:w="1380" w:type="dxa"/>
            <w:vAlign w:val="center"/>
          </w:tcPr>
          <w:p w14:paraId="1A00752B">
            <w:pPr>
              <w:widowControl/>
              <w:spacing w:line="278" w:lineRule="auto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Baseline 95% CrI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0A0A0A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r>
              <w:rPr>
                <w:rFonts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vertAlign w:val="superscript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Lower</w:t>
            </w:r>
          </w:p>
        </w:tc>
        <w:tc>
          <w:tcPr>
            <w:tcW w:w="1388" w:type="dxa"/>
            <w:vAlign w:val="center"/>
          </w:tcPr>
          <w:p w14:paraId="1E9BA6A0">
            <w:pPr>
              <w:widowControl/>
              <w:spacing w:line="278" w:lineRule="auto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Baseline 95% CrI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0A0A0A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r>
              <w:rPr>
                <w:rFonts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vertAlign w:val="superscript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Upper</w:t>
            </w:r>
          </w:p>
        </w:tc>
        <w:tc>
          <w:tcPr>
            <w:tcW w:w="1201" w:type="dxa"/>
            <w:vAlign w:val="center"/>
          </w:tcPr>
          <w:p w14:paraId="5453FDD9">
            <w:pPr>
              <w:widowControl/>
              <w:spacing w:line="278" w:lineRule="auto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Wide-Prior Mean</w:t>
            </w:r>
          </w:p>
        </w:tc>
        <w:tc>
          <w:tcPr>
            <w:tcW w:w="1517" w:type="dxa"/>
            <w:vAlign w:val="center"/>
          </w:tcPr>
          <w:p w14:paraId="353E50BD">
            <w:pPr>
              <w:widowControl/>
              <w:spacing w:line="278" w:lineRule="auto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Wide-Prior 95% CrI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0A0A0A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r>
              <w:rPr>
                <w:rFonts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vertAlign w:val="superscript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Lower</w:t>
            </w:r>
          </w:p>
        </w:tc>
        <w:tc>
          <w:tcPr>
            <w:tcW w:w="1524" w:type="dxa"/>
            <w:vAlign w:val="center"/>
          </w:tcPr>
          <w:p w14:paraId="32AC3382">
            <w:pPr>
              <w:widowControl/>
              <w:spacing w:line="278" w:lineRule="auto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Wide-Prior 95% CrI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0A0A0A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r>
              <w:rPr>
                <w:rFonts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vertAlign w:val="superscript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Upper</w:t>
            </w:r>
          </w:p>
        </w:tc>
      </w:tr>
      <w:tr w14:paraId="4F7B106C">
        <w:trPr>
          <w:trHeight w:val="300" w:hRule="atLeast"/>
        </w:trPr>
        <w:tc>
          <w:tcPr>
            <w:tcW w:w="1270" w:type="dxa"/>
            <w:vAlign w:val="center"/>
          </w:tcPr>
          <w:p w14:paraId="3A38EA7F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LI*/CI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†</w:t>
            </w:r>
          </w:p>
        </w:tc>
        <w:tc>
          <w:tcPr>
            <w:tcW w:w="1070" w:type="dxa"/>
            <w:vAlign w:val="center"/>
          </w:tcPr>
          <w:p w14:paraId="3488D1C5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0.685</w:t>
            </w:r>
          </w:p>
        </w:tc>
        <w:tc>
          <w:tcPr>
            <w:tcW w:w="1380" w:type="dxa"/>
            <w:vAlign w:val="center"/>
          </w:tcPr>
          <w:p w14:paraId="7FE43EEA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0.647</w:t>
            </w:r>
          </w:p>
        </w:tc>
        <w:tc>
          <w:tcPr>
            <w:tcW w:w="1388" w:type="dxa"/>
            <w:vAlign w:val="center"/>
          </w:tcPr>
          <w:p w14:paraId="724E9ABB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0.721</w:t>
            </w:r>
          </w:p>
        </w:tc>
        <w:tc>
          <w:tcPr>
            <w:tcW w:w="1201" w:type="dxa"/>
            <w:vAlign w:val="center"/>
          </w:tcPr>
          <w:p w14:paraId="4C92DE5C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0.690</w:t>
            </w:r>
          </w:p>
        </w:tc>
        <w:tc>
          <w:tcPr>
            <w:tcW w:w="1517" w:type="dxa"/>
            <w:vAlign w:val="center"/>
          </w:tcPr>
          <w:p w14:paraId="396954F3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0.650</w:t>
            </w:r>
          </w:p>
        </w:tc>
        <w:tc>
          <w:tcPr>
            <w:tcW w:w="1524" w:type="dxa"/>
            <w:vAlign w:val="center"/>
          </w:tcPr>
          <w:p w14:paraId="18ECCCD7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0.733</w:t>
            </w:r>
          </w:p>
        </w:tc>
      </w:tr>
      <w:tr w14:paraId="2EB0DC04">
        <w:trPr>
          <w:trHeight w:val="300" w:hRule="atLeast"/>
        </w:trPr>
        <w:tc>
          <w:tcPr>
            <w:tcW w:w="1270" w:type="dxa"/>
            <w:vAlign w:val="center"/>
          </w:tcPr>
          <w:p w14:paraId="3F31E18A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Ca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‡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/LI*</w:t>
            </w:r>
          </w:p>
        </w:tc>
        <w:tc>
          <w:tcPr>
            <w:tcW w:w="1070" w:type="dxa"/>
            <w:vAlign w:val="center"/>
          </w:tcPr>
          <w:p w14:paraId="77A650F5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0.813</w:t>
            </w:r>
          </w:p>
        </w:tc>
        <w:tc>
          <w:tcPr>
            <w:tcW w:w="1380" w:type="dxa"/>
            <w:vAlign w:val="center"/>
          </w:tcPr>
          <w:p w14:paraId="427CC170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0.766</w:t>
            </w:r>
          </w:p>
        </w:tc>
        <w:tc>
          <w:tcPr>
            <w:tcW w:w="1388" w:type="dxa"/>
            <w:vAlign w:val="center"/>
          </w:tcPr>
          <w:p w14:paraId="4715B809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0.864</w:t>
            </w:r>
          </w:p>
        </w:tc>
        <w:tc>
          <w:tcPr>
            <w:tcW w:w="1201" w:type="dxa"/>
            <w:vAlign w:val="center"/>
          </w:tcPr>
          <w:p w14:paraId="2741FCA6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0.821</w:t>
            </w:r>
          </w:p>
        </w:tc>
        <w:tc>
          <w:tcPr>
            <w:tcW w:w="1517" w:type="dxa"/>
            <w:vAlign w:val="center"/>
          </w:tcPr>
          <w:p w14:paraId="29863BCE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0.780</w:t>
            </w:r>
          </w:p>
        </w:tc>
        <w:tc>
          <w:tcPr>
            <w:tcW w:w="1524" w:type="dxa"/>
            <w:vAlign w:val="center"/>
          </w:tcPr>
          <w:p w14:paraId="1DB11CF6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0.875</w:t>
            </w:r>
          </w:p>
        </w:tc>
      </w:tr>
    </w:tbl>
    <w:p w14:paraId="682F71B5">
      <w:pPr>
        <w:pStyle w:val="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*Lateral Incisor.</w:t>
      </w:r>
    </w:p>
    <w:p w14:paraId="4CAF04DE">
      <w:pPr>
        <w:pStyle w:val="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†Central Incisor.</w:t>
      </w:r>
    </w:p>
    <w:p w14:paraId="4A17DB29">
      <w:pPr>
        <w:pStyle w:val="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‡</w:t>
      </w:r>
      <w:r>
        <w:rPr>
          <w:rFonts w:ascii="Times New Roman" w:hAnsi="Times New Roman" w:eastAsia="Times New Roman" w:cs="Times New Roman"/>
          <w:sz w:val="20"/>
          <w:szCs w:val="20"/>
        </w:rPr>
        <w:t>Canine</w:t>
      </w:r>
    </w:p>
    <w:p w14:paraId="6381087C">
      <w:pPr>
        <w:pStyle w:val="7"/>
        <w:rPr>
          <w:vertAlign w:val="baseline"/>
        </w:rPr>
      </w:pPr>
      <w:r>
        <w:rPr>
          <w:rStyle w:val="6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  <w:vertAlign w:val="superscript"/>
        </w:rPr>
        <w:t>§</w:t>
      </w:r>
      <w:r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vertAlign w:val="superscript"/>
          <w14:ligatures w14:val="standardContextual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Credible Interval</w:t>
      </w:r>
    </w:p>
    <w:p w14:paraId="51F54657">
      <w:pPr>
        <w:pStyle w:val="5"/>
        <w:numPr>
          <w:ilvl w:val="0"/>
          <w:numId w:val="4"/>
        </w:numPr>
        <w:spacing w:line="480" w:lineRule="auto"/>
        <w:rPr>
          <w:vertAlign w:val="baseline"/>
        </w:rPr>
      </w:pPr>
      <w:r>
        <w:rPr>
          <w:vertAlign w:val="baseline"/>
        </w:rPr>
        <w:t>RED population means were estimated using Bayesian normal models with baseline priors (truncated [0,1] for LI/CI and Canine/LI; Half-Normal(0.10) for SD) and wider priors with the same means but increased dispersion.</w:t>
      </w:r>
    </w:p>
    <w:p w14:paraId="49985CFC">
      <w:pPr>
        <w:pStyle w:val="5"/>
        <w:numPr>
          <w:ilvl w:val="0"/>
          <w:numId w:val="4"/>
        </w:numPr>
        <w:spacing w:line="480" w:lineRule="auto"/>
        <w:rPr>
          <w:vertAlign w:val="baseline"/>
        </w:rPr>
      </w:pPr>
      <w:r>
        <w:rPr>
          <w:vertAlign w:val="baseline"/>
        </w:rPr>
        <w:t>Widening priors slightly broadened credible intervals and shifted means by only a few thousandths.</w:t>
      </w:r>
    </w:p>
    <w:p w14:paraId="2475BD07">
      <w:pPr>
        <w:pStyle w:val="5"/>
        <w:numPr>
          <w:ilvl w:val="0"/>
          <w:numId w:val="4"/>
        </w:numPr>
        <w:spacing w:line="480" w:lineRule="auto"/>
        <w:rPr>
          <w:rFonts w:ascii="Times New Roman" w:hAnsi="Times New Roman" w:eastAsia="Times New Roman" w:cs="Times New Roman"/>
          <w:b/>
          <w:kern w:val="2"/>
          <w:sz w:val="24"/>
          <w:szCs w:val="24"/>
          <w:u w:val="single"/>
          <w14:ligatures w14:val="standardContextual"/>
        </w:rPr>
      </w:pPr>
      <w:r>
        <w:rPr>
          <w:vertAlign w:val="baseline"/>
        </w:rPr>
        <w:t>Posterior estimates remain essentially unchanged (LI/CI ≈ 0.69, Canine/LI ≈ 0.81–0.82), indicating robustness to prior specification.</w:t>
      </w:r>
    </w:p>
    <w:p w14:paraId="53E1845E">
      <w:pPr>
        <w:keepNext/>
        <w:keepLines/>
        <w:widowControl/>
        <w:spacing w:before="281" w:after="281" w:line="278" w:lineRule="auto"/>
        <w:outlineLvl w:val="2"/>
        <w:rPr>
          <w:rFonts w:ascii="Times New Roman" w:hAnsi="Times New Roman" w:eastAsia="Times New Roman" w:cs="Times New Roman"/>
          <w:b/>
          <w:kern w:val="2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 w:eastAsia="Times New Roman" w:cs="Times New Roman"/>
          <w:b/>
          <w:kern w:val="2"/>
          <w:sz w:val="24"/>
          <w:szCs w:val="24"/>
          <w:u w:val="single"/>
          <w14:ligatures w14:val="standardContextual"/>
        </w:rPr>
        <w:t>Supplementary Table S2. Sensitivity of sex-effect (β) parameters to wider priors</w:t>
      </w:r>
    </w:p>
    <w:p w14:paraId="0D9FE74A">
      <w:pPr>
        <w:widowControl/>
        <w:spacing w:before="240" w:after="240" w:line="278" w:lineRule="auto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14:ligatures w14:val="standardContextual"/>
        </w:rPr>
        <w:t xml:space="preserve">Table S2. Sensitivity of sex-effect ( </w:t>
      </w:r>
      <m:oMath>
        <m:r>
          <m:rPr>
            <m:sty m:val="bi"/>
          </m:rPr>
          <w:rPr>
            <w:rFonts w:ascii="Cambria Math" w:hAnsi="Cambria Math" w:eastAsia="DengXian" w:cs="Times New Roman"/>
            <w:kern w:val="2"/>
            <w:sz w:val="24"/>
            <w:szCs w:val="24"/>
            <w14:ligatures w14:val="standardContextual"/>
          </w:rPr>
          <m:t>β</m:t>
        </m:r>
      </m:oMath>
      <w:r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14:ligatures w14:val="standardContextual"/>
        </w:rPr>
        <w:t xml:space="preserve"> ) parameters to wider priors Baseline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095"/>
        <w:gridCol w:w="1382"/>
        <w:gridCol w:w="1388"/>
        <w:gridCol w:w="1212"/>
        <w:gridCol w:w="1498"/>
        <w:gridCol w:w="1505"/>
      </w:tblGrid>
      <w:tr w14:paraId="5A6FF16C">
        <w:trPr>
          <w:trHeight w:val="300" w:hRule="atLeast"/>
        </w:trPr>
        <w:tc>
          <w:tcPr>
            <w:tcW w:w="1270" w:type="dxa"/>
            <w:vAlign w:val="center"/>
          </w:tcPr>
          <w:p w14:paraId="4A78ACE4">
            <w:pPr>
              <w:widowControl/>
              <w:spacing w:line="278" w:lineRule="auto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Ratio</w:t>
            </w:r>
          </w:p>
        </w:tc>
        <w:tc>
          <w:tcPr>
            <w:tcW w:w="1095" w:type="dxa"/>
            <w:vAlign w:val="center"/>
          </w:tcPr>
          <w:p w14:paraId="128D8AB6">
            <w:pPr>
              <w:widowControl/>
              <w:spacing w:line="278" w:lineRule="auto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Baseline β Mean</w:t>
            </w:r>
          </w:p>
        </w:tc>
        <w:tc>
          <w:tcPr>
            <w:tcW w:w="1382" w:type="dxa"/>
            <w:vAlign w:val="center"/>
          </w:tcPr>
          <w:p w14:paraId="5B0F2076">
            <w:pPr>
              <w:widowControl/>
              <w:spacing w:line="278" w:lineRule="auto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Baseline β 95% CrI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0A0A0A"/>
                <w:sz w:val="24"/>
                <w:szCs w:val="24"/>
                <w:shd w:val="clear" w:color="auto" w:fill="FFFFFF"/>
                <w:vertAlign w:val="superscript"/>
              </w:rPr>
              <w:t>||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Lower</w:t>
            </w:r>
          </w:p>
        </w:tc>
        <w:tc>
          <w:tcPr>
            <w:tcW w:w="1388" w:type="dxa"/>
            <w:vAlign w:val="center"/>
          </w:tcPr>
          <w:p w14:paraId="6E5D3F7B">
            <w:pPr>
              <w:widowControl/>
              <w:spacing w:line="278" w:lineRule="auto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Baseline β 95% CrI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0A0A0A"/>
                <w:sz w:val="24"/>
                <w:szCs w:val="24"/>
                <w:shd w:val="clear" w:color="auto" w:fill="FFFFFF"/>
                <w:vertAlign w:val="superscript"/>
              </w:rPr>
              <w:t>||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Upper</w:t>
            </w:r>
          </w:p>
        </w:tc>
        <w:tc>
          <w:tcPr>
            <w:tcW w:w="1212" w:type="dxa"/>
            <w:vAlign w:val="center"/>
          </w:tcPr>
          <w:p w14:paraId="0A59521D">
            <w:pPr>
              <w:widowControl/>
              <w:spacing w:line="278" w:lineRule="auto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Wide-Prior β Mean</w:t>
            </w:r>
          </w:p>
        </w:tc>
        <w:tc>
          <w:tcPr>
            <w:tcW w:w="1498" w:type="dxa"/>
            <w:vAlign w:val="center"/>
          </w:tcPr>
          <w:p w14:paraId="1FAFE2E7">
            <w:pPr>
              <w:widowControl/>
              <w:spacing w:line="278" w:lineRule="auto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Wide-Prior β 95% CrI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0A0A0A"/>
                <w:sz w:val="24"/>
                <w:szCs w:val="24"/>
                <w:shd w:val="clear" w:color="auto" w:fill="FFFFFF"/>
                <w:vertAlign w:val="superscript"/>
              </w:rPr>
              <w:t>||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Lower</w:t>
            </w:r>
          </w:p>
        </w:tc>
        <w:tc>
          <w:tcPr>
            <w:tcW w:w="1505" w:type="dxa"/>
            <w:vAlign w:val="center"/>
          </w:tcPr>
          <w:p w14:paraId="39A06C85">
            <w:pPr>
              <w:widowControl/>
              <w:spacing w:line="278" w:lineRule="auto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Wide-Prior β 95% CrI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0A0A0A"/>
                <w:sz w:val="24"/>
                <w:szCs w:val="24"/>
                <w:shd w:val="clear" w:color="auto" w:fill="FFFFFF"/>
                <w:vertAlign w:val="superscript"/>
              </w:rPr>
              <w:t>||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Upper</w:t>
            </w:r>
          </w:p>
        </w:tc>
      </w:tr>
      <w:tr w14:paraId="512EB81F">
        <w:trPr>
          <w:trHeight w:val="300" w:hRule="atLeast"/>
        </w:trPr>
        <w:tc>
          <w:tcPr>
            <w:tcW w:w="1270" w:type="dxa"/>
            <w:vAlign w:val="center"/>
          </w:tcPr>
          <w:p w14:paraId="138DA48A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LI*/CI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†</w:t>
            </w:r>
          </w:p>
        </w:tc>
        <w:tc>
          <w:tcPr>
            <w:tcW w:w="1095" w:type="dxa"/>
            <w:vAlign w:val="center"/>
          </w:tcPr>
          <w:p w14:paraId="3BEDEF9D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-0.005</w:t>
            </w:r>
          </w:p>
        </w:tc>
        <w:tc>
          <w:tcPr>
            <w:tcW w:w="1382" w:type="dxa"/>
            <w:vAlign w:val="center"/>
          </w:tcPr>
          <w:p w14:paraId="320E3DB1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-0.065</w:t>
            </w:r>
          </w:p>
        </w:tc>
        <w:tc>
          <w:tcPr>
            <w:tcW w:w="1388" w:type="dxa"/>
            <w:vAlign w:val="center"/>
          </w:tcPr>
          <w:p w14:paraId="6761791A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0.056</w:t>
            </w:r>
          </w:p>
        </w:tc>
        <w:tc>
          <w:tcPr>
            <w:tcW w:w="1212" w:type="dxa"/>
            <w:vAlign w:val="center"/>
          </w:tcPr>
          <w:p w14:paraId="216FD76E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-0.007</w:t>
            </w:r>
          </w:p>
        </w:tc>
        <w:tc>
          <w:tcPr>
            <w:tcW w:w="1498" w:type="dxa"/>
            <w:vAlign w:val="center"/>
          </w:tcPr>
          <w:p w14:paraId="5AA84989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-0.087</w:t>
            </w:r>
          </w:p>
        </w:tc>
        <w:tc>
          <w:tcPr>
            <w:tcW w:w="1505" w:type="dxa"/>
            <w:vAlign w:val="center"/>
          </w:tcPr>
          <w:p w14:paraId="0519FDEA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0.063</w:t>
            </w:r>
          </w:p>
        </w:tc>
      </w:tr>
      <w:tr w14:paraId="3669F6B4">
        <w:trPr>
          <w:trHeight w:val="300" w:hRule="atLeast"/>
        </w:trPr>
        <w:tc>
          <w:tcPr>
            <w:tcW w:w="1270" w:type="dxa"/>
            <w:vAlign w:val="center"/>
          </w:tcPr>
          <w:p w14:paraId="085A6D5C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Ca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‡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/LI*</w:t>
            </w:r>
          </w:p>
        </w:tc>
        <w:tc>
          <w:tcPr>
            <w:tcW w:w="1095" w:type="dxa"/>
            <w:vAlign w:val="center"/>
          </w:tcPr>
          <w:p w14:paraId="10220BB6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0.010</w:t>
            </w:r>
          </w:p>
        </w:tc>
        <w:tc>
          <w:tcPr>
            <w:tcW w:w="1382" w:type="dxa"/>
            <w:vAlign w:val="center"/>
          </w:tcPr>
          <w:p w14:paraId="0527FBD2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-0.058</w:t>
            </w:r>
          </w:p>
        </w:tc>
        <w:tc>
          <w:tcPr>
            <w:tcW w:w="1388" w:type="dxa"/>
            <w:vAlign w:val="center"/>
          </w:tcPr>
          <w:p w14:paraId="69F44B54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0.076</w:t>
            </w:r>
          </w:p>
        </w:tc>
        <w:tc>
          <w:tcPr>
            <w:tcW w:w="1212" w:type="dxa"/>
            <w:vAlign w:val="center"/>
          </w:tcPr>
          <w:p w14:paraId="5BFABD84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0.017</w:t>
            </w:r>
          </w:p>
        </w:tc>
        <w:tc>
          <w:tcPr>
            <w:tcW w:w="1498" w:type="dxa"/>
            <w:vAlign w:val="center"/>
          </w:tcPr>
          <w:p w14:paraId="3D454F4A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-0.062</w:t>
            </w:r>
          </w:p>
        </w:tc>
        <w:tc>
          <w:tcPr>
            <w:tcW w:w="1505" w:type="dxa"/>
            <w:vAlign w:val="center"/>
          </w:tcPr>
          <w:p w14:paraId="26FF97A9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0.109</w:t>
            </w:r>
          </w:p>
        </w:tc>
      </w:tr>
    </w:tbl>
    <w:p w14:paraId="6F0D3E07">
      <w:pPr>
        <w:pStyle w:val="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*Lateral Incisor.</w:t>
      </w:r>
    </w:p>
    <w:p w14:paraId="63374258">
      <w:pPr>
        <w:pStyle w:val="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†Central Incisor.</w:t>
      </w:r>
    </w:p>
    <w:p w14:paraId="15AE37FC">
      <w:pPr>
        <w:pStyle w:val="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‡</w:t>
      </w:r>
      <w:r>
        <w:rPr>
          <w:rFonts w:ascii="Times New Roman" w:hAnsi="Times New Roman" w:eastAsia="Times New Roman" w:cs="Times New Roman"/>
          <w:sz w:val="20"/>
          <w:szCs w:val="20"/>
        </w:rPr>
        <w:t>Canine.</w:t>
      </w:r>
    </w:p>
    <w:p w14:paraId="6178E235">
      <w:pPr>
        <w:pStyle w:val="7"/>
        <w:rPr>
          <w:rFonts w:ascii="Times New Roman" w:hAnsi="Times New Roman" w:eastAsia="Times New Roman" w:cs="Times New Roman"/>
          <w:bCs/>
          <w:kern w:val="2"/>
          <w:sz w:val="20"/>
          <w:szCs w:val="20"/>
          <w14:ligatures w14:val="standardContextual"/>
        </w:rPr>
      </w:pPr>
      <w:r>
        <w:rPr>
          <w:rStyle w:val="6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  <w:vertAlign w:val="superscript"/>
        </w:rPr>
        <w:t>§</w:t>
      </w:r>
      <w:r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vertAlign w:val="superscript"/>
          <w14:ligatures w14:val="standardContextual"/>
        </w:rPr>
        <w:t xml:space="preserve"> </w:t>
      </w:r>
      <w:r>
        <w:rPr>
          <w:rFonts w:ascii="Times New Roman" w:hAnsi="Times New Roman" w:eastAsia="Times New Roman" w:cs="Times New Roman"/>
          <w:bCs/>
          <w:kern w:val="2"/>
          <w:sz w:val="20"/>
          <w:szCs w:val="20"/>
          <w14:ligatures w14:val="standardContextual"/>
        </w:rPr>
        <w:t>Sensitivity of sex-effect.</w:t>
      </w:r>
    </w:p>
    <w:p w14:paraId="56F779EC">
      <w:pPr>
        <w:pStyle w:val="7"/>
        <w:rPr>
          <w:rFonts w:ascii="Times New Roman" w:hAnsi="Times New Roman" w:eastAsia="Times New Roman" w:cs="Times New Roman"/>
          <w:bCs/>
          <w:kern w:val="2"/>
          <w:sz w:val="20"/>
          <w:szCs w:val="20"/>
          <w14:ligatures w14:val="standardContextual"/>
        </w:rPr>
      </w:pPr>
      <w:r>
        <w:rPr>
          <w:rStyle w:val="6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  <w:vertAlign w:val="superscript"/>
        </w:rPr>
        <w:t>||</w:t>
      </w:r>
      <w:r>
        <w:rPr>
          <w:rFonts w:ascii="Times New Roman" w:hAnsi="Times New Roman" w:eastAsia="Times New Roman" w:cs="Times New Roman"/>
          <w:bCs/>
          <w:kern w:val="2"/>
          <w:sz w:val="20"/>
          <w:szCs w:val="20"/>
          <w14:ligatures w14:val="standardContextual"/>
        </w:rPr>
        <w:t>Credible Interval</w:t>
      </w:r>
    </w:p>
    <w:p w14:paraId="5A92223C">
      <w:pPr>
        <w:pStyle w:val="7"/>
        <w:rPr>
          <w:rFonts w:ascii="Times New Roman" w:hAnsi="Times New Roman" w:eastAsia="Times New Roman" w:cs="Times New Roman"/>
          <w:bCs/>
          <w:kern w:val="2"/>
          <w:sz w:val="20"/>
          <w:szCs w:val="20"/>
          <w14:ligatures w14:val="standardContextual"/>
        </w:rPr>
      </w:pPr>
    </w:p>
    <w:p w14:paraId="5ABAAE15">
      <w:pPr>
        <w:pStyle w:val="7"/>
        <w:rPr>
          <w:rFonts w:ascii="Times New Roman" w:hAnsi="Times New Roman" w:eastAsia="Times New Roman" w:cs="Times New Roman"/>
          <w:bCs/>
          <w:kern w:val="2"/>
          <w:sz w:val="20"/>
          <w:szCs w:val="20"/>
          <w14:ligatures w14:val="standardContextual"/>
        </w:rPr>
      </w:pPr>
    </w:p>
    <w:p w14:paraId="1A2A15BC">
      <w:pPr>
        <w:pStyle w:val="5"/>
        <w:numPr>
          <w:ilvl w:val="0"/>
          <w:numId w:val="5"/>
        </w:numPr>
        <w:spacing w:line="480" w:lineRule="auto"/>
        <w:jc w:val="both"/>
      </w:pPr>
      <w:r>
        <w:t>Sex-effect (β) parameters for LI/CI and Canine/LI RED ratios were estimated using Bayesian normal models with baseline and wider priors.</w:t>
      </w:r>
    </w:p>
    <w:p w14:paraId="5B908591">
      <w:pPr>
        <w:pStyle w:val="5"/>
        <w:numPr>
          <w:ilvl w:val="0"/>
          <w:numId w:val="5"/>
        </w:numPr>
        <w:spacing w:line="480" w:lineRule="auto"/>
        <w:jc w:val="both"/>
      </w:pPr>
      <w:r>
        <w:t>Baseline priors: [specify baseline prior details, e.g., Normal(0, 0.1)]; wider priors used the same means but increased dispersion.</w:t>
      </w:r>
    </w:p>
    <w:p w14:paraId="5260F553">
      <w:pPr>
        <w:pStyle w:val="5"/>
        <w:numPr>
          <w:ilvl w:val="0"/>
          <w:numId w:val="5"/>
        </w:numPr>
        <w:spacing w:line="480" w:lineRule="auto"/>
        <w:jc w:val="both"/>
      </w:pPr>
      <w:r>
        <w:t>Sex effects remain small and centred near zero under both priors.</w:t>
      </w:r>
    </w:p>
    <w:p w14:paraId="6CB04F56">
      <w:pPr>
        <w:pStyle w:val="5"/>
        <w:numPr>
          <w:ilvl w:val="0"/>
          <w:numId w:val="5"/>
        </w:numPr>
        <w:spacing w:line="480" w:lineRule="auto"/>
        <w:jc w:val="both"/>
      </w:pPr>
      <w:r>
        <w:t>Credible intervals under wider priors are slightly broader but still cover a narrow band around zero.</w:t>
      </w:r>
    </w:p>
    <w:p w14:paraId="5A17E3C8">
      <w:pPr>
        <w:pStyle w:val="5"/>
        <w:numPr>
          <w:ilvl w:val="0"/>
          <w:numId w:val="5"/>
        </w:numPr>
        <w:spacing w:line="480" w:lineRule="auto"/>
        <w:jc w:val="both"/>
      </w:pPr>
      <w:r>
        <w:t>The conclusion of no clinically meaningful sex difference in RED ratios is robust to reasonable prior changes.</w:t>
      </w:r>
    </w:p>
    <w:p w14:paraId="618A4E70">
      <w:pPr>
        <w:keepNext/>
        <w:keepLines/>
        <w:widowControl/>
        <w:spacing w:before="281" w:after="281" w:line="278" w:lineRule="auto"/>
        <w:outlineLvl w:val="2"/>
        <w:rPr>
          <w:rFonts w:ascii="Times New Roman" w:hAnsi="Times New Roman" w:eastAsia="Times New Roman" w:cs="Times New Roman"/>
          <w:b/>
          <w:kern w:val="2"/>
          <w:sz w:val="24"/>
          <w:szCs w:val="24"/>
          <w:u w:val="single"/>
          <w14:ligatures w14:val="standardContextual"/>
        </w:rPr>
      </w:pPr>
    </w:p>
    <w:p w14:paraId="11F01647">
      <w:pPr>
        <w:keepNext/>
        <w:keepLines/>
        <w:widowControl/>
        <w:spacing w:before="281" w:after="281" w:line="278" w:lineRule="auto"/>
        <w:outlineLvl w:val="2"/>
        <w:rPr>
          <w:rFonts w:ascii="Times New Roman" w:hAnsi="Times New Roman" w:eastAsia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b/>
          <w:kern w:val="2"/>
          <w:sz w:val="24"/>
          <w:szCs w:val="24"/>
          <w14:ligatures w14:val="standardContextual"/>
        </w:rPr>
        <w:t>Table S3. Sensitivity of Golden proportion prevalence to prior choice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27"/>
        <w:gridCol w:w="1888"/>
        <w:gridCol w:w="1433"/>
        <w:gridCol w:w="1447"/>
      </w:tblGrid>
      <w:tr w14:paraId="7780FABF">
        <w:trPr>
          <w:trHeight w:val="300" w:hRule="atLeast"/>
        </w:trPr>
        <w:tc>
          <w:tcPr>
            <w:tcW w:w="1620" w:type="dxa"/>
            <w:vAlign w:val="center"/>
          </w:tcPr>
          <w:p w14:paraId="4293515F">
            <w:pPr>
              <w:keepNext/>
              <w:keepLines/>
              <w:widowControl/>
              <w:spacing w:before="281" w:after="281" w:line="278" w:lineRule="auto"/>
              <w:outlineLvl w:val="2"/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Prior</w:t>
            </w:r>
          </w:p>
        </w:tc>
        <w:tc>
          <w:tcPr>
            <w:tcW w:w="1427" w:type="dxa"/>
            <w:vAlign w:val="center"/>
          </w:tcPr>
          <w:p w14:paraId="28A59077">
            <w:pPr>
              <w:widowControl/>
              <w:spacing w:line="278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Definition</w:t>
            </w:r>
          </w:p>
        </w:tc>
        <w:tc>
          <w:tcPr>
            <w:tcW w:w="1888" w:type="dxa"/>
            <w:vAlign w:val="center"/>
          </w:tcPr>
          <w:p w14:paraId="72A3EEBB">
            <w:pPr>
              <w:widowControl/>
              <w:spacing w:line="278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Posterior Mean</w:t>
            </w:r>
          </w:p>
        </w:tc>
        <w:tc>
          <w:tcPr>
            <w:tcW w:w="1433" w:type="dxa"/>
            <w:vAlign w:val="center"/>
          </w:tcPr>
          <w:p w14:paraId="160A8368">
            <w:pPr>
              <w:widowControl/>
              <w:spacing w:line="278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95% CrI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0A0A0A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r>
              <w:rPr>
                <w:rFonts w:hint="eastAsia"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L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ower</w:t>
            </w:r>
          </w:p>
        </w:tc>
        <w:tc>
          <w:tcPr>
            <w:tcW w:w="1447" w:type="dxa"/>
            <w:vAlign w:val="center"/>
          </w:tcPr>
          <w:p w14:paraId="2C5FEFD8">
            <w:pPr>
              <w:widowControl/>
              <w:spacing w:line="278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95% CrI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0A0A0A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r>
              <w:rPr>
                <w:rFonts w:hint="eastAsia"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U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14:ligatures w14:val="standardContextual"/>
              </w:rPr>
              <w:t>pper</w:t>
            </w:r>
          </w:p>
        </w:tc>
      </w:tr>
      <w:tr w14:paraId="4A5F4832">
        <w:trPr>
          <w:trHeight w:val="300" w:hRule="atLeast"/>
        </w:trPr>
        <w:tc>
          <w:tcPr>
            <w:tcW w:w="1620" w:type="dxa"/>
            <w:vAlign w:val="center"/>
          </w:tcPr>
          <w:p w14:paraId="2A2063F4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Beta (1,1)</w:t>
            </w:r>
          </w:p>
        </w:tc>
        <w:tc>
          <w:tcPr>
            <w:tcW w:w="1427" w:type="dxa"/>
            <w:vAlign w:val="center"/>
          </w:tcPr>
          <w:p w14:paraId="37A75724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LI</w:t>
            </w: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*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/CI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†</w:t>
            </w:r>
          </w:p>
        </w:tc>
        <w:tc>
          <w:tcPr>
            <w:tcW w:w="1888" w:type="dxa"/>
            <w:vAlign w:val="center"/>
          </w:tcPr>
          <w:p w14:paraId="29C6CF34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0.500</w:t>
            </w:r>
          </w:p>
        </w:tc>
        <w:tc>
          <w:tcPr>
            <w:tcW w:w="1433" w:type="dxa"/>
            <w:vAlign w:val="center"/>
          </w:tcPr>
          <w:p w14:paraId="4B07D089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0.325</w:t>
            </w:r>
          </w:p>
        </w:tc>
        <w:tc>
          <w:tcPr>
            <w:tcW w:w="1447" w:type="dxa"/>
            <w:vAlign w:val="center"/>
          </w:tcPr>
          <w:p w14:paraId="05D7FF06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0.675</w:t>
            </w:r>
          </w:p>
        </w:tc>
      </w:tr>
      <w:tr w14:paraId="3E2C0C70">
        <w:trPr>
          <w:trHeight w:val="300" w:hRule="atLeast"/>
        </w:trPr>
        <w:tc>
          <w:tcPr>
            <w:tcW w:w="1620" w:type="dxa"/>
            <w:vAlign w:val="center"/>
          </w:tcPr>
          <w:p w14:paraId="446176C9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Beta (1,1)</w:t>
            </w:r>
          </w:p>
        </w:tc>
        <w:tc>
          <w:tcPr>
            <w:tcW w:w="1427" w:type="dxa"/>
            <w:vAlign w:val="center"/>
          </w:tcPr>
          <w:p w14:paraId="6A16E7F1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Ca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‡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/LI</w:t>
            </w: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1888" w:type="dxa"/>
            <w:vAlign w:val="center"/>
          </w:tcPr>
          <w:p w14:paraId="0BCCEA1C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0.167</w:t>
            </w:r>
          </w:p>
        </w:tc>
        <w:tc>
          <w:tcPr>
            <w:tcW w:w="1433" w:type="dxa"/>
            <w:vAlign w:val="center"/>
          </w:tcPr>
          <w:p w14:paraId="4F3DFAAE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0.058</w:t>
            </w:r>
          </w:p>
        </w:tc>
        <w:tc>
          <w:tcPr>
            <w:tcW w:w="1447" w:type="dxa"/>
            <w:vAlign w:val="center"/>
          </w:tcPr>
          <w:p w14:paraId="17C6BC21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0.317</w:t>
            </w:r>
          </w:p>
        </w:tc>
      </w:tr>
      <w:tr w14:paraId="4E4F849F">
        <w:trPr>
          <w:trHeight w:val="300" w:hRule="atLeast"/>
        </w:trPr>
        <w:tc>
          <w:tcPr>
            <w:tcW w:w="1620" w:type="dxa"/>
            <w:vAlign w:val="center"/>
          </w:tcPr>
          <w:p w14:paraId="3AE60558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Beta (1,1)</w:t>
            </w:r>
          </w:p>
        </w:tc>
        <w:tc>
          <w:tcPr>
            <w:tcW w:w="1427" w:type="dxa"/>
            <w:vAlign w:val="center"/>
          </w:tcPr>
          <w:p w14:paraId="2567E6F3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Full sextant</w:t>
            </w:r>
          </w:p>
        </w:tc>
        <w:tc>
          <w:tcPr>
            <w:tcW w:w="1888" w:type="dxa"/>
            <w:vAlign w:val="center"/>
          </w:tcPr>
          <w:p w14:paraId="1E13B3EC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0.033</w:t>
            </w:r>
          </w:p>
        </w:tc>
        <w:tc>
          <w:tcPr>
            <w:tcW w:w="1433" w:type="dxa"/>
            <w:vAlign w:val="center"/>
          </w:tcPr>
          <w:p w14:paraId="74EA2EB0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0.001</w:t>
            </w:r>
          </w:p>
        </w:tc>
        <w:tc>
          <w:tcPr>
            <w:tcW w:w="1447" w:type="dxa"/>
            <w:vAlign w:val="center"/>
          </w:tcPr>
          <w:p w14:paraId="570DFA7D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0.119</w:t>
            </w:r>
          </w:p>
        </w:tc>
      </w:tr>
      <w:tr w14:paraId="717E5A0A">
        <w:trPr>
          <w:trHeight w:val="300" w:hRule="atLeast"/>
        </w:trPr>
        <w:tc>
          <w:tcPr>
            <w:tcW w:w="1620" w:type="dxa"/>
            <w:vAlign w:val="center"/>
          </w:tcPr>
          <w:p w14:paraId="5B9FA13A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Beta (0.5,0.5)</w:t>
            </w:r>
          </w:p>
        </w:tc>
        <w:tc>
          <w:tcPr>
            <w:tcW w:w="1427" w:type="dxa"/>
            <w:vAlign w:val="center"/>
          </w:tcPr>
          <w:p w14:paraId="15F90344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LI</w:t>
            </w: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*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/CI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†</w:t>
            </w:r>
          </w:p>
        </w:tc>
        <w:tc>
          <w:tcPr>
            <w:tcW w:w="1888" w:type="dxa"/>
            <w:vAlign w:val="center"/>
          </w:tcPr>
          <w:p w14:paraId="0CFF0F57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0.500</w:t>
            </w:r>
          </w:p>
        </w:tc>
        <w:tc>
          <w:tcPr>
            <w:tcW w:w="1433" w:type="dxa"/>
            <w:vAlign w:val="center"/>
          </w:tcPr>
          <w:p w14:paraId="2FFC2298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0.322</w:t>
            </w:r>
          </w:p>
        </w:tc>
        <w:tc>
          <w:tcPr>
            <w:tcW w:w="1447" w:type="dxa"/>
            <w:vAlign w:val="center"/>
          </w:tcPr>
          <w:p w14:paraId="76C7FE94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0.678</w:t>
            </w:r>
          </w:p>
        </w:tc>
      </w:tr>
      <w:tr w14:paraId="5439404C">
        <w:trPr>
          <w:trHeight w:val="300" w:hRule="atLeast"/>
        </w:trPr>
        <w:tc>
          <w:tcPr>
            <w:tcW w:w="1620" w:type="dxa"/>
            <w:vAlign w:val="center"/>
          </w:tcPr>
          <w:p w14:paraId="17512F97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Beta (0.5,0.5)</w:t>
            </w:r>
          </w:p>
        </w:tc>
        <w:tc>
          <w:tcPr>
            <w:tcW w:w="1427" w:type="dxa"/>
            <w:vAlign w:val="center"/>
          </w:tcPr>
          <w:p w14:paraId="209B745F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Ca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‡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/LI</w:t>
            </w: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1888" w:type="dxa"/>
            <w:vAlign w:val="center"/>
          </w:tcPr>
          <w:p w14:paraId="06CC230D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0.155</w:t>
            </w:r>
          </w:p>
        </w:tc>
        <w:tc>
          <w:tcPr>
            <w:tcW w:w="1433" w:type="dxa"/>
            <w:vAlign w:val="center"/>
          </w:tcPr>
          <w:p w14:paraId="60696896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0.050</w:t>
            </w:r>
          </w:p>
        </w:tc>
        <w:tc>
          <w:tcPr>
            <w:tcW w:w="1447" w:type="dxa"/>
            <w:vAlign w:val="center"/>
          </w:tcPr>
          <w:p w14:paraId="46DE2B8B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0.305</w:t>
            </w:r>
          </w:p>
        </w:tc>
      </w:tr>
      <w:tr w14:paraId="01D4DAC6">
        <w:trPr>
          <w:trHeight w:val="300" w:hRule="atLeast"/>
        </w:trPr>
        <w:tc>
          <w:tcPr>
            <w:tcW w:w="1620" w:type="dxa"/>
            <w:vAlign w:val="center"/>
          </w:tcPr>
          <w:p w14:paraId="3364846B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Beta (0.5,0.5)</w:t>
            </w:r>
          </w:p>
        </w:tc>
        <w:tc>
          <w:tcPr>
            <w:tcW w:w="1427" w:type="dxa"/>
            <w:vAlign w:val="center"/>
          </w:tcPr>
          <w:p w14:paraId="3238CA6C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Full sextant</w:t>
            </w:r>
          </w:p>
        </w:tc>
        <w:tc>
          <w:tcPr>
            <w:tcW w:w="1888" w:type="dxa"/>
            <w:vAlign w:val="center"/>
          </w:tcPr>
          <w:p w14:paraId="47BA6B00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0.017</w:t>
            </w:r>
          </w:p>
        </w:tc>
        <w:tc>
          <w:tcPr>
            <w:tcW w:w="1433" w:type="dxa"/>
            <w:vAlign w:val="center"/>
          </w:tcPr>
          <w:p w14:paraId="55A7A9B4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0.000</w:t>
            </w:r>
          </w:p>
        </w:tc>
        <w:tc>
          <w:tcPr>
            <w:tcW w:w="1447" w:type="dxa"/>
            <w:vAlign w:val="center"/>
          </w:tcPr>
          <w:p w14:paraId="1C263BE7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0.085</w:t>
            </w:r>
          </w:p>
        </w:tc>
      </w:tr>
      <w:tr w14:paraId="45BA907D">
        <w:trPr>
          <w:trHeight w:val="300" w:hRule="atLeast"/>
        </w:trPr>
        <w:tc>
          <w:tcPr>
            <w:tcW w:w="1620" w:type="dxa"/>
            <w:vAlign w:val="center"/>
          </w:tcPr>
          <w:p w14:paraId="5DD986D7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Beta (2,2)</w:t>
            </w:r>
          </w:p>
        </w:tc>
        <w:tc>
          <w:tcPr>
            <w:tcW w:w="1427" w:type="dxa"/>
            <w:vAlign w:val="center"/>
          </w:tcPr>
          <w:p w14:paraId="7D16C6B0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LI</w:t>
            </w: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*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/CI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†</w:t>
            </w:r>
          </w:p>
        </w:tc>
        <w:tc>
          <w:tcPr>
            <w:tcW w:w="1888" w:type="dxa"/>
            <w:vAlign w:val="center"/>
          </w:tcPr>
          <w:p w14:paraId="6DD143F2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0.500</w:t>
            </w:r>
          </w:p>
        </w:tc>
        <w:tc>
          <w:tcPr>
            <w:tcW w:w="1433" w:type="dxa"/>
            <w:vAlign w:val="center"/>
          </w:tcPr>
          <w:p w14:paraId="10289E6B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0.331</w:t>
            </w:r>
          </w:p>
        </w:tc>
        <w:tc>
          <w:tcPr>
            <w:tcW w:w="1447" w:type="dxa"/>
            <w:vAlign w:val="center"/>
          </w:tcPr>
          <w:p w14:paraId="015219F6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0.669</w:t>
            </w:r>
          </w:p>
        </w:tc>
      </w:tr>
      <w:tr w14:paraId="5B0B85C6">
        <w:trPr>
          <w:trHeight w:val="300" w:hRule="atLeast"/>
        </w:trPr>
        <w:tc>
          <w:tcPr>
            <w:tcW w:w="1620" w:type="dxa"/>
            <w:vAlign w:val="center"/>
          </w:tcPr>
          <w:p w14:paraId="2145E600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Beta (2,2)</w:t>
            </w:r>
          </w:p>
        </w:tc>
        <w:tc>
          <w:tcPr>
            <w:tcW w:w="1427" w:type="dxa"/>
            <w:vAlign w:val="center"/>
          </w:tcPr>
          <w:p w14:paraId="11956419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Ca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‡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/LI</w:t>
            </w: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1888" w:type="dxa"/>
            <w:vAlign w:val="center"/>
          </w:tcPr>
          <w:p w14:paraId="2B2DBB3F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0.188</w:t>
            </w:r>
          </w:p>
        </w:tc>
        <w:tc>
          <w:tcPr>
            <w:tcW w:w="1433" w:type="dxa"/>
            <w:vAlign w:val="center"/>
          </w:tcPr>
          <w:p w14:paraId="14752127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0.075</w:t>
            </w:r>
          </w:p>
        </w:tc>
        <w:tc>
          <w:tcPr>
            <w:tcW w:w="1447" w:type="dxa"/>
            <w:vAlign w:val="center"/>
          </w:tcPr>
          <w:p w14:paraId="6C8590A9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0.337</w:t>
            </w:r>
          </w:p>
        </w:tc>
      </w:tr>
      <w:tr w14:paraId="5D82D7B1">
        <w:trPr>
          <w:trHeight w:val="300" w:hRule="atLeast"/>
        </w:trPr>
        <w:tc>
          <w:tcPr>
            <w:tcW w:w="1620" w:type="dxa"/>
            <w:vAlign w:val="center"/>
          </w:tcPr>
          <w:p w14:paraId="6417E9CC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Beta (2,2)</w:t>
            </w:r>
          </w:p>
        </w:tc>
        <w:tc>
          <w:tcPr>
            <w:tcW w:w="1427" w:type="dxa"/>
            <w:vAlign w:val="center"/>
          </w:tcPr>
          <w:p w14:paraId="04713465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Full sextant</w:t>
            </w:r>
          </w:p>
        </w:tc>
        <w:tc>
          <w:tcPr>
            <w:tcW w:w="1888" w:type="dxa"/>
            <w:vAlign w:val="center"/>
          </w:tcPr>
          <w:p w14:paraId="05F3AEC8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0.062</w:t>
            </w:r>
          </w:p>
        </w:tc>
        <w:tc>
          <w:tcPr>
            <w:tcW w:w="1433" w:type="dxa"/>
            <w:vAlign w:val="center"/>
          </w:tcPr>
          <w:p w14:paraId="7084E8F3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0.008</w:t>
            </w:r>
          </w:p>
        </w:tc>
        <w:tc>
          <w:tcPr>
            <w:tcW w:w="1447" w:type="dxa"/>
            <w:vAlign w:val="center"/>
          </w:tcPr>
          <w:p w14:paraId="35E99841">
            <w:pPr>
              <w:widowControl/>
              <w:spacing w:line="278" w:lineRule="auto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4"/>
                <w:szCs w:val="24"/>
                <w14:ligatures w14:val="standardContextual"/>
              </w:rPr>
              <w:t>0.167</w:t>
            </w:r>
          </w:p>
        </w:tc>
      </w:tr>
    </w:tbl>
    <w:p w14:paraId="5F6763F1">
      <w:pPr>
        <w:pStyle w:val="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*Lateral Incisor.</w:t>
      </w:r>
    </w:p>
    <w:p w14:paraId="1C71FFDA">
      <w:pPr>
        <w:pStyle w:val="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†Central Incisor.</w:t>
      </w:r>
    </w:p>
    <w:p w14:paraId="5C7105DE">
      <w:pPr>
        <w:pStyle w:val="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‡</w:t>
      </w:r>
      <w:r>
        <w:rPr>
          <w:rFonts w:ascii="Times New Roman" w:hAnsi="Times New Roman" w:eastAsia="Times New Roman" w:cs="Times New Roman"/>
          <w:sz w:val="20"/>
          <w:szCs w:val="20"/>
        </w:rPr>
        <w:t>Canine.</w:t>
      </w:r>
    </w:p>
    <w:p w14:paraId="5CC07C24">
      <w:pPr>
        <w:pStyle w:val="7"/>
      </w:pPr>
      <w:r>
        <w:rPr>
          <w:rStyle w:val="6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  <w:vertAlign w:val="superscript"/>
        </w:rPr>
        <w:t>§</w:t>
      </w:r>
      <w:r>
        <w:rPr>
          <w:rFonts w:ascii="Times New Roman" w:hAnsi="Times New Roman" w:eastAsia="Times New Roman" w:cs="Times New Roman"/>
          <w:bCs/>
          <w:kern w:val="2"/>
          <w:sz w:val="20"/>
          <w:szCs w:val="20"/>
          <w14:ligatures w14:val="standardContextual"/>
        </w:rPr>
        <w:t>Credible Interval</w:t>
      </w:r>
    </w:p>
    <w:p w14:paraId="7F999895">
      <w:pPr>
        <w:pStyle w:val="5"/>
        <w:numPr>
          <w:ilvl w:val="0"/>
          <w:numId w:val="6"/>
        </w:numPr>
        <w:spacing w:line="480" w:lineRule="auto"/>
        <w:jc w:val="both"/>
      </w:pPr>
      <w:r>
        <w:t>Counts of Golden cases (n = 28) were assessed for LI/CI, Canine/LI, and full sextant.</w:t>
      </w:r>
    </w:p>
    <w:p w14:paraId="427F92ED">
      <w:pPr>
        <w:pStyle w:val="5"/>
        <w:numPr>
          <w:ilvl w:val="0"/>
          <w:numId w:val="6"/>
        </w:numPr>
        <w:spacing w:line="480" w:lineRule="auto"/>
        <w:jc w:val="both"/>
      </w:pPr>
      <w:r>
        <w:t>Posterior prevalence was estimated using Beta-Binomial models under Beta(1,1), Beta(0.5,0.5), and Beta(2,2) priors.</w:t>
      </w:r>
    </w:p>
    <w:p w14:paraId="33345F3F">
      <w:pPr>
        <w:pStyle w:val="5"/>
        <w:numPr>
          <w:ilvl w:val="0"/>
          <w:numId w:val="6"/>
        </w:numPr>
        <w:spacing w:line="480" w:lineRule="auto"/>
        <w:jc w:val="both"/>
      </w:pPr>
      <w:r>
        <w:t>Posterior estimates were consistent across priors, indicating robustness of Golden proportion prevalence to prior choice.</w:t>
      </w:r>
    </w:p>
    <w:p w14:paraId="7B36C2DC">
      <w:pPr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E5CFE"/>
    <w:p w14:paraId="0A8E69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40"/>
        <w:rPr>
          <w:rFonts w:ascii="Times New Roman" w:hAnsi="Times New Roman" w:eastAsia="Google Sans" w:cs="Times New Roman"/>
          <w:sz w:val="24"/>
          <w:szCs w:val="24"/>
        </w:rPr>
      </w:pPr>
    </w:p>
    <w:p w14:paraId="5A3A9378"/>
    <w:sectPr>
      <w:headerReference r:id="rId3" w:type="default"/>
      <w:pgSz w:w="12240" w:h="15840"/>
      <w:pgMar w:top="1440" w:right="1440" w:bottom="1440" w:left="1440" w:header="0" w:footer="720" w:gutter="0"/>
      <w:lnNumType w:countBy="1" w:restart="continuous"/>
      <w:pgNumType w:start="1"/>
      <w:cols w:space="720" w:num="1"/>
      <mc:AlternateContent>
        <mc:Choice Requires="wpsCustomData">
          <wpsCustomData:blankLineNoLineNum/>
        </mc:Choice>
      </mc:AlternateContent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engXian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Google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5AC8D603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D9F923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5D687A"/>
    <w:multiLevelType w:val="singleLevel"/>
    <w:tmpl w:val="BA5D687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BFF4F5F"/>
    <w:multiLevelType w:val="singleLevel"/>
    <w:tmpl w:val="BBFF4F5F"/>
    <w:lvl w:ilvl="0" w:tentative="0">
      <w:start w:val="1"/>
      <w:numFmt w:val="decimal"/>
      <w:suff w:val="space"/>
      <w:lvlText w:val="%1."/>
      <w:lvlJc w:val="left"/>
      <w:pPr>
        <w:ind w:left="60" w:firstLine="0"/>
      </w:pPr>
    </w:lvl>
  </w:abstractNum>
  <w:abstractNum w:abstractNumId="2">
    <w:nsid w:val="BFFE7300"/>
    <w:multiLevelType w:val="singleLevel"/>
    <w:tmpl w:val="BFFE730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7FFAE53"/>
    <w:multiLevelType w:val="singleLevel"/>
    <w:tmpl w:val="F7FFAE53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EFAF3F3"/>
    <w:multiLevelType w:val="singleLevel"/>
    <w:tmpl w:val="FEFAF3F3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0F7C4207"/>
    <w:multiLevelType w:val="singleLevel"/>
    <w:tmpl w:val="0F7C4207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556DB1"/>
    <w:rsid w:val="7F7CA485"/>
    <w:rsid w:val="9F55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eastAsia="Arial" w:cs="Arial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uiPriority w:val="99"/>
    <w:pPr>
      <w:tabs>
        <w:tab w:val="center" w:pos="4680"/>
        <w:tab w:val="right" w:pos="9360"/>
      </w:tabs>
    </w:pPr>
  </w:style>
  <w:style w:type="paragraph" w:styleId="5">
    <w:name w:val="Normal (Web)"/>
    <w:unhideWhenUsed/>
    <w:uiPriority w:val="99"/>
    <w:pPr>
      <w:widowControl/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No Spacing"/>
    <w:qFormat/>
    <w:uiPriority w:val="1"/>
    <w:pPr>
      <w:widowControl w:val="0"/>
    </w:pPr>
    <w:rPr>
      <w:rFonts w:ascii="Arial" w:hAnsi="Arial" w:eastAsia="Arial" w:cs="Arial"/>
      <w:sz w:val="22"/>
      <w:szCs w:val="22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Office_12.1.22531.22531_F1E327BC-269C-435d-A152-05C5408002CA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2026-01-02T23:31:00Z</dcterms:created>
  <dc:creator>WPS_1758388090</dc:creator>
  <cp:lastModifiedBy>WPS_1758388090</cp:lastModifiedBy>
  <dcterms:modified xsi:type="dcterms:W3CDTF">2026-02-28T14:38:37Z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1033-12.1.22531.22531</vt:lpwstr>
  </property>
  <property fmtid="{D5CDD505-2E9C-101B-9397-08002B2CF9AE}" pid="3" name="ICV">
    <vt:lpwstr>8AEFADE6186DB3E6BFC85769673B98F2_41</vt:lpwstr>
  </property>
</Properties>
</file>