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27BA" w14:textId="77777777" w:rsidR="008C3DE6" w:rsidRPr="001A293E" w:rsidRDefault="008C3DE6" w:rsidP="008C3DE6">
      <w:pPr>
        <w:pStyle w:val="Heading1"/>
      </w:pPr>
      <w:r>
        <w:t>Supplementary information for</w:t>
      </w:r>
    </w:p>
    <w:p w14:paraId="4D52D4E6" w14:textId="77777777" w:rsidR="008C3DE6" w:rsidRDefault="008C3DE6" w:rsidP="008C3DE6">
      <w:pPr>
        <w:pStyle w:val="Heading1"/>
      </w:pPr>
      <w:r>
        <w:t>Is Platinum a Proton Blocking Catalyst?</w:t>
      </w:r>
    </w:p>
    <w:p w14:paraId="7DBE5C95" w14:textId="0E4F7CF2" w:rsidR="008C3DE6" w:rsidRPr="00A92031" w:rsidRDefault="008C3DE6" w:rsidP="008C3DE6">
      <w:pPr>
        <w:pStyle w:val="Subtitle"/>
      </w:pPr>
      <w:r>
        <w:t>Aparna Saksena*</w:t>
      </w:r>
      <w:r w:rsidRPr="668290E5">
        <w:rPr>
          <w:vertAlign w:val="superscript"/>
        </w:rPr>
        <w:t>a</w:t>
      </w:r>
      <w:r>
        <w:t>, Bingxin Li</w:t>
      </w:r>
      <w:r w:rsidRPr="00D45BD7">
        <w:rPr>
          <w:vertAlign w:val="superscript"/>
        </w:rPr>
        <w:t>a</w:t>
      </w:r>
      <w:r>
        <w:t xml:space="preserve">, Yujun </w:t>
      </w:r>
      <w:proofErr w:type="spellStart"/>
      <w:r>
        <w:t>Zhao</w:t>
      </w:r>
      <w:r w:rsidRPr="668290E5">
        <w:rPr>
          <w:vertAlign w:val="superscript"/>
        </w:rPr>
        <w:t>a</w:t>
      </w:r>
      <w:proofErr w:type="spellEnd"/>
      <w:r>
        <w:t xml:space="preserve">, J. Manoj </w:t>
      </w:r>
      <w:proofErr w:type="spellStart"/>
      <w:proofErr w:type="gramStart"/>
      <w:r>
        <w:t>Prabhakar</w:t>
      </w:r>
      <w:r w:rsidRPr="668290E5">
        <w:rPr>
          <w:vertAlign w:val="superscript"/>
        </w:rPr>
        <w:t>a</w:t>
      </w:r>
      <w:r>
        <w:rPr>
          <w:vertAlign w:val="superscript"/>
        </w:rPr>
        <w:t>,b</w:t>
      </w:r>
      <w:proofErr w:type="spellEnd"/>
      <w:proofErr w:type="gramEnd"/>
      <w:r>
        <w:t xml:space="preserve">, </w:t>
      </w:r>
      <w:proofErr w:type="spellStart"/>
      <w:r w:rsidRPr="00360B48">
        <w:t>Jörg</w:t>
      </w:r>
      <w:proofErr w:type="spellEnd"/>
      <w:r w:rsidRPr="00360B48">
        <w:t xml:space="preserve"> </w:t>
      </w:r>
      <w:proofErr w:type="spellStart"/>
      <w:r w:rsidRPr="00360B48">
        <w:t>Neugebauer</w:t>
      </w:r>
      <w:r w:rsidRPr="00D45BD7">
        <w:rPr>
          <w:vertAlign w:val="superscript"/>
        </w:rPr>
        <w:t>a</w:t>
      </w:r>
      <w:proofErr w:type="spellEnd"/>
      <w:r w:rsidRPr="00360B48">
        <w:t xml:space="preserve">, Mira </w:t>
      </w:r>
      <w:proofErr w:type="spellStart"/>
      <w:r w:rsidRPr="00360B48">
        <w:t>Todorova</w:t>
      </w:r>
      <w:r w:rsidRPr="00D45BD7">
        <w:rPr>
          <w:vertAlign w:val="superscript"/>
        </w:rPr>
        <w:t>a</w:t>
      </w:r>
      <w:proofErr w:type="spellEnd"/>
      <w:r>
        <w:t>,</w:t>
      </w:r>
      <w:r w:rsidRPr="00360B48">
        <w:t xml:space="preserve"> </w:t>
      </w:r>
      <w:r>
        <w:t xml:space="preserve">Dierk </w:t>
      </w:r>
      <w:proofErr w:type="spellStart"/>
      <w:r>
        <w:t>Raabe</w:t>
      </w:r>
      <w:r w:rsidRPr="668290E5">
        <w:rPr>
          <w:vertAlign w:val="superscript"/>
        </w:rPr>
        <w:t>a</w:t>
      </w:r>
      <w:proofErr w:type="spellEnd"/>
      <w:r>
        <w:t>,</w:t>
      </w:r>
      <w:r w:rsidRPr="668290E5">
        <w:rPr>
          <w:vertAlign w:val="superscript"/>
        </w:rPr>
        <w:t xml:space="preserve"> </w:t>
      </w:r>
      <w:r>
        <w:t xml:space="preserve">Baptiste </w:t>
      </w:r>
      <w:proofErr w:type="spellStart"/>
      <w:r>
        <w:t>Gault</w:t>
      </w:r>
      <w:r w:rsidRPr="668290E5">
        <w:rPr>
          <w:vertAlign w:val="superscript"/>
        </w:rPr>
        <w:t>a,</w:t>
      </w:r>
      <w:r>
        <w:rPr>
          <w:vertAlign w:val="superscript"/>
        </w:rPr>
        <w:t>c</w:t>
      </w:r>
      <w:proofErr w:type="spellEnd"/>
      <w:r>
        <w:t>, Yug Joshi*</w:t>
      </w:r>
      <w:r w:rsidRPr="668290E5">
        <w:rPr>
          <w:vertAlign w:val="superscript"/>
        </w:rPr>
        <w:t>a</w:t>
      </w:r>
    </w:p>
    <w:p w14:paraId="0AF2C8F4" w14:textId="77777777" w:rsidR="008C3DE6" w:rsidRPr="00A92031" w:rsidRDefault="008C3DE6" w:rsidP="008C3DE6">
      <w:pPr>
        <w:pStyle w:val="Subtitle"/>
      </w:pPr>
    </w:p>
    <w:p w14:paraId="1F13DFD5" w14:textId="77777777" w:rsidR="008C3DE6" w:rsidRDefault="008C3DE6" w:rsidP="008C3DE6">
      <w:r w:rsidRPr="004954AA">
        <w:rPr>
          <w:vertAlign w:val="superscript"/>
        </w:rPr>
        <w:t xml:space="preserve">a </w:t>
      </w:r>
      <w:r>
        <w:rPr>
          <w:rFonts w:ascii="Roboto" w:hAnsi="Roboto"/>
          <w:color w:val="000000"/>
          <w:spacing w:val="2"/>
          <w:shd w:val="clear" w:color="auto" w:fill="FFFFFF"/>
        </w:rPr>
        <w:t>Max Planck Institute for Sustainable Materials</w:t>
      </w:r>
      <w:r w:rsidRPr="0064361A">
        <w:t>, Max-Planck-Stra</w:t>
      </w:r>
      <w:r w:rsidRPr="000A2AB5">
        <w:t>β</w:t>
      </w:r>
      <w:r w:rsidRPr="0064361A">
        <w:t>e 1, Düsseldorf 40237, Germany</w:t>
      </w:r>
    </w:p>
    <w:p w14:paraId="587EA1C7" w14:textId="77777777" w:rsidR="008C3DE6" w:rsidRPr="0064361A" w:rsidRDefault="008C3DE6" w:rsidP="008C3DE6">
      <w:r w:rsidRPr="00EA14F0">
        <w:rPr>
          <w:vertAlign w:val="superscript"/>
        </w:rPr>
        <w:t>b</w:t>
      </w:r>
      <w:r>
        <w:t xml:space="preserve"> </w:t>
      </w:r>
      <w:r w:rsidRPr="00EA14F0">
        <w:t>Department of Metallurgical and Materials Engineering, Indian Institute of Technology Madras, Chennai, 600036, India</w:t>
      </w:r>
    </w:p>
    <w:p w14:paraId="0D11405D" w14:textId="77777777" w:rsidR="008C3DE6" w:rsidRPr="00D45BD7" w:rsidRDefault="008C3DE6" w:rsidP="008C3DE6">
      <w:pPr>
        <w:rPr>
          <w:lang w:val="de-DE"/>
        </w:rPr>
      </w:pPr>
      <w:r>
        <w:rPr>
          <w:vertAlign w:val="superscript"/>
          <w:lang w:val="de-DE"/>
        </w:rPr>
        <w:t>c</w:t>
      </w:r>
      <w:r w:rsidRPr="00D45BD7">
        <w:rPr>
          <w:lang w:val="de-DE"/>
        </w:rPr>
        <w:t xml:space="preserve"> </w:t>
      </w:r>
      <w:proofErr w:type="spellStart"/>
      <w:r w:rsidRPr="00D45BD7">
        <w:rPr>
          <w:lang w:val="de-DE"/>
        </w:rPr>
        <w:t>Univ</w:t>
      </w:r>
      <w:proofErr w:type="spellEnd"/>
      <w:r w:rsidRPr="00D45BD7">
        <w:rPr>
          <w:lang w:val="de-DE"/>
        </w:rPr>
        <w:t xml:space="preserve"> Rouen Normandie, CNRS, INSA Rouen Normandie, </w:t>
      </w:r>
      <w:proofErr w:type="spellStart"/>
      <w:r w:rsidRPr="00D45BD7">
        <w:rPr>
          <w:lang w:val="de-DE"/>
        </w:rPr>
        <w:t>Groupe</w:t>
      </w:r>
      <w:proofErr w:type="spellEnd"/>
      <w:r w:rsidRPr="00D45BD7">
        <w:rPr>
          <w:lang w:val="de-DE"/>
        </w:rPr>
        <w:t xml:space="preserve"> de </w:t>
      </w:r>
      <w:proofErr w:type="spellStart"/>
      <w:r w:rsidRPr="00D45BD7">
        <w:rPr>
          <w:lang w:val="de-DE"/>
        </w:rPr>
        <w:t>Physique</w:t>
      </w:r>
      <w:proofErr w:type="spellEnd"/>
      <w:r w:rsidRPr="00D45BD7">
        <w:rPr>
          <w:lang w:val="de-DE"/>
        </w:rPr>
        <w:t xml:space="preserve"> des </w:t>
      </w:r>
      <w:proofErr w:type="spellStart"/>
      <w:r w:rsidRPr="00D45BD7">
        <w:rPr>
          <w:lang w:val="de-DE"/>
        </w:rPr>
        <w:t>Matériaux</w:t>
      </w:r>
      <w:proofErr w:type="spellEnd"/>
      <w:r w:rsidRPr="00D45BD7">
        <w:rPr>
          <w:lang w:val="de-DE"/>
        </w:rPr>
        <w:t>, UMR 6634, F-76000 Rouen, France</w:t>
      </w:r>
      <w:r w:rsidRPr="00D45BD7" w:rsidDel="0031526B">
        <w:rPr>
          <w:lang w:val="de-DE"/>
        </w:rPr>
        <w:t xml:space="preserve"> </w:t>
      </w:r>
    </w:p>
    <w:p w14:paraId="69DEE6EE" w14:textId="77777777" w:rsidR="008C3DE6" w:rsidRDefault="008C3DE6" w:rsidP="008C3DE6">
      <w:pPr>
        <w:rPr>
          <w:rStyle w:val="Hyperlink"/>
        </w:rPr>
      </w:pPr>
      <w:r w:rsidRPr="009A084D">
        <w:t>*</w:t>
      </w:r>
      <w:proofErr w:type="gramStart"/>
      <w:r w:rsidRPr="009A084D">
        <w:t>corresponding</w:t>
      </w:r>
      <w:proofErr w:type="gramEnd"/>
      <w:r w:rsidRPr="009A084D">
        <w:t xml:space="preserve"> author: </w:t>
      </w:r>
      <w:hyperlink r:id="rId6" w:history="1">
        <w:r w:rsidRPr="00350FC3">
          <w:rPr>
            <w:rStyle w:val="Hyperlink"/>
          </w:rPr>
          <w:t>a.saksena@mpi-susmat.de</w:t>
        </w:r>
      </w:hyperlink>
      <w:r>
        <w:t xml:space="preserve">, </w:t>
      </w:r>
      <w:hyperlink r:id="rId7" w:history="1">
        <w:r w:rsidRPr="00350FC3">
          <w:rPr>
            <w:rStyle w:val="Hyperlink"/>
          </w:rPr>
          <w:t>y.joshi@mpi-susmat.de</w:t>
        </w:r>
      </w:hyperlink>
    </w:p>
    <w:p w14:paraId="274E2CAD" w14:textId="77777777" w:rsidR="008C3DE6" w:rsidRPr="00C07775" w:rsidRDefault="008C3DE6" w:rsidP="008C3DE6">
      <w:pPr>
        <w:pStyle w:val="Heading2"/>
      </w:pPr>
      <w:r>
        <w:t>Atom probe Tomography (APT)</w:t>
      </w:r>
    </w:p>
    <w:p w14:paraId="7D14B81E" w14:textId="77777777" w:rsidR="008C3DE6" w:rsidRDefault="008C3DE6" w:rsidP="008C3DE6">
      <w:r>
        <w:t xml:space="preserve">For APT measurements and D analysis of the specimen extracted from </w:t>
      </w:r>
      <w:proofErr w:type="spellStart"/>
      <w:r>
        <w:t>Pt</w:t>
      </w:r>
      <w:r w:rsidRPr="001F7113">
        <w:rPr>
          <w:vertAlign w:val="subscript"/>
        </w:rPr>
        <w:t>DER</w:t>
      </w:r>
      <w:proofErr w:type="spellEnd"/>
      <w:r>
        <w:t>, the probability of molecular ions detected at 2 and 3 Da cannot be neglected. The contribution to these peaks is convoluted as for peak at 2 Da either/both H</w:t>
      </w:r>
      <w:r w:rsidRPr="00045A3F">
        <w:rPr>
          <w:vertAlign w:val="subscript"/>
        </w:rPr>
        <w:t>2</w:t>
      </w:r>
      <w:r w:rsidRPr="00045A3F">
        <w:rPr>
          <w:vertAlign w:val="superscript"/>
        </w:rPr>
        <w:t>+</w:t>
      </w:r>
      <w:r>
        <w:t xml:space="preserve"> molecular ion or/and D</w:t>
      </w:r>
      <w:r w:rsidRPr="00045A3F">
        <w:rPr>
          <w:vertAlign w:val="superscript"/>
        </w:rPr>
        <w:t>+</w:t>
      </w:r>
      <w:r>
        <w:rPr>
          <w:vertAlign w:val="superscript"/>
        </w:rPr>
        <w:t xml:space="preserve"> </w:t>
      </w:r>
      <w:r>
        <w:t>ion is possible. Similarly peak at 3 Da can have contributions from either/both H</w:t>
      </w:r>
      <w:r w:rsidRPr="00045A3F">
        <w:rPr>
          <w:vertAlign w:val="subscript"/>
        </w:rPr>
        <w:t>3</w:t>
      </w:r>
      <w:r w:rsidRPr="00045A3F">
        <w:rPr>
          <w:vertAlign w:val="superscript"/>
        </w:rPr>
        <w:t>+</w:t>
      </w:r>
      <w:r w:rsidRPr="00045A3F">
        <w:t xml:space="preserve"> </w:t>
      </w:r>
      <w:r>
        <w:t>molecular ion and/or DH</w:t>
      </w:r>
      <w:r w:rsidRPr="00045A3F">
        <w:rPr>
          <w:vertAlign w:val="superscript"/>
        </w:rPr>
        <w:t>+</w:t>
      </w:r>
      <w:r>
        <w:t xml:space="preserve"> ion. This depends on the instantaneous field conditions, where the charge state ratio (CSR) of the detected Pt can be used as a proxy. To accurately estimate the observed D in the </w:t>
      </w:r>
      <w:proofErr w:type="spellStart"/>
      <w:r>
        <w:t>Pt</w:t>
      </w:r>
      <w:r w:rsidRPr="001F7113">
        <w:rPr>
          <w:vertAlign w:val="subscript"/>
        </w:rPr>
        <w:t>DER</w:t>
      </w:r>
      <w:proofErr w:type="spellEnd"/>
      <w:r>
        <w:t xml:space="preserve"> specimen that underwent DER at a constant current density of </w:t>
      </w:r>
      <w:r>
        <w:rPr>
          <w:rFonts w:cs="Helvetica"/>
        </w:rPr>
        <w:t>−</w:t>
      </w:r>
      <w:r>
        <w:t>2.4 mA</w:t>
      </w:r>
      <w:r>
        <w:rPr>
          <w:rFonts w:cs="Helvetica"/>
        </w:rPr>
        <w:t>∙</w:t>
      </w:r>
      <w:r>
        <w:t>cm</w:t>
      </w:r>
      <w:r>
        <w:rPr>
          <w:rFonts w:cs="Helvetica"/>
          <w:vertAlign w:val="superscript"/>
        </w:rPr>
        <w:t>−</w:t>
      </w:r>
      <w:r w:rsidRPr="00111AB6">
        <w:rPr>
          <w:vertAlign w:val="superscript"/>
        </w:rPr>
        <w:t>2</w:t>
      </w:r>
      <w:r>
        <w:t xml:space="preserve"> for 12 h, reference Pt specimens are extracted from pristine Pt samples. The field condition is varied by changing the laser pulse energy from 70 </w:t>
      </w:r>
      <w:proofErr w:type="spellStart"/>
      <w:r>
        <w:t>pJ</w:t>
      </w:r>
      <w:proofErr w:type="spellEnd"/>
      <w:r>
        <w:t xml:space="preserve"> to 150 </w:t>
      </w:r>
      <w:proofErr w:type="spellStart"/>
      <w:r>
        <w:t>pJ</w:t>
      </w:r>
      <w:proofErr w:type="spellEnd"/>
      <w:r>
        <w:t xml:space="preserve">, where the overall mass spectra obtained from 3 such specimens are shown in Fig. S1. Since these specimens are not influenced by </w:t>
      </w:r>
      <w:r>
        <w:lastRenderedPageBreak/>
        <w:t>any D interaction, the peak at 2 Da exclusively corresponds to the field evaporation of H</w:t>
      </w:r>
      <w:r w:rsidRPr="00F7639C">
        <w:rPr>
          <w:vertAlign w:val="subscript"/>
        </w:rPr>
        <w:t>2</w:t>
      </w:r>
      <w:r w:rsidRPr="00F7639C">
        <w:rPr>
          <w:vertAlign w:val="superscript"/>
        </w:rPr>
        <w:t>+</w:t>
      </w:r>
      <w:r>
        <w:t xml:space="preserve"> molecular ion.</w:t>
      </w:r>
    </w:p>
    <w:p w14:paraId="1EE85DD9" w14:textId="77777777" w:rsidR="008C3DE6" w:rsidRDefault="008C3DE6" w:rsidP="008C3DE6">
      <w:pPr>
        <w:jc w:val="center"/>
      </w:pPr>
      <w:r>
        <w:rPr>
          <w:noProof/>
        </w:rPr>
        <w:drawing>
          <wp:inline distT="0" distB="0" distL="0" distR="0" wp14:anchorId="461C37D4" wp14:editId="063885C9">
            <wp:extent cx="3141108" cy="4987198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108" cy="498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068D" w14:textId="77777777" w:rsidR="008C3DE6" w:rsidRDefault="008C3DE6" w:rsidP="008C3DE6">
      <w:pPr>
        <w:pStyle w:val="Figure"/>
      </w:pPr>
      <w:r>
        <w:t>Fig. S1 shows the overall mass spectrum collected from Pt reference specimens, where the field conditions are varied by changing the applied laser pulse energy.</w:t>
      </w:r>
    </w:p>
    <w:p w14:paraId="65B93C51" w14:textId="69B62672" w:rsidR="008C3DE6" w:rsidRDefault="008C3DE6" w:rsidP="008C3DE6">
      <w:r>
        <w:t>Based on the reference measurements shown in Fig. S1, log of CSR of Pt</w:t>
      </w:r>
      <w:r w:rsidRPr="009D3BA2">
        <w:rPr>
          <w:vertAlign w:val="superscript"/>
        </w:rPr>
        <w:t>1</w:t>
      </w:r>
      <w:r w:rsidRPr="00657546">
        <w:rPr>
          <w:vertAlign w:val="superscript"/>
        </w:rPr>
        <w:t>+</w:t>
      </w:r>
      <w:r>
        <w:t xml:space="preserve"> is plotted as a function of the relative concentration of the H</w:t>
      </w:r>
      <w:r w:rsidRPr="009015A1">
        <w:rPr>
          <w:vertAlign w:val="subscript"/>
        </w:rPr>
        <w:t>2</w:t>
      </w:r>
      <w:r w:rsidRPr="009015A1">
        <w:rPr>
          <w:vertAlign w:val="superscript"/>
        </w:rPr>
        <w:t>+</w:t>
      </w:r>
      <w:r>
        <w:t xml:space="preserve"> with respect to the detected H</w:t>
      </w:r>
      <w:r w:rsidRPr="00DD68E1">
        <w:rPr>
          <w:vertAlign w:val="superscript"/>
        </w:rPr>
        <w:t>+</w:t>
      </w:r>
      <w:r w:rsidRPr="00A3691B">
        <w:t>,</w:t>
      </w:r>
      <w:r>
        <w:t xml:space="preserve"> shown in Fig. S2</w:t>
      </w:r>
      <w:r w:rsidR="00E43B38">
        <w:t>a</w:t>
      </w:r>
      <w:r>
        <w:t xml:space="preserve">, represented by black open circles. Also, for this quantification only the first isotope of Pt, for both charge states, is considered to avoid any influence of the detected </w:t>
      </w:r>
      <w:proofErr w:type="spellStart"/>
      <w:r>
        <w:t>PtH</w:t>
      </w:r>
      <w:proofErr w:type="spellEnd"/>
      <w:r w:rsidRPr="00D00603">
        <w:rPr>
          <w:vertAlign w:val="superscript"/>
        </w:rPr>
        <w:t>+</w:t>
      </w:r>
      <w:r>
        <w:t xml:space="preserve"> ions. The quantitative values of the instantaneous field are shown </w:t>
      </w:r>
      <w:r>
        <w:lastRenderedPageBreak/>
        <w:t xml:space="preserve">at various CSRs which are extracted from the calculated </w:t>
      </w:r>
      <w:proofErr w:type="spellStart"/>
      <w:r>
        <w:t>Kingham</w:t>
      </w:r>
      <w:proofErr w:type="spellEnd"/>
      <w:r>
        <w:t xml:space="preserve"> plots</w:t>
      </w:r>
      <w:r>
        <w:rPr>
          <w:rStyle w:val="FootnoteReference"/>
        </w:rPr>
        <w:footnoteReference w:id="1"/>
      </w:r>
      <w:r>
        <w:t xml:space="preserve"> for Pt. Similar analysis is performed for the </w:t>
      </w:r>
      <w:proofErr w:type="spellStart"/>
      <w:r>
        <w:t>Pt</w:t>
      </w:r>
      <w:r w:rsidRPr="00C9791E">
        <w:rPr>
          <w:vertAlign w:val="subscript"/>
        </w:rPr>
        <w:t>DER</w:t>
      </w:r>
      <w:proofErr w:type="spellEnd"/>
      <w:r>
        <w:t xml:space="preserve"> specimen, shown in Fig. S2A with red squares. Field conditions similar to </w:t>
      </w:r>
      <w:proofErr w:type="spellStart"/>
      <w:r>
        <w:t>Pt</w:t>
      </w:r>
      <w:r w:rsidRPr="00C9791E">
        <w:rPr>
          <w:vertAlign w:val="subscript"/>
        </w:rPr>
        <w:t>DER</w:t>
      </w:r>
      <w:proofErr w:type="spellEnd"/>
      <w:r>
        <w:t xml:space="preserve"> specimen is successfully reproduced by the reference measurements, where overlap between 26.5 V∙nm</w:t>
      </w:r>
      <w:r>
        <w:rPr>
          <w:rFonts w:cs="Helvetica"/>
          <w:vertAlign w:val="superscript"/>
        </w:rPr>
        <w:t>−</w:t>
      </w:r>
      <w:r w:rsidRPr="00EF4A5C">
        <w:rPr>
          <w:vertAlign w:val="superscript"/>
        </w:rPr>
        <w:t>1</w:t>
      </w:r>
      <w:r>
        <w:t xml:space="preserve"> and 29.3 V</w:t>
      </w:r>
      <w:r>
        <w:rPr>
          <w:rFonts w:cs="Helvetica"/>
        </w:rPr>
        <w:t>∙</w:t>
      </w:r>
      <w:r>
        <w:t>nm</w:t>
      </w:r>
      <w:r>
        <w:rPr>
          <w:rFonts w:cs="Helvetica"/>
          <w:vertAlign w:val="superscript"/>
        </w:rPr>
        <w:t>−</w:t>
      </w:r>
      <w:r w:rsidRPr="00EF4A5C">
        <w:rPr>
          <w:vertAlign w:val="superscript"/>
        </w:rPr>
        <w:t>1</w:t>
      </w:r>
      <w:r>
        <w:t xml:space="preserve"> can be clearly observed. It is evident that at similar field conditions, </w:t>
      </w:r>
      <w:proofErr w:type="spellStart"/>
      <w:r>
        <w:t>Pt</w:t>
      </w:r>
      <w:r w:rsidRPr="00C9791E">
        <w:rPr>
          <w:vertAlign w:val="subscript"/>
        </w:rPr>
        <w:t>DER</w:t>
      </w:r>
      <w:proofErr w:type="spellEnd"/>
      <w:r>
        <w:t xml:space="preserve"> specimen shows much higher 2 Da/H</w:t>
      </w:r>
      <w:r w:rsidRPr="00C9791E">
        <w:rPr>
          <w:vertAlign w:val="superscript"/>
        </w:rPr>
        <w:t>+</w:t>
      </w:r>
      <w:r>
        <w:t xml:space="preserve"> ratio compared to the reference measurements, clearly indicating contributions of D within this peak. At these field conditions, no peak at 3 Da is observed in the reference measurements which also indicates the sole contribution from DH</w:t>
      </w:r>
      <w:r w:rsidRPr="00C9791E">
        <w:rPr>
          <w:vertAlign w:val="superscript"/>
        </w:rPr>
        <w:t>+</w:t>
      </w:r>
      <w:r>
        <w:t xml:space="preserve"> ions in the case of </w:t>
      </w:r>
      <w:proofErr w:type="spellStart"/>
      <w:r>
        <w:t>Pt</w:t>
      </w:r>
      <w:r w:rsidRPr="00C9791E">
        <w:rPr>
          <w:vertAlign w:val="subscript"/>
        </w:rPr>
        <w:t>DER</w:t>
      </w:r>
      <w:proofErr w:type="spellEnd"/>
      <w:r>
        <w:t xml:space="preserve">. These findings allowed us to correct the one-dimensional concentration profile extracted from the </w:t>
      </w:r>
      <w:proofErr w:type="spellStart"/>
      <w:r>
        <w:t>Pt</w:t>
      </w:r>
      <w:r w:rsidRPr="00C9791E">
        <w:rPr>
          <w:vertAlign w:val="subscript"/>
        </w:rPr>
        <w:t>DER</w:t>
      </w:r>
      <w:proofErr w:type="spellEnd"/>
      <w:r>
        <w:t xml:space="preserve"> specimen, where the unprocessed concentration is shown in Fig. S2</w:t>
      </w:r>
      <w:r w:rsidR="00E43B38">
        <w:t>b</w:t>
      </w:r>
      <w:r>
        <w:t>. The contributions from peaks at 3 Da and 4 Da is shown in Fig. S2</w:t>
      </w:r>
      <w:r w:rsidR="00E43B38">
        <w:t>c</w:t>
      </w:r>
      <w:r>
        <w:t xml:space="preserve"> along with the expected H</w:t>
      </w:r>
      <w:r w:rsidRPr="00DC6FB9">
        <w:rPr>
          <w:vertAlign w:val="subscript"/>
        </w:rPr>
        <w:t>2</w:t>
      </w:r>
      <w:r w:rsidRPr="00DC6FB9">
        <w:rPr>
          <w:vertAlign w:val="superscript"/>
        </w:rPr>
        <w:t>+</w:t>
      </w:r>
      <w:r>
        <w:t xml:space="preserve"> ion contributing to the peak at 2 Da. The expected H</w:t>
      </w:r>
      <w:r w:rsidRPr="00DC6FB9">
        <w:rPr>
          <w:vertAlign w:val="subscript"/>
        </w:rPr>
        <w:t>2</w:t>
      </w:r>
      <w:r w:rsidRPr="00DC6FB9">
        <w:rPr>
          <w:vertAlign w:val="superscript"/>
        </w:rPr>
        <w:t>+</w:t>
      </w:r>
      <w:r>
        <w:t xml:space="preserve"> ions are estimated by multiplying the measured H</w:t>
      </w:r>
      <w:r w:rsidRPr="00DC6FB9">
        <w:rPr>
          <w:vertAlign w:val="superscript"/>
        </w:rPr>
        <w:t>+</w:t>
      </w:r>
      <w:r>
        <w:t xml:space="preserve"> ion concentration in the </w:t>
      </w:r>
      <w:proofErr w:type="spellStart"/>
      <w:r>
        <w:t>Pt</w:t>
      </w:r>
      <w:r w:rsidRPr="00DC6FB9">
        <w:rPr>
          <w:vertAlign w:val="subscript"/>
        </w:rPr>
        <w:t>DER</w:t>
      </w:r>
      <w:proofErr w:type="spellEnd"/>
      <w:r>
        <w:t xml:space="preserve"> specimen by the 2 Da/1 Da ratio obtained from the reference measurements for the corresponding field conditions. Fig. S2</w:t>
      </w:r>
      <w:r w:rsidR="00E43B38">
        <w:t>c</w:t>
      </w:r>
      <w:r>
        <w:t xml:space="preserve"> also shows the background hits that are estimated by ranging the region in the vicinity of a peak (at 2, 3 and 4 Da) in the mass spectrum, of the same width. The final estimation of D as a function of distance is obtained by adding all of the contributions from peak at 2 Da, 3 Da, twice from 4 Da (D</w:t>
      </w:r>
      <w:r w:rsidRPr="00DF084D">
        <w:rPr>
          <w:vertAlign w:val="subscript"/>
        </w:rPr>
        <w:t>2</w:t>
      </w:r>
      <w:r w:rsidRPr="008B00EE">
        <w:rPr>
          <w:vertAlign w:val="superscript"/>
        </w:rPr>
        <w:t>+</w:t>
      </w:r>
      <w:r>
        <w:t xml:space="preserve"> ion) while subtracting the expected H</w:t>
      </w:r>
      <w:r w:rsidRPr="00DF084D">
        <w:rPr>
          <w:vertAlign w:val="subscript"/>
        </w:rPr>
        <w:t>2</w:t>
      </w:r>
      <w:r w:rsidRPr="008B00EE">
        <w:rPr>
          <w:vertAlign w:val="superscript"/>
        </w:rPr>
        <w:t>+</w:t>
      </w:r>
      <w:r>
        <w:t xml:space="preserve"> ion and background associated for all 3 peaks</w:t>
      </w:r>
      <w:r w:rsidR="00E43B38">
        <w:t>, as shown in Fig. S2d</w:t>
      </w:r>
      <w:r>
        <w:t>.</w:t>
      </w:r>
    </w:p>
    <w:p w14:paraId="0E4BDB40" w14:textId="77777777" w:rsidR="008C3DE6" w:rsidRDefault="008C3DE6" w:rsidP="008C3DE6">
      <w:pPr>
        <w:jc w:val="center"/>
      </w:pPr>
      <w:r>
        <w:rPr>
          <w:noProof/>
        </w:rPr>
        <w:lastRenderedPageBreak/>
        <w:drawing>
          <wp:inline distT="0" distB="0" distL="0" distR="0" wp14:anchorId="05510473" wp14:editId="4E133AEB">
            <wp:extent cx="5459643" cy="4412283"/>
            <wp:effectExtent l="0" t="0" r="825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643" cy="441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E857" w14:textId="5797390A" w:rsidR="008C3DE6" w:rsidRDefault="008C3DE6" w:rsidP="008C3DE6">
      <w:pPr>
        <w:pStyle w:val="Figure"/>
      </w:pPr>
      <w:r>
        <w:t xml:space="preserve">Fig. S2: </w:t>
      </w:r>
      <w:r w:rsidR="00E43B38">
        <w:t>a</w:t>
      </w:r>
      <w:r>
        <w:t>) shows the relative concentration of peak at 2 Da with respect to the peak at 1 Da as a function of the field, estimated by the charge state ratio of Pt</w:t>
      </w:r>
      <w:r w:rsidRPr="00562839">
        <w:rPr>
          <w:vertAlign w:val="superscript"/>
        </w:rPr>
        <w:t>+1</w:t>
      </w:r>
      <w:r>
        <w:t xml:space="preserve"> and Pt</w:t>
      </w:r>
      <w:r w:rsidRPr="00562839">
        <w:rPr>
          <w:vertAlign w:val="superscript"/>
        </w:rPr>
        <w:t>+2</w:t>
      </w:r>
      <w:r>
        <w:t xml:space="preserve">. </w:t>
      </w:r>
      <w:r w:rsidR="00E43B38">
        <w:t>b</w:t>
      </w:r>
      <w:r>
        <w:t xml:space="preserve">) shows the unprocessed one dimensional concentration profile of the Pt specimen after DER. </w:t>
      </w:r>
      <w:r w:rsidR="00E43B38">
        <w:t>c</w:t>
      </w:r>
      <w:r>
        <w:t>) shows the one dimensional concentration profile of the observed background, expected H</w:t>
      </w:r>
      <w:r w:rsidRPr="00562839">
        <w:rPr>
          <w:vertAlign w:val="subscript"/>
        </w:rPr>
        <w:t>2</w:t>
      </w:r>
      <w:r w:rsidRPr="00562839">
        <w:rPr>
          <w:vertAlign w:val="superscript"/>
        </w:rPr>
        <w:t>+</w:t>
      </w:r>
      <w:r>
        <w:t xml:space="preserve"> contribution, estimated from the reference data in A), D</w:t>
      </w:r>
      <w:r w:rsidRPr="004B7BD8">
        <w:rPr>
          <w:vertAlign w:val="subscript"/>
        </w:rPr>
        <w:t>2</w:t>
      </w:r>
      <w:r w:rsidRPr="004B7BD8">
        <w:rPr>
          <w:vertAlign w:val="superscript"/>
        </w:rPr>
        <w:t>+</w:t>
      </w:r>
      <w:r>
        <w:t xml:space="preserve"> and DH</w:t>
      </w:r>
      <w:r w:rsidRPr="004B7BD8">
        <w:rPr>
          <w:vertAlign w:val="superscript"/>
        </w:rPr>
        <w:t>+</w:t>
      </w:r>
      <w:r>
        <w:t xml:space="preserve">. </w:t>
      </w:r>
      <w:r w:rsidR="00E43B38">
        <w:t>d</w:t>
      </w:r>
      <w:r>
        <w:t>) shows the corrected, total D observed in the specimen as a function of distance from the measurement direction.</w:t>
      </w:r>
    </w:p>
    <w:p w14:paraId="62AC0D06" w14:textId="77777777" w:rsidR="008C3DE6" w:rsidRPr="00C07775" w:rsidRDefault="008C3DE6" w:rsidP="008C3DE6">
      <w:pPr>
        <w:pStyle w:val="Heading2"/>
      </w:pPr>
      <w:r>
        <w:t>Thermal desorption spectroscopy</w:t>
      </w:r>
    </w:p>
    <w:p w14:paraId="7D7C7A97" w14:textId="77777777" w:rsidR="008C3DE6" w:rsidRDefault="008C3DE6" w:rsidP="008C3DE6">
      <w:r>
        <w:t>Fig. S3 shows the thermal desorption spectra where the desorbed hydrogen as a function of temperature is monitored using a mass spectrometer. A heating ramp of 8 °C∙min</w:t>
      </w:r>
      <w:r>
        <w:rPr>
          <w:rFonts w:cs="Helvetica"/>
          <w:vertAlign w:val="superscript"/>
        </w:rPr>
        <w:t>−</w:t>
      </w:r>
      <w:r w:rsidRPr="00EF4A5C">
        <w:rPr>
          <w:vertAlign w:val="superscript"/>
        </w:rPr>
        <w:t>1</w:t>
      </w:r>
      <w:r>
        <w:t xml:space="preserve"> is applied. The reference Pt sample is monitored to detect the background and compared to the Pt sample that underwent constant current HER at a current density of </w:t>
      </w:r>
      <w:r>
        <w:rPr>
          <w:rFonts w:cs="Helvetica"/>
        </w:rPr>
        <w:t>−</w:t>
      </w:r>
      <w:r>
        <w:t>2.4 mA∙cm</w:t>
      </w:r>
      <w:r>
        <w:rPr>
          <w:rFonts w:cs="Helvetica"/>
          <w:vertAlign w:val="superscript"/>
        </w:rPr>
        <w:t>−</w:t>
      </w:r>
      <w:r w:rsidRPr="007A2F3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for 12 h.</w:t>
      </w:r>
    </w:p>
    <w:p w14:paraId="2B77E3C6" w14:textId="77777777" w:rsidR="008C3DE6" w:rsidRDefault="008C3DE6" w:rsidP="008C3DE6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C6E43E6" wp14:editId="0D2FBEF3">
            <wp:extent cx="4572000" cy="35004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361" cy="350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F294" w14:textId="77777777" w:rsidR="008C3DE6" w:rsidRDefault="008C3DE6" w:rsidP="008C3DE6">
      <w:pPr>
        <w:pStyle w:val="Figure"/>
      </w:pPr>
      <w:r>
        <w:t xml:space="preserve">Fig. S3: Thermal desorption spectrum of the reference Pt and after constant current HER </w:t>
      </w:r>
    </w:p>
    <w:p w14:paraId="488BF4D4" w14:textId="77777777" w:rsidR="008C3DE6" w:rsidRDefault="008C3DE6" w:rsidP="008C3DE6">
      <w:pPr>
        <w:pStyle w:val="Figure"/>
      </w:pPr>
    </w:p>
    <w:p w14:paraId="3C3C336C" w14:textId="77777777" w:rsidR="008C3DE6" w:rsidRDefault="008C3DE6" w:rsidP="008C3DE6">
      <w:pPr>
        <w:pStyle w:val="Heading2"/>
      </w:pPr>
      <w:r>
        <w:t>Error function fitting for D in Pt</w:t>
      </w:r>
    </w:p>
    <w:p w14:paraId="6C8D77DF" w14:textId="4F8BFC74" w:rsidR="008C3DE6" w:rsidRPr="00051015" w:rsidRDefault="008C3DE6" w:rsidP="008C3DE6">
      <w:r>
        <w:t>The error function used for fitting the composition profile is given in Eq. S</w:t>
      </w:r>
      <w:r w:rsidR="00083AF0">
        <w:t>E</w:t>
      </w:r>
      <w:r>
        <w:t>1.</w:t>
      </w:r>
    </w:p>
    <w:p w14:paraId="0A3C845A" w14:textId="43B99BCC" w:rsidR="008C3DE6" w:rsidRDefault="008C3DE6" w:rsidP="008C3DE6">
      <w:pPr>
        <w:jc w:val="right"/>
        <w:rPr>
          <w:rFonts w:eastAsiaTheme="minorEastAsia"/>
        </w:rPr>
      </w:pP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x,D,t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erf⁡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rad>
              </m:den>
            </m:f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S</w:t>
      </w:r>
      <w:r w:rsidR="00083AF0">
        <w:rPr>
          <w:rFonts w:eastAsiaTheme="minorEastAsia"/>
        </w:rPr>
        <w:t>E</w:t>
      </w:r>
      <w:r>
        <w:rPr>
          <w:rFonts w:eastAsiaTheme="minorEastAsia"/>
        </w:rPr>
        <w:t>1</w:t>
      </w:r>
    </w:p>
    <w:p w14:paraId="4EAE182F" w14:textId="77777777" w:rsidR="008C3DE6" w:rsidRDefault="008C3DE6" w:rsidP="008C3DE6">
      <w:r>
        <w:t xml:space="preserve">Where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is the concentration of D in Pt in at. %;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is surface concentration;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is concentration at infinite distance;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 is the diffusion coefficient of D in Pt;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is time; </w:t>
      </w:r>
      <m:oMath>
        <m:r>
          <w:rPr>
            <w:rFonts w:ascii="Cambria Math" w:hAnsi="Cambria Math"/>
          </w:rPr>
          <m:t xml:space="preserve">x </m:t>
        </m:r>
      </m:oMath>
      <w:r>
        <w:rPr>
          <w:rFonts w:eastAsiaTheme="minorEastAsia"/>
        </w:rPr>
        <w:t xml:space="preserve">is the depth of the thin-film.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is kept constant to be 50 </w:t>
      </w:r>
      <w:proofErr w:type="gramStart"/>
      <w:r>
        <w:rPr>
          <w:rFonts w:eastAsiaTheme="minorEastAsia"/>
        </w:rPr>
        <w:t>at.%</w:t>
      </w:r>
      <w:proofErr w:type="gramEnd"/>
      <w:r>
        <w:rPr>
          <w:rFonts w:eastAsiaTheme="minorEastAsia"/>
        </w:rPr>
        <w:t xml:space="preserve"> with the assumption that any correction is done automatically via the displacement of the error function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which is a fitting variable;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is set to zero as the concentration goes to zero at 10 nm; and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is kept constant at 12 h or 43200 sec.</w:t>
      </w:r>
    </w:p>
    <w:p w14:paraId="07E2925A" w14:textId="77777777" w:rsidR="008C3DE6" w:rsidRPr="003E2AF8" w:rsidRDefault="008C3DE6" w:rsidP="008C3DE6">
      <w:pPr>
        <w:pStyle w:val="Heading2"/>
      </w:pPr>
      <w:r>
        <w:lastRenderedPageBreak/>
        <w:t>Calibration curve for the electrochemical Quartz Crystal Microbalance (</w:t>
      </w:r>
      <w:proofErr w:type="spellStart"/>
      <w:r>
        <w:t>eQCM</w:t>
      </w:r>
      <w:proofErr w:type="spellEnd"/>
      <w:r>
        <w:t>)</w:t>
      </w:r>
    </w:p>
    <w:p w14:paraId="1A1540EB" w14:textId="77777777" w:rsidR="008C3DE6" w:rsidRDefault="008C3DE6" w:rsidP="008C3DE6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BBD356F" wp14:editId="24B7D644">
            <wp:extent cx="3823335" cy="301244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4" t="8790" r="8601"/>
                    <a:stretch/>
                  </pic:blipFill>
                  <pic:spPr bwMode="auto">
                    <a:xfrm>
                      <a:off x="0" y="0"/>
                      <a:ext cx="3823335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83004" w14:textId="77777777" w:rsidR="008C3DE6" w:rsidRDefault="008C3DE6" w:rsidP="008C3DE6">
      <w:pPr>
        <w:pStyle w:val="Figure"/>
      </w:pPr>
      <w:r w:rsidRPr="00915A05">
        <w:t>Fig. S</w:t>
      </w:r>
      <w:r>
        <w:t>4</w:t>
      </w:r>
      <w:r w:rsidRPr="00915A05">
        <w:t xml:space="preserve">. The </w:t>
      </w:r>
      <w:r w:rsidRPr="00110C9E">
        <w:t>calibration</w:t>
      </w:r>
      <w:r w:rsidRPr="00915A05">
        <w:t xml:space="preserve"> curve, it is used to determine the sensitivity factor.</w:t>
      </w:r>
    </w:p>
    <w:p w14:paraId="0406EF96" w14:textId="77777777" w:rsidR="008C3DE6" w:rsidRDefault="008C3DE6" w:rsidP="008C3DE6"/>
    <w:p w14:paraId="1921F0B6" w14:textId="77777777" w:rsidR="008C3DE6" w:rsidRDefault="008C3DE6" w:rsidP="008C3DE6"/>
    <w:p w14:paraId="2DACC771" w14:textId="77777777" w:rsidR="006F537E" w:rsidRDefault="006F537E"/>
    <w:sectPr w:rsidR="006F537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5BAF" w14:textId="77777777" w:rsidR="00862B69" w:rsidRDefault="00862B69" w:rsidP="008C3DE6">
      <w:pPr>
        <w:spacing w:after="0" w:line="240" w:lineRule="auto"/>
      </w:pPr>
      <w:r>
        <w:separator/>
      </w:r>
    </w:p>
  </w:endnote>
  <w:endnote w:type="continuationSeparator" w:id="0">
    <w:p w14:paraId="538D1A7B" w14:textId="77777777" w:rsidR="00862B69" w:rsidRDefault="00862B69" w:rsidP="008C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265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6EFC0" w14:textId="4FECF991" w:rsidR="00BD42A4" w:rsidRDefault="00BD42A4">
        <w:pPr>
          <w:pStyle w:val="Footer"/>
          <w:jc w:val="right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E7E1F" w14:textId="77777777" w:rsidR="00BD42A4" w:rsidRDefault="00BD4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1883" w14:textId="77777777" w:rsidR="00862B69" w:rsidRDefault="00862B69" w:rsidP="008C3DE6">
      <w:pPr>
        <w:spacing w:after="0" w:line="240" w:lineRule="auto"/>
      </w:pPr>
      <w:r>
        <w:separator/>
      </w:r>
    </w:p>
  </w:footnote>
  <w:footnote w:type="continuationSeparator" w:id="0">
    <w:p w14:paraId="08EE33EF" w14:textId="77777777" w:rsidR="00862B69" w:rsidRDefault="00862B69" w:rsidP="008C3DE6">
      <w:pPr>
        <w:spacing w:after="0" w:line="240" w:lineRule="auto"/>
      </w:pPr>
      <w:r>
        <w:continuationSeparator/>
      </w:r>
    </w:p>
  </w:footnote>
  <w:footnote w:id="1">
    <w:p w14:paraId="3BA3BAC2" w14:textId="77777777" w:rsidR="008C3DE6" w:rsidRPr="00C07775" w:rsidRDefault="008C3DE6" w:rsidP="008C3D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871D1">
        <w:t>Kingham</w:t>
      </w:r>
      <w:proofErr w:type="spellEnd"/>
      <w:r w:rsidRPr="007871D1">
        <w:t xml:space="preserve">, D. R., The post-ionization of field evaporated ions: A theoretical explanation of multiple charge states. </w:t>
      </w:r>
      <w:r w:rsidRPr="007871D1">
        <w:rPr>
          <w:i/>
        </w:rPr>
        <w:t xml:space="preserve">Surface Science </w:t>
      </w:r>
      <w:r w:rsidRPr="007871D1">
        <w:rPr>
          <w:b/>
        </w:rPr>
        <w:t>1982,</w:t>
      </w:r>
      <w:r w:rsidRPr="007871D1">
        <w:t xml:space="preserve"> </w:t>
      </w:r>
      <w:r w:rsidRPr="007871D1">
        <w:rPr>
          <w:i/>
        </w:rPr>
        <w:t>116</w:t>
      </w:r>
      <w:r w:rsidRPr="007871D1">
        <w:t xml:space="preserve"> (2), 273-301.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E6"/>
    <w:rsid w:val="00083AF0"/>
    <w:rsid w:val="00112CB4"/>
    <w:rsid w:val="00147DB1"/>
    <w:rsid w:val="002256AE"/>
    <w:rsid w:val="00284502"/>
    <w:rsid w:val="003B50F3"/>
    <w:rsid w:val="00687C59"/>
    <w:rsid w:val="006F537E"/>
    <w:rsid w:val="00862B69"/>
    <w:rsid w:val="008C3DE6"/>
    <w:rsid w:val="009C366D"/>
    <w:rsid w:val="00B77530"/>
    <w:rsid w:val="00BD42A4"/>
    <w:rsid w:val="00E36C2A"/>
    <w:rsid w:val="00E43B38"/>
    <w:rsid w:val="00F2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A55C"/>
  <w15:chartTrackingRefBased/>
  <w15:docId w15:val="{458CEAFC-8D0A-49E8-8367-029B6812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E6"/>
    <w:pPr>
      <w:spacing w:line="480" w:lineRule="auto"/>
      <w:jc w:val="both"/>
    </w:pPr>
    <w:rPr>
      <w:rFonts w:ascii="Helvetica" w:hAnsi="Helvetica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DE6"/>
    <w:pPr>
      <w:keepNext/>
      <w:keepLines/>
      <w:spacing w:before="240" w:after="240" w:line="278" w:lineRule="auto"/>
      <w:jc w:val="center"/>
      <w:outlineLvl w:val="0"/>
    </w:pPr>
    <w:rPr>
      <w:rFonts w:eastAsiaTheme="majorEastAsia" w:cstheme="majorBidi"/>
      <w:color w:val="0F4761" w:themeColor="accent1" w:themeShade="BF"/>
      <w:kern w:val="2"/>
      <w:sz w:val="32"/>
      <w:szCs w:val="40"/>
      <w:lang w:val="en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D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kern w:val="2"/>
      <w:sz w:val="32"/>
      <w:szCs w:val="32"/>
      <w:lang w:val="en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DE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DE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DE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DE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DE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DE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DE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DE6"/>
    <w:rPr>
      <w:rFonts w:ascii="Helvetica" w:eastAsiaTheme="majorEastAsia" w:hAnsi="Helvetica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3DE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DE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DE6"/>
    <w:pPr>
      <w:numPr>
        <w:ilvl w:val="1"/>
      </w:numPr>
      <w:spacing w:line="278" w:lineRule="auto"/>
      <w:jc w:val="center"/>
    </w:pPr>
    <w:rPr>
      <w:rFonts w:eastAsiaTheme="majorEastAsia" w:cstheme="majorBidi"/>
      <w:i/>
      <w:color w:val="595959" w:themeColor="text1" w:themeTint="A6"/>
      <w:spacing w:val="15"/>
      <w:kern w:val="2"/>
      <w:sz w:val="22"/>
      <w:szCs w:val="28"/>
      <w:lang w:val="en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DE6"/>
    <w:rPr>
      <w:rFonts w:ascii="Helvetica" w:eastAsiaTheme="majorEastAsia" w:hAnsi="Helvetica" w:cstheme="majorBidi"/>
      <w:i/>
      <w:color w:val="595959" w:themeColor="text1" w:themeTint="A6"/>
      <w:spacing w:val="15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DE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DE6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DE6"/>
    <w:rPr>
      <w:b/>
      <w:bCs/>
      <w:smallCaps/>
      <w:color w:val="0F4761" w:themeColor="accent1" w:themeShade="BF"/>
      <w:spacing w:val="5"/>
    </w:rPr>
  </w:style>
  <w:style w:type="paragraph" w:customStyle="1" w:styleId="Figure">
    <w:name w:val="Figure"/>
    <w:basedOn w:val="Caption"/>
    <w:link w:val="FigureChar"/>
    <w:qFormat/>
    <w:rsid w:val="008C3DE6"/>
    <w:pPr>
      <w:jc w:val="center"/>
    </w:pPr>
    <w:rPr>
      <w:rFonts w:eastAsiaTheme="majorEastAsia" w:cs="Times New Roman"/>
      <w:i w:val="0"/>
      <w:noProof/>
      <w:color w:val="0F9ED5" w:themeColor="accent4"/>
      <w:sz w:val="20"/>
    </w:rPr>
  </w:style>
  <w:style w:type="character" w:customStyle="1" w:styleId="FigureChar">
    <w:name w:val="Figure Char"/>
    <w:basedOn w:val="Heading1Char"/>
    <w:link w:val="Figure"/>
    <w:rsid w:val="008C3DE6"/>
    <w:rPr>
      <w:rFonts w:ascii="Helvetica" w:eastAsiaTheme="majorEastAsia" w:hAnsi="Helvetica" w:cs="Times New Roman"/>
      <w:iCs/>
      <w:noProof/>
      <w:color w:val="0F9ED5" w:themeColor="accent4"/>
      <w:kern w:val="0"/>
      <w:sz w:val="20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3DE6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D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DE6"/>
    <w:rPr>
      <w:rFonts w:ascii="Helvetica" w:hAnsi="Helvetic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3DE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DE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8C3DE6"/>
    <w:pPr>
      <w:spacing w:after="0" w:line="240" w:lineRule="auto"/>
      <w:jc w:val="both"/>
    </w:pPr>
    <w:rPr>
      <w:rFonts w:ascii="Helvetica" w:hAnsi="Helvetica"/>
      <w:color w:val="000000" w:themeColor="text1"/>
      <w:kern w:val="0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4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2A4"/>
    <w:rPr>
      <w:rFonts w:ascii="Helvetica" w:hAnsi="Helvetica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4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A4"/>
    <w:rPr>
      <w:rFonts w:ascii="Helvetica" w:hAnsi="Helvetica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.joshi@mpi-susmat.d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saksena@mpi-susmat.de" TargetMode="External"/><Relationship Id="rId11" Type="http://schemas.openxmlformats.org/officeDocument/2006/relationships/image" Target="media/image4.tiff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MPISusmat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Saksena</dc:creator>
  <cp:keywords/>
  <dc:description/>
  <cp:lastModifiedBy>Aparna Saksena</cp:lastModifiedBy>
  <cp:revision>6</cp:revision>
  <dcterms:created xsi:type="dcterms:W3CDTF">2026-02-02T10:53:00Z</dcterms:created>
  <dcterms:modified xsi:type="dcterms:W3CDTF">2026-02-18T08:01:00Z</dcterms:modified>
</cp:coreProperties>
</file>