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FFD" w:rsidRDefault="00CC31CF" w:rsidP="00186A21">
      <w:pPr>
        <w:pStyle w:val="Author"/>
        <w:rPr>
          <w:rFonts w:ascii="Aptos" w:hAnsi="Aptos"/>
          <w:sz w:val="32"/>
          <w:szCs w:val="32"/>
        </w:rPr>
      </w:pPr>
      <w:r w:rsidRPr="00186A21">
        <w:rPr>
          <w:rFonts w:ascii="Aptos" w:hAnsi="Aptos"/>
          <w:sz w:val="32"/>
          <w:szCs w:val="32"/>
        </w:rPr>
        <w:t>Supplement material</w:t>
      </w:r>
      <w:r w:rsidR="00186A21" w:rsidRPr="00186A21">
        <w:rPr>
          <w:rFonts w:ascii="Aptos" w:hAnsi="Aptos"/>
          <w:sz w:val="32"/>
          <w:szCs w:val="32"/>
        </w:rPr>
        <w:t>s for</w:t>
      </w:r>
    </w:p>
    <w:p w:rsidR="00186A21" w:rsidRPr="00186A21" w:rsidRDefault="00186A21" w:rsidP="00186A21">
      <w:pPr>
        <w:pStyle w:val="Textkrper"/>
        <w:rPr>
          <w:lang w:val="en-US"/>
        </w:rPr>
      </w:pPr>
    </w:p>
    <w:p w:rsidR="00CC31CF" w:rsidRPr="001C4E9B" w:rsidRDefault="001C4E9B" w:rsidP="001C4E9B">
      <w:pPr>
        <w:keepNext/>
        <w:keepLines/>
        <w:spacing w:after="80" w:line="240" w:lineRule="auto"/>
        <w:contextualSpacing/>
        <w:jc w:val="both"/>
        <w:rPr>
          <w:rFonts w:ascii="Aptos" w:eastAsia="等线 Light" w:hAnsi="Aptos" w:cs="Times New Roman"/>
          <w:sz w:val="28"/>
          <w:szCs w:val="32"/>
          <w:lang w:val="en-US"/>
        </w:rPr>
      </w:pPr>
      <w:r w:rsidRPr="001C4E9B">
        <w:rPr>
          <w:rFonts w:ascii="Aptos" w:eastAsia="等线 Light" w:hAnsi="Aptos" w:cs="Times New Roman"/>
          <w:sz w:val="28"/>
          <w:szCs w:val="32"/>
          <w:lang w:val="en-US"/>
        </w:rPr>
        <w:t>Increased CO</w:t>
      </w:r>
      <w:r w:rsidRPr="001C4E9B">
        <w:rPr>
          <w:rFonts w:ascii="Aptos" w:eastAsia="等线 Light" w:hAnsi="Aptos" w:cs="Times New Roman"/>
          <w:sz w:val="28"/>
          <w:szCs w:val="32"/>
          <w:vertAlign w:val="subscript"/>
          <w:lang w:val="en-US"/>
        </w:rPr>
        <w:t>2</w:t>
      </w:r>
      <w:r w:rsidRPr="001C4E9B">
        <w:rPr>
          <w:rFonts w:ascii="Aptos" w:eastAsia="等线 Light" w:hAnsi="Aptos" w:cs="Times New Roman"/>
          <w:sz w:val="28"/>
          <w:szCs w:val="32"/>
          <w:lang w:val="en-US"/>
        </w:rPr>
        <w:t xml:space="preserve"> growth rate following the 2023/24 El</w:t>
      </w:r>
      <w:r w:rsidRPr="001C4E9B">
        <w:rPr>
          <w:rFonts w:ascii="Aptos" w:eastAsia="等线 Light" w:hAnsi="Aptos" w:cs="Times New Roman"/>
          <w:sz w:val="24"/>
          <w:szCs w:val="24"/>
          <w:lang w:val="en-US"/>
        </w:rPr>
        <w:t xml:space="preserve"> </w:t>
      </w:r>
      <w:r w:rsidRPr="001C4E9B">
        <w:rPr>
          <w:rFonts w:ascii="Aptos" w:eastAsia="等线 Light" w:hAnsi="Aptos" w:cs="Times New Roman"/>
          <w:sz w:val="28"/>
          <w:szCs w:val="32"/>
          <w:lang w:val="en-US"/>
        </w:rPr>
        <w:t>Niño in a warming climate</w:t>
      </w:r>
    </w:p>
    <w:p w:rsidR="00CC31CF" w:rsidRPr="00186A21" w:rsidRDefault="00CC31CF" w:rsidP="00D365E7">
      <w:pPr>
        <w:pStyle w:val="Author"/>
        <w:jc w:val="both"/>
        <w:rPr>
          <w:rFonts w:ascii="Aptos" w:hAnsi="Aptos" w:cstheme="minorHAnsi"/>
        </w:rPr>
      </w:pPr>
    </w:p>
    <w:p w:rsidR="00186A21" w:rsidRPr="00186A21" w:rsidRDefault="00CC31CF" w:rsidP="00186A21">
      <w:pPr>
        <w:pStyle w:val="Author"/>
        <w:jc w:val="both"/>
        <w:rPr>
          <w:rFonts w:ascii="Aptos" w:hAnsi="Aptos" w:cstheme="minorHAnsi"/>
        </w:rPr>
      </w:pPr>
      <w:r w:rsidRPr="00186A21">
        <w:rPr>
          <w:rFonts w:ascii="Aptos" w:hAnsi="Aptos" w:cstheme="minorHAnsi"/>
        </w:rPr>
        <w:t>Xiaoyu Sun</w:t>
      </w:r>
      <w:r w:rsidRPr="00186A21">
        <w:rPr>
          <w:rFonts w:ascii="Aptos" w:hAnsi="Aptos" w:cstheme="minorHAnsi"/>
          <w:vertAlign w:val="superscript"/>
        </w:rPr>
        <w:t>1</w:t>
      </w:r>
      <w:r w:rsidRPr="00186A21">
        <w:rPr>
          <w:rFonts w:ascii="Aptos" w:hAnsi="Aptos" w:cstheme="minorHAnsi"/>
        </w:rPr>
        <w:t>, Sharon Patris</w:t>
      </w:r>
      <w:r w:rsidRPr="00186A21">
        <w:rPr>
          <w:rFonts w:ascii="Aptos" w:hAnsi="Aptos" w:cstheme="minorHAnsi"/>
          <w:vertAlign w:val="superscript"/>
        </w:rPr>
        <w:t>2</w:t>
      </w:r>
      <w:r w:rsidRPr="00186A21">
        <w:rPr>
          <w:rFonts w:ascii="Aptos" w:hAnsi="Aptos" w:cstheme="minorHAnsi"/>
        </w:rPr>
        <w:t xml:space="preserve">, </w:t>
      </w:r>
      <w:proofErr w:type="spellStart"/>
      <w:r w:rsidRPr="00186A21">
        <w:rPr>
          <w:rFonts w:ascii="Aptos" w:hAnsi="Aptos" w:cstheme="minorHAnsi"/>
        </w:rPr>
        <w:t>Denghui</w:t>
      </w:r>
      <w:proofErr w:type="spellEnd"/>
      <w:r w:rsidRPr="00186A21">
        <w:rPr>
          <w:rFonts w:ascii="Aptos" w:hAnsi="Aptos" w:cstheme="minorHAnsi"/>
        </w:rPr>
        <w:t xml:space="preserve"> Ji</w:t>
      </w:r>
      <w:r w:rsidRPr="00186A21">
        <w:rPr>
          <w:rFonts w:ascii="Aptos" w:hAnsi="Aptos" w:cstheme="minorHAnsi"/>
          <w:vertAlign w:val="superscript"/>
        </w:rPr>
        <w:t>1</w:t>
      </w:r>
      <w:r w:rsidRPr="00186A21">
        <w:rPr>
          <w:rFonts w:ascii="Aptos" w:hAnsi="Aptos" w:cstheme="minorHAnsi"/>
        </w:rPr>
        <w:t xml:space="preserve">, </w:t>
      </w:r>
      <w:proofErr w:type="spellStart"/>
      <w:r w:rsidRPr="00186A21">
        <w:rPr>
          <w:rFonts w:ascii="Aptos" w:hAnsi="Aptos" w:cstheme="minorHAnsi"/>
        </w:rPr>
        <w:t>Darko</w:t>
      </w:r>
      <w:proofErr w:type="spellEnd"/>
      <w:r w:rsidRPr="00186A21">
        <w:rPr>
          <w:rFonts w:ascii="Aptos" w:hAnsi="Aptos" w:cstheme="minorHAnsi"/>
        </w:rPr>
        <w:t xml:space="preserve"> Dubravica</w:t>
      </w:r>
      <w:r w:rsidRPr="00186A21">
        <w:rPr>
          <w:rFonts w:ascii="Aptos" w:hAnsi="Aptos" w:cstheme="minorHAnsi"/>
          <w:vertAlign w:val="superscript"/>
        </w:rPr>
        <w:t>3</w:t>
      </w:r>
      <w:r w:rsidRPr="00186A21">
        <w:rPr>
          <w:rFonts w:ascii="Aptos" w:hAnsi="Aptos" w:cstheme="minorHAnsi"/>
        </w:rPr>
        <w:t>, Mathias Palm</w:t>
      </w:r>
      <w:r w:rsidRPr="00186A21">
        <w:rPr>
          <w:rFonts w:ascii="Aptos" w:hAnsi="Aptos" w:cstheme="minorHAnsi"/>
          <w:vertAlign w:val="superscript"/>
        </w:rPr>
        <w:t>1</w:t>
      </w:r>
      <w:r w:rsidRPr="00186A21">
        <w:rPr>
          <w:rFonts w:ascii="Aptos" w:hAnsi="Aptos" w:cstheme="minorHAnsi"/>
        </w:rPr>
        <w:t>, Frank Hase</w:t>
      </w:r>
      <w:r w:rsidRPr="00186A21">
        <w:rPr>
          <w:rFonts w:ascii="Aptos" w:hAnsi="Aptos" w:cstheme="minorHAnsi"/>
          <w:vertAlign w:val="superscript"/>
        </w:rPr>
        <w:t>2</w:t>
      </w:r>
      <w:r w:rsidRPr="00186A21">
        <w:rPr>
          <w:rFonts w:ascii="Aptos" w:hAnsi="Aptos" w:cstheme="minorHAnsi"/>
        </w:rPr>
        <w:t>, Justus Notholt</w:t>
      </w:r>
      <w:r w:rsidRPr="00186A21">
        <w:rPr>
          <w:rFonts w:ascii="Aptos" w:hAnsi="Aptos" w:cstheme="minorHAnsi"/>
          <w:vertAlign w:val="superscript"/>
        </w:rPr>
        <w:t xml:space="preserve">1 </w:t>
      </w:r>
      <w:r w:rsidR="00696D9E">
        <w:rPr>
          <w:rFonts w:ascii="Aptos" w:hAnsi="Aptos" w:cstheme="minorHAnsi"/>
          <w:vertAlign w:val="superscript"/>
        </w:rPr>
        <w:t>*</w:t>
      </w:r>
    </w:p>
    <w:p w:rsidR="00CC31CF" w:rsidRPr="00186A21" w:rsidRDefault="00CC31CF" w:rsidP="00D365E7">
      <w:pPr>
        <w:pStyle w:val="Author"/>
        <w:jc w:val="both"/>
        <w:rPr>
          <w:rFonts w:ascii="Aptos" w:hAnsi="Aptos" w:cstheme="minorHAnsi"/>
          <w:lang w:val="en-GB"/>
        </w:rPr>
      </w:pPr>
      <w:r w:rsidRPr="00186A21">
        <w:rPr>
          <w:rFonts w:ascii="Aptos" w:hAnsi="Aptos" w:cstheme="minorHAnsi"/>
          <w:vertAlign w:val="superscript"/>
        </w:rPr>
        <w:t>1</w:t>
      </w:r>
      <w:r w:rsidRPr="00186A21">
        <w:rPr>
          <w:rFonts w:ascii="Aptos" w:hAnsi="Aptos" w:cstheme="minorHAnsi"/>
        </w:rPr>
        <w:t xml:space="preserve"> IUP, University of Bremen, Otto-Hahn-</w:t>
      </w:r>
      <w:proofErr w:type="spellStart"/>
      <w:r w:rsidRPr="00186A21">
        <w:rPr>
          <w:rFonts w:ascii="Aptos" w:hAnsi="Aptos" w:cstheme="minorHAnsi"/>
        </w:rPr>
        <w:t>Allee</w:t>
      </w:r>
      <w:proofErr w:type="spellEnd"/>
      <w:r w:rsidRPr="00186A21">
        <w:rPr>
          <w:rFonts w:ascii="Aptos" w:hAnsi="Aptos" w:cstheme="minorHAnsi"/>
        </w:rPr>
        <w:t xml:space="preserve"> 1, Bremen, 28334, </w:t>
      </w:r>
      <w:r w:rsidRPr="00186A21">
        <w:rPr>
          <w:rFonts w:ascii="Aptos" w:hAnsi="Aptos" w:cstheme="minorHAnsi"/>
          <w:lang w:val="en-GB"/>
        </w:rPr>
        <w:t>Germany</w:t>
      </w:r>
    </w:p>
    <w:p w:rsidR="00CC31CF" w:rsidRPr="00186A21" w:rsidRDefault="00CC31CF" w:rsidP="00D365E7">
      <w:pPr>
        <w:pStyle w:val="Author"/>
        <w:jc w:val="both"/>
        <w:rPr>
          <w:rFonts w:ascii="Aptos" w:hAnsi="Aptos" w:cstheme="minorHAnsi"/>
        </w:rPr>
      </w:pPr>
      <w:r w:rsidRPr="00186A21">
        <w:rPr>
          <w:rFonts w:ascii="Aptos" w:hAnsi="Aptos" w:cstheme="minorHAnsi"/>
          <w:vertAlign w:val="superscript"/>
        </w:rPr>
        <w:t>2</w:t>
      </w:r>
      <w:r w:rsidRPr="00186A21">
        <w:rPr>
          <w:rFonts w:ascii="Aptos" w:hAnsi="Aptos" w:cstheme="minorHAnsi"/>
        </w:rPr>
        <w:t xml:space="preserve"> Coral Reef Research Foundation, Koror, 96940, Palau</w:t>
      </w:r>
    </w:p>
    <w:p w:rsidR="00CC31CF" w:rsidRPr="00186A21" w:rsidRDefault="00CC31CF" w:rsidP="00D365E7">
      <w:pPr>
        <w:pStyle w:val="Author"/>
        <w:jc w:val="both"/>
        <w:rPr>
          <w:rFonts w:ascii="Aptos" w:hAnsi="Aptos" w:cstheme="minorHAnsi"/>
          <w:lang w:val="de-DE"/>
        </w:rPr>
      </w:pPr>
      <w:r w:rsidRPr="00186A21">
        <w:rPr>
          <w:rFonts w:ascii="Aptos" w:hAnsi="Aptos" w:cstheme="minorHAnsi"/>
          <w:vertAlign w:val="superscript"/>
          <w:lang w:val="de-DE"/>
        </w:rPr>
        <w:t>3</w:t>
      </w:r>
      <w:r w:rsidRPr="00186A21">
        <w:rPr>
          <w:rFonts w:ascii="Aptos" w:hAnsi="Aptos" w:cstheme="minorHAnsi"/>
          <w:lang w:val="de-DE"/>
        </w:rPr>
        <w:t xml:space="preserve"> IMK-ASF, Karlsruher Institut für Technologie, </w:t>
      </w:r>
      <w:r w:rsidR="00103AE2" w:rsidRPr="00186A21">
        <w:rPr>
          <w:rFonts w:ascii="Aptos" w:hAnsi="Aptos" w:cstheme="minorHAnsi"/>
          <w:lang w:val="de-DE"/>
        </w:rPr>
        <w:t>Karlsruhe</w:t>
      </w:r>
      <w:r w:rsidRPr="00186A21">
        <w:rPr>
          <w:rFonts w:ascii="Aptos" w:hAnsi="Aptos" w:cstheme="minorHAnsi"/>
          <w:lang w:val="de-DE"/>
        </w:rPr>
        <w:t>, Germany</w:t>
      </w:r>
    </w:p>
    <w:p w:rsidR="00CC31CF" w:rsidRPr="00186A21" w:rsidRDefault="00CC31CF" w:rsidP="00D365E7">
      <w:pPr>
        <w:pStyle w:val="Author"/>
        <w:jc w:val="both"/>
        <w:rPr>
          <w:rFonts w:ascii="Aptos" w:hAnsi="Aptos" w:cstheme="minorHAnsi"/>
        </w:rPr>
      </w:pPr>
      <w:r w:rsidRPr="00186A21">
        <w:rPr>
          <w:rFonts w:ascii="Aptos" w:hAnsi="Aptos" w:cstheme="minorHAnsi"/>
        </w:rPr>
        <w:t>*Corresponding author(s). E-mail(s):</w:t>
      </w:r>
    </w:p>
    <w:p w:rsidR="00CC31CF" w:rsidRPr="00186A21" w:rsidRDefault="00696D9E" w:rsidP="00D365E7">
      <w:pPr>
        <w:jc w:val="both"/>
        <w:rPr>
          <w:rFonts w:ascii="Aptos" w:hAnsi="Aptos" w:cstheme="minorHAnsi"/>
          <w:sz w:val="24"/>
          <w:szCs w:val="24"/>
          <w:lang w:val="en-US"/>
        </w:rPr>
      </w:pPr>
      <w:r w:rsidRPr="00696D9E">
        <w:rPr>
          <w:rFonts w:ascii="Aptos" w:eastAsiaTheme="majorEastAsia" w:hAnsi="Aptos" w:cstheme="minorHAnsi"/>
          <w:sz w:val="24"/>
          <w:szCs w:val="24"/>
          <w:lang w:val="en-US"/>
        </w:rPr>
        <w:t>jnotholt@iup.physik.uni-bremen.de</w:t>
      </w:r>
    </w:p>
    <w:p w:rsidR="00336E25" w:rsidRPr="00336E25" w:rsidRDefault="007B13DA" w:rsidP="00186A21">
      <w:pPr>
        <w:pStyle w:val="berschrift1"/>
        <w:jc w:val="both"/>
        <w:rPr>
          <w:rFonts w:ascii="Aptos" w:hAnsi="Aptos"/>
          <w:color w:val="2F5496" w:themeColor="accent5" w:themeShade="BF"/>
          <w:sz w:val="32"/>
          <w:szCs w:val="32"/>
        </w:rPr>
      </w:pPr>
      <w:r w:rsidRPr="00186A21">
        <w:rPr>
          <w:rFonts w:ascii="Aptos" w:hAnsi="Aptos"/>
          <w:color w:val="2F5496" w:themeColor="accent5" w:themeShade="BF"/>
          <w:sz w:val="32"/>
          <w:szCs w:val="32"/>
        </w:rPr>
        <w:t xml:space="preserve">S1. </w:t>
      </w:r>
      <w:r w:rsidR="00336E25" w:rsidRPr="00186A21">
        <w:rPr>
          <w:rFonts w:ascii="Aptos" w:hAnsi="Aptos"/>
          <w:color w:val="2F5496" w:themeColor="accent5" w:themeShade="BF"/>
          <w:sz w:val="32"/>
          <w:szCs w:val="32"/>
        </w:rPr>
        <w:t>Palau FTIR XCO2</w:t>
      </w:r>
      <w:r w:rsidR="00336E25" w:rsidRPr="00336E25">
        <w:rPr>
          <w:rFonts w:ascii="Aptos" w:hAnsi="Aptos"/>
          <w:color w:val="2F5496" w:themeColor="accent5" w:themeShade="BF"/>
          <w:sz w:val="32"/>
          <w:szCs w:val="32"/>
        </w:rPr>
        <w:t xml:space="preserve"> Anomaly Calculation</w:t>
      </w:r>
    </w:p>
    <w:p w:rsidR="00D365E7" w:rsidRPr="00186A21" w:rsidRDefault="00D365E7" w:rsidP="00186A21">
      <w:pPr>
        <w:pStyle w:val="berschrift1"/>
        <w:jc w:val="both"/>
        <w:rPr>
          <w:rFonts w:ascii="Aptos" w:hAnsi="Aptos"/>
          <w:color w:val="2F5496" w:themeColor="accent5" w:themeShade="BF"/>
          <w:sz w:val="32"/>
          <w:szCs w:val="32"/>
        </w:rPr>
      </w:pPr>
      <w:r w:rsidRPr="00186A21">
        <w:rPr>
          <w:rFonts w:ascii="Aptos" w:hAnsi="Aptos"/>
          <w:color w:val="2F5496" w:themeColor="accent5" w:themeShade="BF"/>
          <w:sz w:val="32"/>
          <w:szCs w:val="32"/>
        </w:rPr>
        <w:t>S1.</w:t>
      </w:r>
      <w:r w:rsidR="007B13DA" w:rsidRPr="00186A21">
        <w:rPr>
          <w:rFonts w:ascii="Aptos" w:hAnsi="Aptos"/>
          <w:color w:val="2F5496" w:themeColor="accent5" w:themeShade="BF"/>
          <w:sz w:val="32"/>
          <w:szCs w:val="32"/>
        </w:rPr>
        <w:t>1</w:t>
      </w:r>
      <w:r w:rsidR="005030CE">
        <w:rPr>
          <w:rFonts w:ascii="Aptos" w:hAnsi="Aptos"/>
          <w:color w:val="2F5496" w:themeColor="accent5" w:themeShade="BF"/>
          <w:sz w:val="32"/>
          <w:szCs w:val="32"/>
        </w:rPr>
        <w:t xml:space="preserve"> Theoretical basis</w:t>
      </w:r>
    </w:p>
    <w:p w:rsidR="00D365E7" w:rsidRPr="00186A21" w:rsidRDefault="00D365E7" w:rsidP="00D365E7">
      <w:pPr>
        <w:jc w:val="both"/>
        <w:rPr>
          <w:rFonts w:ascii="Aptos" w:eastAsia="Times New Roman" w:hAnsi="Aptos" w:cstheme="minorHAnsi"/>
          <w:bCs/>
          <w:sz w:val="24"/>
          <w:szCs w:val="24"/>
          <w:lang w:val="en-GB"/>
        </w:rPr>
      </w:pPr>
      <w:r w:rsidRPr="00186A21">
        <w:rPr>
          <w:rFonts w:ascii="Aptos" w:eastAsia="Times New Roman" w:hAnsi="Aptos" w:cstheme="minorHAnsi"/>
          <w:bCs/>
          <w:sz w:val="24"/>
          <w:szCs w:val="24"/>
          <w:lang w:val="en-GB"/>
        </w:rPr>
        <w:t xml:space="preserve">As described in the main text, </w:t>
      </w:r>
      <m:oMath>
        <m:sSub>
          <m:sSubPr>
            <m:ctrlPr>
              <w:rPr>
                <w:rFonts w:ascii="Cambria Math" w:hAnsi="Cambria Math"/>
              </w:rPr>
            </m:ctrlPr>
          </m:sSubPr>
          <m:e>
            <m:r>
              <w:rPr>
                <w:rFonts w:ascii="Cambria Math" w:hAnsi="Cambria Math"/>
              </w:rPr>
              <m:t>X</m:t>
            </m:r>
          </m:e>
          <m:sub>
            <m:r>
              <m:rPr>
                <m:sty m:val="p"/>
              </m:rPr>
              <w:rPr>
                <w:rFonts w:ascii="Cambria Math" w:hAnsi="Cambria Math"/>
                <w:lang w:val="en-GB"/>
              </w:rPr>
              <m:t>C</m:t>
            </m:r>
            <m:sSub>
              <m:sSubPr>
                <m:ctrlPr>
                  <w:rPr>
                    <w:rFonts w:ascii="Cambria Math" w:hAnsi="Cambria Math"/>
                  </w:rPr>
                </m:ctrlPr>
              </m:sSubPr>
              <m:e>
                <m:r>
                  <m:rPr>
                    <m:sty m:val="p"/>
                  </m:rPr>
                  <w:rPr>
                    <w:rFonts w:ascii="Cambria Math" w:hAnsi="Cambria Math"/>
                    <w:lang w:val="en-GB"/>
                  </w:rPr>
                  <m:t>O</m:t>
                </m:r>
              </m:e>
              <m:sub>
                <m:r>
                  <m:rPr>
                    <m:sty m:val="p"/>
                  </m:rPr>
                  <w:rPr>
                    <w:rFonts w:ascii="Cambria Math" w:hAnsi="Cambria Math"/>
                    <w:lang w:val="en-GB"/>
                  </w:rPr>
                  <m:t>2</m:t>
                </m:r>
              </m:sub>
            </m:sSub>
          </m:sub>
        </m:sSub>
      </m:oMath>
      <w:r w:rsidRPr="00186A21">
        <w:rPr>
          <w:rFonts w:ascii="Aptos" w:eastAsia="Times New Roman" w:hAnsi="Aptos" w:cstheme="minorHAnsi"/>
          <w:bCs/>
          <w:sz w:val="24"/>
          <w:szCs w:val="24"/>
          <w:lang w:val="en-GB"/>
        </w:rPr>
        <w:t xml:space="preserve"> anomalies for long-term records (GOSAT and MLO) were derived using a second-order polynomial–harmonic regression over the 2009–2025 period. </w:t>
      </w:r>
      <w:r w:rsidR="001D4C4F" w:rsidRPr="001D4C4F">
        <w:rPr>
          <w:rFonts w:ascii="Aptos" w:eastAsia="Times New Roman" w:hAnsi="Aptos" w:cstheme="minorHAnsi"/>
          <w:bCs/>
          <w:sz w:val="24"/>
          <w:szCs w:val="24"/>
          <w:lang w:val="en-GB"/>
        </w:rPr>
        <w:t xml:space="preserve">However, the limited two-year span of the Palau FTIR record (2024–2025) precludes a robust independent trend estimation. A standard unconstrained fit would misattribute the prominent 2025 </w:t>
      </w:r>
      <m:oMath>
        <m:sSub>
          <m:sSubPr>
            <m:ctrlPr>
              <w:rPr>
                <w:rFonts w:ascii="Cambria Math" w:hAnsi="Cambria Math"/>
              </w:rPr>
            </m:ctrlPr>
          </m:sSubPr>
          <m:e>
            <m:r>
              <w:rPr>
                <w:rFonts w:ascii="Cambria Math" w:hAnsi="Cambria Math"/>
              </w:rPr>
              <m:t>X</m:t>
            </m:r>
          </m:e>
          <m:sub>
            <m:r>
              <m:rPr>
                <m:sty m:val="p"/>
              </m:rPr>
              <w:rPr>
                <w:rFonts w:ascii="Cambria Math" w:hAnsi="Cambria Math"/>
                <w:lang w:val="en-GB"/>
              </w:rPr>
              <m:t>C</m:t>
            </m:r>
            <m:sSub>
              <m:sSubPr>
                <m:ctrlPr>
                  <w:rPr>
                    <w:rFonts w:ascii="Cambria Math" w:hAnsi="Cambria Math"/>
                  </w:rPr>
                </m:ctrlPr>
              </m:sSubPr>
              <m:e>
                <m:r>
                  <m:rPr>
                    <m:sty m:val="p"/>
                  </m:rPr>
                  <w:rPr>
                    <w:rFonts w:ascii="Cambria Math" w:hAnsi="Cambria Math"/>
                    <w:lang w:val="en-GB"/>
                  </w:rPr>
                  <m:t>O</m:t>
                </m:r>
              </m:e>
              <m:sub>
                <m:r>
                  <m:rPr>
                    <m:sty m:val="p"/>
                  </m:rPr>
                  <w:rPr>
                    <w:rFonts w:ascii="Cambria Math" w:hAnsi="Cambria Math"/>
                    <w:lang w:val="en-GB"/>
                  </w:rPr>
                  <m:t>2</m:t>
                </m:r>
              </m:sub>
            </m:sSub>
          </m:sub>
        </m:sSub>
      </m:oMath>
      <w:r w:rsidR="001D4C4F" w:rsidRPr="001D4C4F">
        <w:rPr>
          <w:rFonts w:ascii="Aptos" w:eastAsia="Times New Roman" w:hAnsi="Aptos" w:cstheme="minorHAnsi"/>
          <w:bCs/>
          <w:sz w:val="24"/>
          <w:szCs w:val="24"/>
          <w:lang w:val="en-GB"/>
        </w:rPr>
        <w:t xml:space="preserve"> pulse to the</w:t>
      </w:r>
      <w:r w:rsidR="001D4C4F">
        <w:rPr>
          <w:rFonts w:ascii="Aptos" w:eastAsia="Times New Roman" w:hAnsi="Aptos" w:cstheme="minorHAnsi"/>
          <w:bCs/>
          <w:sz w:val="24"/>
          <w:szCs w:val="24"/>
          <w:lang w:val="en-GB"/>
        </w:rPr>
        <w:t xml:space="preserve"> long-term baseline, </w:t>
      </w:r>
      <w:r w:rsidR="002E5E48">
        <w:rPr>
          <w:rFonts w:ascii="Aptos" w:eastAsia="Times New Roman" w:hAnsi="Aptos" w:cstheme="minorHAnsi"/>
          <w:bCs/>
          <w:sz w:val="24"/>
          <w:szCs w:val="24"/>
          <w:lang w:val="en-GB"/>
        </w:rPr>
        <w:t xml:space="preserve">thereby absorbing the </w:t>
      </w:r>
      <w:proofErr w:type="spellStart"/>
      <w:r w:rsidR="002E5E48">
        <w:rPr>
          <w:rFonts w:ascii="Aptos" w:eastAsia="Times New Roman" w:hAnsi="Aptos" w:cstheme="minorHAnsi"/>
          <w:bCs/>
          <w:sz w:val="24"/>
          <w:szCs w:val="24"/>
          <w:lang w:val="en-GB"/>
        </w:rPr>
        <w:t>interannual</w:t>
      </w:r>
      <w:proofErr w:type="spellEnd"/>
      <w:r w:rsidR="002E5E48">
        <w:rPr>
          <w:rFonts w:ascii="Aptos" w:eastAsia="Times New Roman" w:hAnsi="Aptos" w:cstheme="minorHAnsi"/>
          <w:bCs/>
          <w:sz w:val="24"/>
          <w:szCs w:val="24"/>
          <w:lang w:val="en-GB"/>
        </w:rPr>
        <w:t xml:space="preserve"> signal of El Niño </w:t>
      </w:r>
      <w:r w:rsidR="001D4C4F" w:rsidRPr="001D4C4F">
        <w:rPr>
          <w:rFonts w:ascii="Aptos" w:eastAsia="Times New Roman" w:hAnsi="Aptos" w:cstheme="minorHAnsi"/>
          <w:bCs/>
          <w:sz w:val="24"/>
          <w:szCs w:val="24"/>
          <w:lang w:val="en-GB"/>
        </w:rPr>
        <w:t>into the fitted trend.</w:t>
      </w:r>
    </w:p>
    <w:p w:rsidR="00D365E7" w:rsidRPr="00186A21" w:rsidRDefault="00D365E7" w:rsidP="00D365E7">
      <w:pPr>
        <w:jc w:val="both"/>
        <w:rPr>
          <w:rFonts w:ascii="Aptos" w:eastAsia="Times New Roman" w:hAnsi="Aptos" w:cstheme="minorHAnsi"/>
          <w:bCs/>
          <w:sz w:val="24"/>
          <w:szCs w:val="24"/>
          <w:lang w:val="en-GB"/>
        </w:rPr>
      </w:pPr>
      <w:r w:rsidRPr="00186A21">
        <w:rPr>
          <w:rFonts w:ascii="Aptos" w:eastAsia="Times New Roman" w:hAnsi="Aptos" w:cstheme="minorHAnsi"/>
          <w:bCs/>
          <w:sz w:val="24"/>
          <w:szCs w:val="24"/>
          <w:lang w:val="en-GB"/>
        </w:rPr>
        <w:t>To maintain consistency with the unified framework while preserving the episodic ENSO signal, we adapted the regression model by constraining the growth rate and aligning the baseline to a pre-pulse reference period.</w:t>
      </w:r>
    </w:p>
    <w:p w:rsidR="00D365E7" w:rsidRPr="00186A21" w:rsidRDefault="00D365E7" w:rsidP="00186A21">
      <w:pPr>
        <w:pStyle w:val="berschrift1"/>
        <w:jc w:val="both"/>
        <w:rPr>
          <w:rFonts w:ascii="Aptos" w:hAnsi="Aptos"/>
          <w:color w:val="2F5496" w:themeColor="accent5" w:themeShade="BF"/>
          <w:sz w:val="32"/>
          <w:szCs w:val="32"/>
        </w:rPr>
      </w:pPr>
      <w:r w:rsidRPr="00186A21">
        <w:rPr>
          <w:rFonts w:ascii="Aptos" w:hAnsi="Aptos"/>
          <w:color w:val="2F5496" w:themeColor="accent5" w:themeShade="BF"/>
          <w:sz w:val="32"/>
          <w:szCs w:val="32"/>
        </w:rPr>
        <w:t>S</w:t>
      </w:r>
      <w:r w:rsidR="007B13DA" w:rsidRPr="00186A21">
        <w:rPr>
          <w:rFonts w:ascii="Aptos" w:hAnsi="Aptos"/>
          <w:color w:val="2F5496" w:themeColor="accent5" w:themeShade="BF"/>
          <w:sz w:val="32"/>
          <w:szCs w:val="32"/>
        </w:rPr>
        <w:t>1.</w:t>
      </w:r>
      <w:r w:rsidRPr="00186A21">
        <w:rPr>
          <w:rFonts w:ascii="Aptos" w:hAnsi="Aptos"/>
          <w:color w:val="2F5496" w:themeColor="accent5" w:themeShade="BF"/>
          <w:sz w:val="32"/>
          <w:szCs w:val="32"/>
        </w:rPr>
        <w:t>2. Mathematical Formulation</w:t>
      </w:r>
    </w:p>
    <w:p w:rsidR="00D365E7" w:rsidRPr="00186A21" w:rsidRDefault="00D365E7" w:rsidP="00D365E7">
      <w:pPr>
        <w:jc w:val="both"/>
        <w:rPr>
          <w:rFonts w:ascii="Aptos" w:eastAsia="Times New Roman" w:hAnsi="Aptos" w:cstheme="minorHAnsi"/>
          <w:bCs/>
          <w:sz w:val="24"/>
          <w:szCs w:val="24"/>
          <w:lang w:val="en-GB"/>
        </w:rPr>
      </w:pPr>
      <w:r w:rsidRPr="00186A21">
        <w:rPr>
          <w:rFonts w:ascii="Aptos" w:eastAsia="Times New Roman" w:hAnsi="Aptos" w:cstheme="minorHAnsi"/>
          <w:bCs/>
          <w:sz w:val="24"/>
          <w:szCs w:val="24"/>
          <w:lang w:val="en-GB"/>
        </w:rPr>
        <w:t xml:space="preserve">For the Palau FTIR time series, the fitted </w:t>
      </w:r>
      <m:oMath>
        <m:sSub>
          <m:sSubPr>
            <m:ctrlPr>
              <w:rPr>
                <w:rFonts w:ascii="Cambria Math" w:hAnsi="Cambria Math"/>
              </w:rPr>
            </m:ctrlPr>
          </m:sSubPr>
          <m:e>
            <m:limUpp>
              <m:limUppPr>
                <m:ctrlPr>
                  <w:rPr>
                    <w:rFonts w:ascii="Cambria Math" w:hAnsi="Cambria Math"/>
                  </w:rPr>
                </m:ctrlPr>
              </m:limUppPr>
              <m:e>
                <m:r>
                  <w:rPr>
                    <w:rFonts w:ascii="Cambria Math" w:hAnsi="Cambria Math"/>
                  </w:rPr>
                  <m:t>X</m:t>
                </m:r>
              </m:e>
              <m:lim>
                <m:r>
                  <w:rPr>
                    <w:rFonts w:ascii="Cambria Math" w:hAnsi="Cambria Math"/>
                    <w:lang w:val="en-GB"/>
                  </w:rPr>
                  <m:t>^</m:t>
                </m:r>
              </m:lim>
            </m:limUpp>
          </m:e>
          <m:sub>
            <m:r>
              <w:rPr>
                <w:rFonts w:ascii="Cambria Math" w:hAnsi="Cambria Math"/>
              </w:rPr>
              <m:t>Palau</m:t>
            </m:r>
          </m:sub>
        </m:sSub>
      </m:oMath>
      <w:r w:rsidRPr="00186A21">
        <w:rPr>
          <w:rFonts w:ascii="Aptos" w:eastAsia="Times New Roman" w:hAnsi="Aptos" w:cstheme="minorHAnsi"/>
          <w:bCs/>
          <w:sz w:val="24"/>
          <w:szCs w:val="24"/>
          <w:lang w:val="en-GB"/>
        </w:rPr>
        <w:t xml:space="preserve"> is defined as:</w:t>
      </w:r>
    </w:p>
    <w:p w:rsidR="00D365E7" w:rsidRPr="00186A21" w:rsidRDefault="00ED44EE" w:rsidP="00D365E7">
      <w:pPr>
        <w:rPr>
          <w:rFonts w:ascii="Aptos" w:hAnsi="Aptos"/>
        </w:rPr>
      </w:pPr>
      <m:oMathPara>
        <m:oMath>
          <m:sSub>
            <m:sSubPr>
              <m:ctrlPr>
                <w:rPr>
                  <w:rFonts w:ascii="Cambria Math" w:hAnsi="Cambria Math"/>
                </w:rPr>
              </m:ctrlPr>
            </m:sSubPr>
            <m:e>
              <m:limUpp>
                <m:limUppPr>
                  <m:ctrlPr>
                    <w:rPr>
                      <w:rFonts w:ascii="Cambria Math" w:hAnsi="Cambria Math"/>
                    </w:rPr>
                  </m:ctrlPr>
                </m:limUppPr>
                <m:e>
                  <m:r>
                    <w:rPr>
                      <w:rFonts w:ascii="Cambria Math" w:hAnsi="Cambria Math"/>
                    </w:rPr>
                    <m:t>X</m:t>
                  </m:r>
                </m:e>
                <m:lim>
                  <m:r>
                    <w:rPr>
                      <w:rFonts w:ascii="Cambria Math" w:hAnsi="Cambria Math"/>
                    </w:rPr>
                    <m:t>^</m:t>
                  </m:r>
                </m:lim>
              </m:limUpp>
            </m:e>
            <m:sub>
              <m:r>
                <w:rPr>
                  <w:rFonts w:ascii="Cambria Math" w:hAnsi="Cambria Math"/>
                </w:rPr>
                <m:t>Palau</m:t>
              </m:r>
            </m:sub>
          </m:sSub>
          <m:r>
            <w:rPr>
              <w:rFonts w:ascii="Cambria Math" w:hAnsi="Cambria Math"/>
            </w:rPr>
            <m:t>(t)=</m:t>
          </m:r>
          <m:sSub>
            <m:sSubPr>
              <m:ctrlPr>
                <w:rPr>
                  <w:rFonts w:ascii="Cambria Math" w:hAnsi="Cambria Math"/>
                </w:rPr>
              </m:ctrlPr>
            </m:sSubPr>
            <m:e>
              <m:r>
                <w:rPr>
                  <w:rFonts w:ascii="Cambria Math" w:hAnsi="Cambria Math"/>
                </w:rPr>
                <m:t>β</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GOSAT</m:t>
              </m:r>
            </m:sub>
          </m:sSub>
          <m:r>
            <w:rPr>
              <w:rFonts w:ascii="Cambria Math" w:hAnsi="Cambria Math"/>
            </w:rPr>
            <m:t>⋅t+</m:t>
          </m:r>
          <m:nary>
            <m:naryPr>
              <m:chr m:val="∑"/>
              <m:limLoc m:val="undOvr"/>
              <m:grow m:val="1"/>
              <m:ctrlPr>
                <w:rPr>
                  <w:rFonts w:ascii="Cambria Math" w:hAnsi="Cambria Math"/>
                </w:rPr>
              </m:ctrlPr>
            </m:naryPr>
            <m:sub>
              <m:r>
                <w:rPr>
                  <w:rFonts w:ascii="Cambria Math" w:hAnsi="Cambria Math"/>
                </w:rPr>
                <m:t>k=1</m:t>
              </m:r>
            </m:sub>
            <m:sup>
              <m:r>
                <w:rPr>
                  <w:rFonts w:ascii="Cambria Math" w:hAnsi="Cambria Math"/>
                </w:rPr>
                <m:t>1</m:t>
              </m:r>
            </m:sup>
            <m:e>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k</m:t>
                  </m:r>
                </m:sub>
              </m:sSub>
              <m:r>
                <m:rPr>
                  <m:sty m:val="p"/>
                </m:rPr>
                <w:rPr>
                  <w:rFonts w:ascii="Cambria Math" w:hAnsi="Cambria Math"/>
                </w:rPr>
                <m:t>sin</m:t>
              </m:r>
              <m:r>
                <w:rPr>
                  <w:rFonts w:ascii="Cambria Math" w:hAnsi="Cambria Math"/>
                </w:rPr>
                <m:t>⁡(2πkt)+</m:t>
              </m:r>
              <m:sSub>
                <m:sSubPr>
                  <m:ctrlPr>
                    <w:rPr>
                      <w:rFonts w:ascii="Cambria Math" w:hAnsi="Cambria Math"/>
                    </w:rPr>
                  </m:ctrlPr>
                </m:sSubPr>
                <m:e>
                  <m:r>
                    <w:rPr>
                      <w:rFonts w:ascii="Cambria Math" w:hAnsi="Cambria Math"/>
                    </w:rPr>
                    <m:t>c</m:t>
                  </m:r>
                </m:e>
                <m:sub>
                  <m:r>
                    <w:rPr>
                      <w:rFonts w:ascii="Cambria Math" w:hAnsi="Cambria Math"/>
                    </w:rPr>
                    <m:t>k</m:t>
                  </m:r>
                </m:sub>
              </m:sSub>
              <m:r>
                <m:rPr>
                  <m:sty m:val="p"/>
                </m:rPr>
                <w:rPr>
                  <w:rFonts w:ascii="Cambria Math" w:hAnsi="Cambria Math"/>
                </w:rPr>
                <m:t>cos</m:t>
              </m:r>
              <m:r>
                <w:rPr>
                  <w:rFonts w:ascii="Cambria Math" w:hAnsi="Cambria Math"/>
                </w:rPr>
                <m:t>⁡(2πkt)]</m:t>
              </m:r>
            </m:e>
          </m:nary>
        </m:oMath>
      </m:oMathPara>
    </w:p>
    <w:p w:rsidR="00D365E7" w:rsidRPr="00186A21" w:rsidRDefault="00D365E7" w:rsidP="00D365E7">
      <w:pPr>
        <w:jc w:val="both"/>
        <w:rPr>
          <w:rFonts w:ascii="Aptos" w:eastAsia="Times New Roman" w:hAnsi="Aptos" w:cstheme="minorHAnsi"/>
          <w:bCs/>
          <w:sz w:val="24"/>
          <w:szCs w:val="24"/>
          <w:lang w:val="en-GB"/>
        </w:rPr>
      </w:pPr>
      <w:r w:rsidRPr="00186A21">
        <w:rPr>
          <w:rFonts w:ascii="Aptos" w:eastAsia="Times New Roman" w:hAnsi="Aptos" w:cstheme="minorHAnsi"/>
          <w:bCs/>
          <w:sz w:val="24"/>
          <w:szCs w:val="24"/>
          <w:lang w:val="en-GB"/>
        </w:rPr>
        <w:t>Where:</w:t>
      </w:r>
    </w:p>
    <w:p w:rsidR="00D365E7" w:rsidRPr="00186A21" w:rsidRDefault="00D365E7" w:rsidP="00D365E7">
      <w:pPr>
        <w:jc w:val="both"/>
        <w:rPr>
          <w:rFonts w:ascii="Aptos" w:eastAsia="Times New Roman" w:hAnsi="Aptos" w:cstheme="minorHAnsi"/>
          <w:bCs/>
          <w:sz w:val="24"/>
          <w:szCs w:val="24"/>
          <w:lang w:val="en-GB"/>
        </w:rPr>
      </w:pPr>
      <w:proofErr w:type="gramStart"/>
      <w:r w:rsidRPr="00186A21">
        <w:rPr>
          <w:rFonts w:ascii="Aptos" w:eastAsia="Times New Roman" w:hAnsi="Aptos" w:cstheme="minorHAnsi"/>
          <w:bCs/>
          <w:sz w:val="24"/>
          <w:szCs w:val="24"/>
          <w:lang w:val="en-GB"/>
        </w:rPr>
        <w:t>t</w:t>
      </w:r>
      <w:proofErr w:type="gramEnd"/>
      <w:r w:rsidRPr="00186A21">
        <w:rPr>
          <w:rFonts w:ascii="Aptos" w:eastAsia="Times New Roman" w:hAnsi="Aptos" w:cstheme="minorHAnsi"/>
          <w:bCs/>
          <w:sz w:val="24"/>
          <w:szCs w:val="24"/>
          <w:lang w:val="en-GB"/>
        </w:rPr>
        <w:t xml:space="preserve"> is the time in fractional years.</w:t>
      </w:r>
    </w:p>
    <w:p w:rsidR="00D365E7" w:rsidRPr="00186A21" w:rsidRDefault="00ED44EE" w:rsidP="00D365E7">
      <w:pPr>
        <w:jc w:val="both"/>
        <w:rPr>
          <w:rFonts w:ascii="Aptos" w:eastAsia="Times New Roman" w:hAnsi="Aptos" w:cstheme="minorHAnsi"/>
          <w:bCs/>
          <w:sz w:val="24"/>
          <w:szCs w:val="24"/>
          <w:lang w:val="en-GB"/>
        </w:rPr>
      </w:pPr>
      <m:oMath>
        <m:sSub>
          <m:sSubPr>
            <m:ctrlPr>
              <w:rPr>
                <w:rFonts w:ascii="Cambria Math" w:hAnsi="Cambria Math"/>
              </w:rPr>
            </m:ctrlPr>
          </m:sSubPr>
          <m:e>
            <m:r>
              <w:rPr>
                <w:rFonts w:ascii="Cambria Math" w:hAnsi="Cambria Math"/>
              </w:rPr>
              <m:t>γ</m:t>
            </m:r>
          </m:e>
          <m:sub>
            <m:r>
              <w:rPr>
                <w:rFonts w:ascii="Cambria Math" w:hAnsi="Cambria Math"/>
              </w:rPr>
              <m:t>GOSAT</m:t>
            </m:r>
          </m:sub>
        </m:sSub>
      </m:oMath>
      <w:r w:rsidR="00D365E7" w:rsidRPr="00186A21">
        <w:rPr>
          <w:rFonts w:ascii="Aptos" w:eastAsia="Times New Roman" w:hAnsi="Aptos" w:cstheme="minorHAnsi"/>
          <w:bCs/>
          <w:sz w:val="24"/>
          <w:szCs w:val="24"/>
          <w:lang w:val="en-GB"/>
        </w:rPr>
        <w:t xml:space="preserve"> </w:t>
      </w:r>
      <w:proofErr w:type="gramStart"/>
      <w:r w:rsidR="00D365E7" w:rsidRPr="00186A21">
        <w:rPr>
          <w:rFonts w:ascii="Aptos" w:eastAsia="Times New Roman" w:hAnsi="Aptos" w:cstheme="minorHAnsi"/>
          <w:bCs/>
          <w:sz w:val="24"/>
          <w:szCs w:val="24"/>
          <w:lang w:val="en-GB"/>
        </w:rPr>
        <w:t>is</w:t>
      </w:r>
      <w:proofErr w:type="gramEnd"/>
      <w:r w:rsidR="00D365E7" w:rsidRPr="00186A21">
        <w:rPr>
          <w:rFonts w:ascii="Aptos" w:eastAsia="Times New Roman" w:hAnsi="Aptos" w:cstheme="minorHAnsi"/>
          <w:bCs/>
          <w:sz w:val="24"/>
          <w:szCs w:val="24"/>
          <w:lang w:val="en-GB"/>
        </w:rPr>
        <w:t xml:space="preserve"> the regional long-term growth rate (approximately 2.5 ppm yr</w:t>
      </w:r>
      <w:r w:rsidR="00D365E7" w:rsidRPr="00186A21">
        <w:rPr>
          <w:rFonts w:ascii="Aptos" w:eastAsia="Times New Roman" w:hAnsi="Aptos" w:cstheme="minorHAnsi"/>
          <w:bCs/>
          <w:sz w:val="24"/>
          <w:szCs w:val="24"/>
          <w:vertAlign w:val="superscript"/>
          <w:lang w:val="en-GB"/>
        </w:rPr>
        <w:t>-1</w:t>
      </w:r>
      <w:r w:rsidR="00D365E7" w:rsidRPr="00186A21">
        <w:rPr>
          <w:rFonts w:ascii="Aptos" w:eastAsia="Times New Roman" w:hAnsi="Aptos" w:cstheme="minorHAnsi"/>
          <w:bCs/>
          <w:sz w:val="24"/>
          <w:szCs w:val="24"/>
          <w:lang w:val="en-GB"/>
        </w:rPr>
        <w:t>), calculated from the linear component of the GOSAT regional trend (2010–2025) as specified in the Methods section.</w:t>
      </w:r>
    </w:p>
    <w:p w:rsidR="00D365E7" w:rsidRPr="00186A21" w:rsidRDefault="00D27A40" w:rsidP="00D365E7">
      <w:pPr>
        <w:jc w:val="both"/>
        <w:rPr>
          <w:rFonts w:ascii="Aptos" w:eastAsia="Times New Roman" w:hAnsi="Aptos" w:cstheme="minorHAnsi"/>
          <w:bCs/>
          <w:sz w:val="24"/>
          <w:szCs w:val="24"/>
          <w:lang w:val="en-GB"/>
        </w:rPr>
      </w:pPr>
      <w:r w:rsidRPr="00186A21">
        <w:rPr>
          <w:rFonts w:ascii="Aptos" w:eastAsia="Times New Roman" w:hAnsi="Aptos" w:cstheme="minorHAnsi"/>
          <w:bCs/>
          <w:sz w:val="24"/>
          <w:szCs w:val="24"/>
          <w:lang w:val="en-GB"/>
        </w:rPr>
        <w:t>The harmonic terms (k=1</w:t>
      </w:r>
      <w:r w:rsidR="00D365E7" w:rsidRPr="00186A21">
        <w:rPr>
          <w:rFonts w:ascii="Aptos" w:eastAsia="Times New Roman" w:hAnsi="Aptos" w:cstheme="minorHAnsi"/>
          <w:bCs/>
          <w:sz w:val="24"/>
          <w:szCs w:val="24"/>
          <w:lang w:val="en-GB"/>
        </w:rPr>
        <w:t xml:space="preserve">) represent the annual seasonal cycle, consistent with the primary frequency observed in </w:t>
      </w:r>
      <w:r w:rsidRPr="00186A21">
        <w:rPr>
          <w:rFonts w:ascii="Aptos" w:eastAsia="Times New Roman" w:hAnsi="Aptos" w:cstheme="minorHAnsi"/>
          <w:bCs/>
          <w:sz w:val="24"/>
          <w:szCs w:val="24"/>
          <w:lang w:val="en-GB"/>
        </w:rPr>
        <w:t>Tropical Western Pacific (TWP)</w:t>
      </w:r>
      <w:r w:rsidR="00D365E7" w:rsidRPr="00186A21">
        <w:rPr>
          <w:rFonts w:ascii="Aptos" w:eastAsia="Times New Roman" w:hAnsi="Aptos" w:cstheme="minorHAnsi"/>
          <w:bCs/>
          <w:sz w:val="24"/>
          <w:szCs w:val="24"/>
          <w:lang w:val="en-GB"/>
        </w:rPr>
        <w:t xml:space="preserve"> regional averages.</w:t>
      </w:r>
    </w:p>
    <w:p w:rsidR="00D365E7" w:rsidRPr="00186A21" w:rsidRDefault="00ED44EE" w:rsidP="00D365E7">
      <w:pPr>
        <w:jc w:val="both"/>
        <w:rPr>
          <w:rFonts w:ascii="Aptos" w:eastAsia="Times New Roman" w:hAnsi="Aptos" w:cstheme="minorHAnsi"/>
          <w:bCs/>
          <w:sz w:val="24"/>
          <w:szCs w:val="24"/>
          <w:lang w:val="en-GB"/>
        </w:rPr>
      </w:pPr>
      <m:oMath>
        <m:sSub>
          <m:sSubPr>
            <m:ctrlPr>
              <w:rPr>
                <w:rFonts w:ascii="Cambria Math" w:hAnsi="Cambria Math"/>
              </w:rPr>
            </m:ctrlPr>
          </m:sSubPr>
          <m:e>
            <m:r>
              <w:rPr>
                <w:rFonts w:ascii="Cambria Math" w:hAnsi="Cambria Math"/>
              </w:rPr>
              <m:t>β</m:t>
            </m:r>
          </m:e>
          <m:sub>
            <m:r>
              <w:rPr>
                <w:rFonts w:ascii="Cambria Math" w:hAnsi="Cambria Math"/>
                <w:lang w:val="en-GB"/>
              </w:rPr>
              <m:t>0</m:t>
            </m:r>
          </m:sub>
        </m:sSub>
      </m:oMath>
      <w:r w:rsidR="00D365E7" w:rsidRPr="00186A21">
        <w:rPr>
          <w:rFonts w:ascii="Aptos" w:eastAsia="Times New Roman" w:hAnsi="Aptos" w:cstheme="minorHAnsi"/>
          <w:bCs/>
          <w:sz w:val="24"/>
          <w:szCs w:val="24"/>
          <w:lang w:val="en-GB"/>
        </w:rPr>
        <w:t xml:space="preserve"> </w:t>
      </w:r>
      <w:proofErr w:type="gramStart"/>
      <w:r w:rsidR="00D365E7" w:rsidRPr="00186A21">
        <w:rPr>
          <w:rFonts w:ascii="Aptos" w:eastAsia="Times New Roman" w:hAnsi="Aptos" w:cstheme="minorHAnsi"/>
          <w:bCs/>
          <w:sz w:val="24"/>
          <w:szCs w:val="24"/>
          <w:lang w:val="en-GB"/>
        </w:rPr>
        <w:t>is</w:t>
      </w:r>
      <w:proofErr w:type="gramEnd"/>
      <w:r w:rsidR="00D365E7" w:rsidRPr="00186A21">
        <w:rPr>
          <w:rFonts w:ascii="Aptos" w:eastAsia="Times New Roman" w:hAnsi="Aptos" w:cstheme="minorHAnsi"/>
          <w:bCs/>
          <w:sz w:val="24"/>
          <w:szCs w:val="24"/>
          <w:lang w:val="en-GB"/>
        </w:rPr>
        <w:t xml:space="preserve"> the adjusted</w:t>
      </w:r>
      <w:r w:rsidR="00D27A40" w:rsidRPr="00186A21">
        <w:rPr>
          <w:rFonts w:ascii="Aptos" w:eastAsia="Times New Roman" w:hAnsi="Aptos" w:cstheme="minorHAnsi"/>
          <w:bCs/>
          <w:sz w:val="24"/>
          <w:szCs w:val="24"/>
          <w:lang w:val="en-GB"/>
        </w:rPr>
        <w:t xml:space="preserve"> intercept, determined via the baseline a</w:t>
      </w:r>
      <w:r w:rsidR="00D365E7" w:rsidRPr="00186A21">
        <w:rPr>
          <w:rFonts w:ascii="Aptos" w:eastAsia="Times New Roman" w:hAnsi="Aptos" w:cstheme="minorHAnsi"/>
          <w:bCs/>
          <w:sz w:val="24"/>
          <w:szCs w:val="24"/>
          <w:lang w:val="en-GB"/>
        </w:rPr>
        <w:t>lignment procedure</w:t>
      </w:r>
      <w:r w:rsidR="00D27A40" w:rsidRPr="00186A21">
        <w:rPr>
          <w:rFonts w:ascii="Aptos" w:eastAsia="Times New Roman" w:hAnsi="Aptos" w:cstheme="minorHAnsi"/>
          <w:bCs/>
          <w:sz w:val="24"/>
          <w:szCs w:val="24"/>
          <w:lang w:val="en-GB"/>
        </w:rPr>
        <w:t xml:space="preserve"> as followed</w:t>
      </w:r>
      <w:r w:rsidR="00D365E7" w:rsidRPr="00186A21">
        <w:rPr>
          <w:rFonts w:ascii="Aptos" w:eastAsia="Times New Roman" w:hAnsi="Aptos" w:cstheme="minorHAnsi"/>
          <w:bCs/>
          <w:sz w:val="24"/>
          <w:szCs w:val="24"/>
          <w:lang w:val="en-GB"/>
        </w:rPr>
        <w:t>.</w:t>
      </w:r>
    </w:p>
    <w:p w:rsidR="006F7780" w:rsidRPr="00186A21" w:rsidRDefault="006F7780" w:rsidP="00186A21">
      <w:pPr>
        <w:pStyle w:val="berschrift1"/>
        <w:jc w:val="both"/>
        <w:rPr>
          <w:rFonts w:ascii="Aptos" w:hAnsi="Aptos"/>
          <w:color w:val="2F5496" w:themeColor="accent5" w:themeShade="BF"/>
          <w:sz w:val="32"/>
          <w:szCs w:val="32"/>
        </w:rPr>
      </w:pPr>
      <w:r w:rsidRPr="00186A21">
        <w:rPr>
          <w:rFonts w:ascii="Aptos" w:hAnsi="Aptos"/>
          <w:color w:val="2F5496" w:themeColor="accent5" w:themeShade="BF"/>
          <w:sz w:val="32"/>
          <w:szCs w:val="32"/>
        </w:rPr>
        <w:lastRenderedPageBreak/>
        <w:t>S</w:t>
      </w:r>
      <w:r w:rsidR="007B13DA" w:rsidRPr="00186A21">
        <w:rPr>
          <w:rFonts w:ascii="Aptos" w:hAnsi="Aptos"/>
          <w:color w:val="2F5496" w:themeColor="accent5" w:themeShade="BF"/>
          <w:sz w:val="32"/>
          <w:szCs w:val="32"/>
        </w:rPr>
        <w:t>1.</w:t>
      </w:r>
      <w:r w:rsidRPr="00186A21">
        <w:rPr>
          <w:rFonts w:ascii="Aptos" w:hAnsi="Aptos"/>
          <w:color w:val="2F5496" w:themeColor="accent5" w:themeShade="BF"/>
          <w:sz w:val="32"/>
          <w:szCs w:val="32"/>
        </w:rPr>
        <w:t>3. Baseline Alignment</w:t>
      </w:r>
    </w:p>
    <w:p w:rsidR="00D27A40" w:rsidRPr="00186A21" w:rsidRDefault="006F7780" w:rsidP="006F7780">
      <w:pPr>
        <w:jc w:val="both"/>
        <w:rPr>
          <w:rFonts w:ascii="Aptos" w:eastAsia="Times New Roman" w:hAnsi="Aptos" w:cstheme="minorHAnsi"/>
          <w:bCs/>
          <w:sz w:val="24"/>
          <w:szCs w:val="24"/>
          <w:lang w:val="en-GB"/>
        </w:rPr>
      </w:pPr>
      <w:r w:rsidRPr="00186A21">
        <w:rPr>
          <w:rFonts w:ascii="Aptos" w:eastAsia="Times New Roman" w:hAnsi="Aptos" w:cstheme="minorHAnsi"/>
          <w:bCs/>
          <w:sz w:val="24"/>
          <w:szCs w:val="24"/>
          <w:lang w:val="en-GB"/>
        </w:rPr>
        <w:t xml:space="preserve">The intercept </w:t>
      </w:r>
      <m:oMath>
        <m:sSub>
          <m:sSubPr>
            <m:ctrlPr>
              <w:rPr>
                <w:rFonts w:ascii="Cambria Math" w:hAnsi="Cambria Math"/>
              </w:rPr>
            </m:ctrlPr>
          </m:sSubPr>
          <m:e>
            <m:r>
              <w:rPr>
                <w:rFonts w:ascii="Cambria Math" w:hAnsi="Cambria Math"/>
              </w:rPr>
              <m:t>β</m:t>
            </m:r>
          </m:e>
          <m:sub>
            <m:r>
              <w:rPr>
                <w:rFonts w:ascii="Cambria Math" w:hAnsi="Cambria Math"/>
                <w:lang w:val="en-GB"/>
              </w:rPr>
              <m:t>0</m:t>
            </m:r>
          </m:sub>
        </m:sSub>
      </m:oMath>
      <w:r w:rsidR="00D27A40" w:rsidRPr="00186A21">
        <w:rPr>
          <w:rFonts w:ascii="Aptos" w:eastAsia="Times New Roman" w:hAnsi="Aptos" w:cstheme="minorHAnsi"/>
          <w:lang w:val="en-GB"/>
        </w:rPr>
        <w:t xml:space="preserve"> </w:t>
      </w:r>
      <w:r w:rsidRPr="00186A21">
        <w:rPr>
          <w:rFonts w:ascii="Aptos" w:eastAsia="Times New Roman" w:hAnsi="Aptos" w:cstheme="minorHAnsi"/>
          <w:bCs/>
          <w:sz w:val="24"/>
          <w:szCs w:val="24"/>
          <w:lang w:val="en-GB"/>
        </w:rPr>
        <w:t>was determined by aligning the model to the initial phase of the record (January 2024 to May 2024). This period corresponds to the pea</w:t>
      </w:r>
      <w:r w:rsidR="00FF2A02">
        <w:rPr>
          <w:rFonts w:ascii="Aptos" w:eastAsia="Times New Roman" w:hAnsi="Aptos" w:cstheme="minorHAnsi"/>
          <w:bCs/>
          <w:sz w:val="24"/>
          <w:szCs w:val="24"/>
          <w:lang w:val="en-GB"/>
        </w:rPr>
        <w:t>k and</w:t>
      </w:r>
      <w:r w:rsidRPr="00186A21">
        <w:rPr>
          <w:rFonts w:ascii="Aptos" w:eastAsia="Times New Roman" w:hAnsi="Aptos" w:cstheme="minorHAnsi"/>
          <w:bCs/>
          <w:sz w:val="24"/>
          <w:szCs w:val="24"/>
          <w:lang w:val="en-GB"/>
        </w:rPr>
        <w:t xml:space="preserve"> decay of the 2023/24 El Niño Sea Surface Temperature (SST) anomalies. According to Chatterjee et al. (2017), the early stages of strong El Niño events are often characterized by reduced oceanic </w:t>
      </w:r>
      <w:r w:rsidR="00D27A40" w:rsidRPr="00186A21">
        <w:rPr>
          <w:rFonts w:ascii="Aptos" w:eastAsia="Times New Roman" w:hAnsi="Aptos" w:cstheme="minorHAnsi"/>
          <w:bCs/>
          <w:sz w:val="24"/>
          <w:szCs w:val="24"/>
          <w:lang w:val="en-GB"/>
        </w:rPr>
        <w:t>CO</w:t>
      </w:r>
      <w:r w:rsidR="00D27A40" w:rsidRPr="00186A21">
        <w:rPr>
          <w:rFonts w:ascii="Aptos" w:eastAsia="Times New Roman" w:hAnsi="Aptos" w:cstheme="minorHAnsi"/>
          <w:bCs/>
          <w:sz w:val="24"/>
          <w:szCs w:val="24"/>
          <w:vertAlign w:val="subscript"/>
          <w:lang w:val="en-GB"/>
        </w:rPr>
        <w:t>2</w:t>
      </w:r>
      <w:r w:rsidRPr="00186A21">
        <w:rPr>
          <w:rFonts w:ascii="Aptos" w:eastAsia="Times New Roman" w:hAnsi="Aptos" w:cstheme="minorHAnsi"/>
          <w:bCs/>
          <w:sz w:val="24"/>
          <w:szCs w:val="24"/>
          <w:lang w:val="en-GB"/>
        </w:rPr>
        <w:t xml:space="preserve"> outgassing in the tropical Pacific, which can temporari</w:t>
      </w:r>
      <w:r w:rsidR="00D27A40" w:rsidRPr="00186A21">
        <w:rPr>
          <w:rFonts w:ascii="Aptos" w:eastAsia="Times New Roman" w:hAnsi="Aptos" w:cstheme="minorHAnsi"/>
          <w:bCs/>
          <w:sz w:val="24"/>
          <w:szCs w:val="24"/>
          <w:lang w:val="en-GB"/>
        </w:rPr>
        <w:t>ly mask or offset the</w:t>
      </w:r>
      <w:r w:rsidRPr="00186A21">
        <w:rPr>
          <w:rFonts w:ascii="Aptos" w:eastAsia="Times New Roman" w:hAnsi="Aptos" w:cstheme="minorHAnsi"/>
          <w:bCs/>
          <w:sz w:val="24"/>
          <w:szCs w:val="24"/>
          <w:lang w:val="en-GB"/>
        </w:rPr>
        <w:t xml:space="preserve"> </w:t>
      </w:r>
      <w:r w:rsidR="00FF2A02">
        <w:rPr>
          <w:rFonts w:ascii="Aptos" w:eastAsia="Times New Roman" w:hAnsi="Aptos" w:cstheme="minorHAnsi"/>
          <w:bCs/>
          <w:sz w:val="24"/>
          <w:szCs w:val="24"/>
          <w:lang w:val="en-GB"/>
        </w:rPr>
        <w:t xml:space="preserve">late </w:t>
      </w:r>
      <w:r w:rsidRPr="00186A21">
        <w:rPr>
          <w:rFonts w:ascii="Aptos" w:eastAsia="Times New Roman" w:hAnsi="Aptos" w:cstheme="minorHAnsi"/>
          <w:bCs/>
          <w:sz w:val="24"/>
          <w:szCs w:val="24"/>
          <w:lang w:val="en-GB"/>
        </w:rPr>
        <w:t xml:space="preserve">terrestrial </w:t>
      </w:r>
      <w:proofErr w:type="spellStart"/>
      <w:r w:rsidRPr="00186A21">
        <w:rPr>
          <w:rFonts w:ascii="Aptos" w:eastAsia="Times New Roman" w:hAnsi="Aptos" w:cstheme="minorHAnsi"/>
          <w:bCs/>
          <w:sz w:val="24"/>
          <w:szCs w:val="24"/>
          <w:lang w:val="en-GB"/>
        </w:rPr>
        <w:t>biospheric</w:t>
      </w:r>
      <w:proofErr w:type="spellEnd"/>
      <w:r w:rsidRPr="00186A21">
        <w:rPr>
          <w:rFonts w:ascii="Aptos" w:eastAsia="Times New Roman" w:hAnsi="Aptos" w:cstheme="minorHAnsi"/>
          <w:bCs/>
          <w:sz w:val="24"/>
          <w:szCs w:val="24"/>
          <w:lang w:val="en-GB"/>
        </w:rPr>
        <w:t xml:space="preserve"> response. By anchoring our baseline to this window, we ensure that the anomalies calculated for 2025 exclusively represent the subsequent lag</w:t>
      </w:r>
      <w:r w:rsidR="00D27A40" w:rsidRPr="00186A21">
        <w:rPr>
          <w:rFonts w:ascii="Aptos" w:eastAsia="Times New Roman" w:hAnsi="Aptos" w:cstheme="minorHAnsi"/>
          <w:bCs/>
          <w:sz w:val="24"/>
          <w:szCs w:val="24"/>
          <w:lang w:val="en-GB"/>
        </w:rPr>
        <w:t xml:space="preserve">ged terrestrial </w:t>
      </w:r>
      <w:proofErr w:type="spellStart"/>
      <w:r w:rsidR="00D27A40" w:rsidRPr="00186A21">
        <w:rPr>
          <w:rFonts w:ascii="Aptos" w:eastAsia="Times New Roman" w:hAnsi="Aptos" w:cstheme="minorHAnsi"/>
          <w:bCs/>
          <w:sz w:val="24"/>
          <w:szCs w:val="24"/>
          <w:lang w:val="en-GB"/>
        </w:rPr>
        <w:t>biospheric</w:t>
      </w:r>
      <w:proofErr w:type="spellEnd"/>
      <w:r w:rsidR="00D27A40" w:rsidRPr="00186A21">
        <w:rPr>
          <w:rFonts w:ascii="Aptos" w:eastAsia="Times New Roman" w:hAnsi="Aptos" w:cstheme="minorHAnsi"/>
          <w:bCs/>
          <w:sz w:val="24"/>
          <w:szCs w:val="24"/>
          <w:lang w:val="en-GB"/>
        </w:rPr>
        <w:t xml:space="preserve"> response of the atmosphere</w:t>
      </w:r>
      <w:r w:rsidRPr="00186A21">
        <w:rPr>
          <w:rFonts w:ascii="Aptos" w:eastAsia="Times New Roman" w:hAnsi="Aptos" w:cstheme="minorHAnsi"/>
          <w:bCs/>
          <w:sz w:val="24"/>
          <w:szCs w:val="24"/>
          <w:lang w:val="en-GB"/>
        </w:rPr>
        <w:t xml:space="preserve">. This prevents the "reference zero" from being contaminated by the initial ocean-driven dip or the early-stage ramp-up of </w:t>
      </w:r>
      <w:proofErr w:type="spellStart"/>
      <w:r w:rsidRPr="00186A21">
        <w:rPr>
          <w:rFonts w:ascii="Aptos" w:eastAsia="Times New Roman" w:hAnsi="Aptos" w:cstheme="minorHAnsi"/>
          <w:bCs/>
          <w:sz w:val="24"/>
          <w:szCs w:val="24"/>
          <w:lang w:val="en-GB"/>
        </w:rPr>
        <w:t>biospheric</w:t>
      </w:r>
      <w:proofErr w:type="spellEnd"/>
      <w:r w:rsidRPr="00186A21">
        <w:rPr>
          <w:rFonts w:ascii="Aptos" w:eastAsia="Times New Roman" w:hAnsi="Aptos" w:cstheme="minorHAnsi"/>
          <w:bCs/>
          <w:sz w:val="24"/>
          <w:szCs w:val="24"/>
          <w:lang w:val="en-GB"/>
        </w:rPr>
        <w:t xml:space="preserve"> releases, thereby providing a more robust quantification of the net carbon cycle impact observed at the Palau site.</w:t>
      </w:r>
    </w:p>
    <w:p w:rsidR="00D365E7" w:rsidRPr="00186A21" w:rsidRDefault="00D27A40" w:rsidP="00186A21">
      <w:pPr>
        <w:pStyle w:val="berschrift1"/>
        <w:jc w:val="both"/>
        <w:rPr>
          <w:rFonts w:ascii="Aptos" w:hAnsi="Aptos"/>
          <w:color w:val="2F5496" w:themeColor="accent5" w:themeShade="BF"/>
          <w:sz w:val="32"/>
          <w:szCs w:val="32"/>
        </w:rPr>
      </w:pPr>
      <w:r w:rsidRPr="00186A21">
        <w:rPr>
          <w:rFonts w:ascii="Aptos" w:hAnsi="Aptos"/>
          <w:color w:val="2F5496" w:themeColor="accent5" w:themeShade="BF"/>
          <w:sz w:val="32"/>
          <w:szCs w:val="32"/>
        </w:rPr>
        <w:t>S</w:t>
      </w:r>
      <w:r w:rsidR="007B13DA" w:rsidRPr="00186A21">
        <w:rPr>
          <w:rFonts w:ascii="Aptos" w:hAnsi="Aptos"/>
          <w:color w:val="2F5496" w:themeColor="accent5" w:themeShade="BF"/>
          <w:sz w:val="32"/>
          <w:szCs w:val="32"/>
        </w:rPr>
        <w:t>1.</w:t>
      </w:r>
      <w:r w:rsidRPr="00186A21">
        <w:rPr>
          <w:rFonts w:ascii="Aptos" w:hAnsi="Aptos"/>
          <w:color w:val="2F5496" w:themeColor="accent5" w:themeShade="BF"/>
          <w:sz w:val="32"/>
          <w:szCs w:val="32"/>
        </w:rPr>
        <w:t>4. Uncertainty</w:t>
      </w:r>
    </w:p>
    <w:p w:rsidR="004310A1" w:rsidRPr="00186A21" w:rsidRDefault="00D365E7" w:rsidP="00D365E7">
      <w:pPr>
        <w:jc w:val="both"/>
        <w:rPr>
          <w:rFonts w:ascii="Aptos" w:eastAsia="Times New Roman" w:hAnsi="Aptos" w:cstheme="minorHAnsi"/>
          <w:bCs/>
          <w:sz w:val="24"/>
          <w:szCs w:val="24"/>
          <w:lang w:val="en-GB"/>
        </w:rPr>
      </w:pPr>
      <w:r w:rsidRPr="00186A21">
        <w:rPr>
          <w:rFonts w:ascii="Aptos" w:eastAsia="Times New Roman" w:hAnsi="Aptos" w:cstheme="minorHAnsi"/>
          <w:bCs/>
          <w:sz w:val="24"/>
          <w:szCs w:val="24"/>
          <w:lang w:val="en-GB"/>
        </w:rPr>
        <w:t>To account for measurement noise and fitting uncertainty, we employed a Bootstrap Resampling technique (1,000 iterations). Residuals from the baseline-aligned fit were resampled to generate a distribution of possible anomaly time series. The</w:t>
      </w:r>
      <w:r w:rsidR="00D27A40" w:rsidRPr="00186A21">
        <w:rPr>
          <w:rFonts w:ascii="Aptos" w:eastAsia="Times New Roman" w:hAnsi="Aptos" w:cstheme="minorHAnsi"/>
          <w:bCs/>
          <w:sz w:val="24"/>
          <w:szCs w:val="24"/>
          <w:lang w:val="en-GB"/>
        </w:rPr>
        <w:t xml:space="preserve"> reported uncertainty (1-σ</w:t>
      </w:r>
      <w:r w:rsidRPr="00186A21">
        <w:rPr>
          <w:rFonts w:ascii="Aptos" w:eastAsia="Times New Roman" w:hAnsi="Aptos" w:cstheme="minorHAnsi"/>
          <w:bCs/>
          <w:sz w:val="24"/>
          <w:szCs w:val="24"/>
          <w:lang w:val="en-GB"/>
        </w:rPr>
        <w:t xml:space="preserve">) represents the standard deviation of these iterations. This rigorous approach confirms that the positive </w:t>
      </w:r>
      <m:oMath>
        <m:sSub>
          <m:sSubPr>
            <m:ctrlPr>
              <w:rPr>
                <w:rFonts w:ascii="Cambria Math" w:hAnsi="Cambria Math"/>
              </w:rPr>
            </m:ctrlPr>
          </m:sSubPr>
          <m:e>
            <m:r>
              <w:rPr>
                <w:rFonts w:ascii="Cambria Math" w:hAnsi="Cambria Math"/>
              </w:rPr>
              <m:t>X</m:t>
            </m:r>
          </m:e>
          <m:sub>
            <m:r>
              <m:rPr>
                <m:sty m:val="p"/>
              </m:rPr>
              <w:rPr>
                <w:rFonts w:ascii="Cambria Math" w:hAnsi="Cambria Math"/>
                <w:lang w:val="en-GB"/>
              </w:rPr>
              <m:t>C</m:t>
            </m:r>
            <m:sSub>
              <m:sSubPr>
                <m:ctrlPr>
                  <w:rPr>
                    <w:rFonts w:ascii="Cambria Math" w:hAnsi="Cambria Math"/>
                  </w:rPr>
                </m:ctrlPr>
              </m:sSubPr>
              <m:e>
                <m:r>
                  <m:rPr>
                    <m:sty m:val="p"/>
                  </m:rPr>
                  <w:rPr>
                    <w:rFonts w:ascii="Cambria Math" w:hAnsi="Cambria Math"/>
                    <w:lang w:val="en-GB"/>
                  </w:rPr>
                  <m:t>O</m:t>
                </m:r>
              </m:e>
              <m:sub>
                <m:r>
                  <m:rPr>
                    <m:sty m:val="p"/>
                  </m:rPr>
                  <w:rPr>
                    <w:rFonts w:ascii="Cambria Math" w:hAnsi="Cambria Math"/>
                    <w:lang w:val="en-GB"/>
                  </w:rPr>
                  <m:t>2</m:t>
                </m:r>
              </m:sub>
            </m:sSub>
          </m:sub>
        </m:sSub>
      </m:oMath>
      <w:r w:rsidR="00D27A40" w:rsidRPr="00186A21">
        <w:rPr>
          <w:rFonts w:ascii="Aptos" w:eastAsia="Times New Roman" w:hAnsi="Aptos" w:cstheme="minorHAnsi"/>
          <w:lang w:val="en-GB"/>
        </w:rPr>
        <w:t xml:space="preserve"> </w:t>
      </w:r>
      <w:r w:rsidRPr="00186A21">
        <w:rPr>
          <w:rFonts w:ascii="Aptos" w:eastAsia="Times New Roman" w:hAnsi="Aptos" w:cstheme="minorHAnsi"/>
          <w:bCs/>
          <w:sz w:val="24"/>
          <w:szCs w:val="24"/>
          <w:lang w:val="en-GB"/>
        </w:rPr>
        <w:t xml:space="preserve"> anomalies in 2025 are statistically significant and robust against the choice </w:t>
      </w:r>
      <w:r w:rsidR="00D27A40" w:rsidRPr="00186A21">
        <w:rPr>
          <w:rFonts w:ascii="Aptos" w:eastAsia="Times New Roman" w:hAnsi="Aptos" w:cstheme="minorHAnsi"/>
          <w:bCs/>
          <w:sz w:val="24"/>
          <w:szCs w:val="24"/>
          <w:lang w:val="en-GB"/>
        </w:rPr>
        <w:t>of seasonal fitting parameters.</w:t>
      </w:r>
    </w:p>
    <w:p w:rsidR="004310A1" w:rsidRPr="00186A21" w:rsidRDefault="007B13DA" w:rsidP="00186A21">
      <w:pPr>
        <w:pStyle w:val="berschrift1"/>
        <w:jc w:val="both"/>
        <w:rPr>
          <w:rFonts w:ascii="Aptos" w:hAnsi="Aptos"/>
          <w:color w:val="2F5496" w:themeColor="accent5" w:themeShade="BF"/>
          <w:sz w:val="32"/>
          <w:szCs w:val="32"/>
        </w:rPr>
      </w:pPr>
      <w:r w:rsidRPr="00186A21">
        <w:rPr>
          <w:rFonts w:ascii="Aptos" w:hAnsi="Aptos"/>
          <w:color w:val="2F5496" w:themeColor="accent5" w:themeShade="BF"/>
          <w:sz w:val="32"/>
          <w:szCs w:val="32"/>
        </w:rPr>
        <w:t xml:space="preserve">S2. </w:t>
      </w:r>
      <w:r w:rsidR="00103AE2" w:rsidRPr="00186A21">
        <w:rPr>
          <w:rFonts w:ascii="Aptos" w:hAnsi="Aptos"/>
          <w:color w:val="2F5496" w:themeColor="accent5" w:themeShade="BF"/>
          <w:sz w:val="32"/>
          <w:szCs w:val="32"/>
        </w:rPr>
        <w:t>Comparison of Palau EM27/SUN CO</w:t>
      </w:r>
      <w:r w:rsidR="00103AE2" w:rsidRPr="00186A21">
        <w:rPr>
          <w:rFonts w:ascii="Aptos" w:hAnsi="Aptos"/>
          <w:color w:val="2F5496" w:themeColor="accent5" w:themeShade="BF"/>
          <w:sz w:val="32"/>
          <w:szCs w:val="32"/>
          <w:vertAlign w:val="subscript"/>
        </w:rPr>
        <w:t>2</w:t>
      </w:r>
      <w:r w:rsidR="00103AE2" w:rsidRPr="00186A21">
        <w:rPr>
          <w:rFonts w:ascii="Aptos" w:hAnsi="Aptos"/>
          <w:color w:val="2F5496" w:themeColor="accent5" w:themeShade="BF"/>
          <w:sz w:val="32"/>
          <w:szCs w:val="32"/>
        </w:rPr>
        <w:t xml:space="preserve"> with GOSAT and Mauna Loa</w:t>
      </w:r>
    </w:p>
    <w:p w:rsidR="007B13DA" w:rsidRPr="00186A21" w:rsidRDefault="007B13DA" w:rsidP="00D365E7">
      <w:pPr>
        <w:jc w:val="both"/>
        <w:rPr>
          <w:rFonts w:ascii="Aptos" w:hAnsi="Aptos" w:cstheme="minorHAnsi"/>
          <w:sz w:val="24"/>
          <w:szCs w:val="24"/>
          <w:lang w:val="en-GB"/>
        </w:rPr>
      </w:pPr>
      <w:r w:rsidRPr="00186A21">
        <w:rPr>
          <w:rFonts w:ascii="Aptos" w:hAnsi="Aptos" w:cstheme="minorHAnsi"/>
          <w:sz w:val="24"/>
          <w:szCs w:val="24"/>
          <w:lang w:val="en-GB"/>
        </w:rPr>
        <w:t>The time series of (X</w:t>
      </w:r>
      <w:proofErr w:type="gramStart"/>
      <w:r w:rsidRPr="00186A21">
        <w:rPr>
          <w:rFonts w:ascii="Aptos" w:hAnsi="Aptos" w:cstheme="minorHAnsi"/>
          <w:sz w:val="24"/>
          <w:szCs w:val="24"/>
          <w:lang w:val="en-GB"/>
        </w:rPr>
        <w:t>)CO</w:t>
      </w:r>
      <w:r w:rsidRPr="00186A21">
        <w:rPr>
          <w:rFonts w:ascii="Aptos" w:hAnsi="Aptos" w:cstheme="minorHAnsi"/>
          <w:sz w:val="24"/>
          <w:szCs w:val="24"/>
          <w:vertAlign w:val="subscript"/>
          <w:lang w:val="en-GB"/>
        </w:rPr>
        <w:t>2</w:t>
      </w:r>
      <w:proofErr w:type="gramEnd"/>
      <w:r w:rsidRPr="00186A21">
        <w:rPr>
          <w:rFonts w:ascii="Aptos" w:hAnsi="Aptos" w:cstheme="minorHAnsi"/>
          <w:lang w:val="en-GB"/>
        </w:rPr>
        <w:t xml:space="preserve"> </w:t>
      </w:r>
      <w:r w:rsidRPr="00186A21">
        <w:rPr>
          <w:rFonts w:ascii="Aptos" w:hAnsi="Aptos" w:cstheme="minorHAnsi"/>
          <w:sz w:val="24"/>
          <w:szCs w:val="24"/>
          <w:lang w:val="en-GB"/>
        </w:rPr>
        <w:t>from three distinct platforms, Mauna Loa (MLO) in-situ measurements, Palau EM27/SUN FTIR, and GOSAT satellite products spatial averaged in the WP region (5</w:t>
      </w:r>
      <m:oMath>
        <m:sSup>
          <m:sSupPr>
            <m:ctrlPr>
              <w:rPr>
                <w:rFonts w:ascii="Cambria Math" w:hAnsi="Cambria Math" w:cstheme="minorHAnsi"/>
                <w:sz w:val="24"/>
                <w:szCs w:val="24"/>
              </w:rPr>
            </m:ctrlPr>
          </m:sSupPr>
          <m:e>
            <m:r>
              <w:rPr>
                <w:rFonts w:ascii="Cambria Math" w:hAnsi="Cambria Math" w:cstheme="minorHAnsi"/>
                <w:sz w:val="24"/>
                <w:szCs w:val="24"/>
                <w:lang w:val="en-GB"/>
              </w:rPr>
              <m:t>​</m:t>
            </m:r>
          </m:e>
          <m:sup>
            <m:r>
              <w:rPr>
                <w:rFonts w:ascii="Cambria Math" w:hAnsi="Cambria Math" w:cstheme="minorHAnsi"/>
                <w:sz w:val="24"/>
                <w:szCs w:val="24"/>
                <w:lang w:val="en-GB"/>
              </w:rPr>
              <m:t>∘</m:t>
            </m:r>
          </m:sup>
        </m:sSup>
      </m:oMath>
      <w:r w:rsidRPr="00186A21">
        <w:rPr>
          <w:rFonts w:ascii="Aptos" w:hAnsi="Aptos" w:cstheme="minorHAnsi"/>
          <w:sz w:val="24"/>
          <w:szCs w:val="24"/>
          <w:lang w:val="en-GB"/>
        </w:rPr>
        <w:t>S–5</w:t>
      </w:r>
      <m:oMath>
        <m:sSup>
          <m:sSupPr>
            <m:ctrlPr>
              <w:rPr>
                <w:rFonts w:ascii="Cambria Math" w:hAnsi="Cambria Math" w:cstheme="minorHAnsi"/>
                <w:sz w:val="24"/>
                <w:szCs w:val="24"/>
              </w:rPr>
            </m:ctrlPr>
          </m:sSupPr>
          <m:e>
            <m:r>
              <w:rPr>
                <w:rFonts w:ascii="Cambria Math" w:hAnsi="Cambria Math" w:cstheme="minorHAnsi"/>
                <w:sz w:val="24"/>
                <w:szCs w:val="24"/>
                <w:lang w:val="en-GB"/>
              </w:rPr>
              <m:t>​</m:t>
            </m:r>
          </m:e>
          <m:sup>
            <m:r>
              <w:rPr>
                <w:rFonts w:ascii="Cambria Math" w:hAnsi="Cambria Math" w:cstheme="minorHAnsi"/>
                <w:sz w:val="24"/>
                <w:szCs w:val="24"/>
                <w:lang w:val="en-GB"/>
              </w:rPr>
              <m:t>∘</m:t>
            </m:r>
          </m:sup>
        </m:sSup>
      </m:oMath>
      <w:r w:rsidRPr="00186A21">
        <w:rPr>
          <w:rFonts w:ascii="Aptos" w:hAnsi="Aptos" w:cstheme="minorHAnsi"/>
          <w:sz w:val="24"/>
          <w:szCs w:val="24"/>
          <w:lang w:val="en-GB"/>
        </w:rPr>
        <w:t>N, 120</w:t>
      </w:r>
      <m:oMath>
        <m:sSup>
          <m:sSupPr>
            <m:ctrlPr>
              <w:rPr>
                <w:rFonts w:ascii="Cambria Math" w:hAnsi="Cambria Math" w:cstheme="minorHAnsi"/>
                <w:sz w:val="24"/>
                <w:szCs w:val="24"/>
              </w:rPr>
            </m:ctrlPr>
          </m:sSupPr>
          <m:e>
            <m:r>
              <w:rPr>
                <w:rFonts w:ascii="Cambria Math" w:hAnsi="Cambria Math" w:cstheme="minorHAnsi"/>
                <w:sz w:val="24"/>
                <w:szCs w:val="24"/>
                <w:lang w:val="en-GB"/>
              </w:rPr>
              <m:t>​</m:t>
            </m:r>
          </m:e>
          <m:sup>
            <m:r>
              <w:rPr>
                <w:rFonts w:ascii="Cambria Math" w:hAnsi="Cambria Math" w:cstheme="minorHAnsi"/>
                <w:sz w:val="24"/>
                <w:szCs w:val="24"/>
                <w:lang w:val="en-GB"/>
              </w:rPr>
              <m:t>∘</m:t>
            </m:r>
          </m:sup>
        </m:sSup>
      </m:oMath>
      <w:r w:rsidRPr="00186A21">
        <w:rPr>
          <w:rFonts w:ascii="Aptos" w:hAnsi="Aptos" w:cstheme="minorHAnsi"/>
          <w:sz w:val="24"/>
          <w:szCs w:val="24"/>
          <w:lang w:val="en-GB"/>
        </w:rPr>
        <w:t>E–180</w:t>
      </w:r>
      <m:oMath>
        <m:sSup>
          <m:sSupPr>
            <m:ctrlPr>
              <w:rPr>
                <w:rFonts w:ascii="Cambria Math" w:hAnsi="Cambria Math" w:cstheme="minorHAnsi"/>
                <w:sz w:val="24"/>
                <w:szCs w:val="24"/>
              </w:rPr>
            </m:ctrlPr>
          </m:sSupPr>
          <m:e>
            <m:r>
              <w:rPr>
                <w:rFonts w:ascii="Cambria Math" w:hAnsi="Cambria Math" w:cstheme="minorHAnsi"/>
                <w:sz w:val="24"/>
                <w:szCs w:val="24"/>
                <w:lang w:val="en-GB"/>
              </w:rPr>
              <m:t>​</m:t>
            </m:r>
          </m:e>
          <m:sup>
            <m:r>
              <w:rPr>
                <w:rFonts w:ascii="Cambria Math" w:hAnsi="Cambria Math" w:cstheme="minorHAnsi"/>
                <w:sz w:val="24"/>
                <w:szCs w:val="24"/>
                <w:lang w:val="en-GB"/>
              </w:rPr>
              <m:t>∘</m:t>
            </m:r>
          </m:sup>
        </m:sSup>
      </m:oMath>
      <w:r w:rsidRPr="00186A21">
        <w:rPr>
          <w:rFonts w:ascii="Aptos" w:hAnsi="Aptos" w:cstheme="minorHAnsi"/>
          <w:sz w:val="24"/>
          <w:szCs w:val="24"/>
          <w:lang w:val="en-GB"/>
        </w:rPr>
        <w:t xml:space="preserve">E), are illustrated in Fig. S1. Overall, the absolute </w:t>
      </w:r>
      <m:oMath>
        <m:sSub>
          <m:sSubPr>
            <m:ctrlPr>
              <w:rPr>
                <w:rFonts w:ascii="Cambria Math" w:hAnsi="Cambria Math"/>
              </w:rPr>
            </m:ctrlPr>
          </m:sSubPr>
          <m:e>
            <m:r>
              <w:rPr>
                <w:rFonts w:ascii="Cambria Math" w:hAnsi="Cambria Math"/>
              </w:rPr>
              <m:t>X</m:t>
            </m:r>
          </m:e>
          <m:sub>
            <m:r>
              <m:rPr>
                <m:sty m:val="p"/>
              </m:rPr>
              <w:rPr>
                <w:rFonts w:ascii="Cambria Math" w:hAnsi="Cambria Math"/>
                <w:lang w:val="en-GB"/>
              </w:rPr>
              <m:t>C</m:t>
            </m:r>
            <m:sSub>
              <m:sSubPr>
                <m:ctrlPr>
                  <w:rPr>
                    <w:rFonts w:ascii="Cambria Math" w:hAnsi="Cambria Math"/>
                  </w:rPr>
                </m:ctrlPr>
              </m:sSubPr>
              <m:e>
                <m:r>
                  <m:rPr>
                    <m:sty m:val="p"/>
                  </m:rPr>
                  <w:rPr>
                    <w:rFonts w:ascii="Cambria Math" w:hAnsi="Cambria Math"/>
                    <w:lang w:val="en-GB"/>
                  </w:rPr>
                  <m:t>O</m:t>
                </m:r>
              </m:e>
              <m:sub>
                <m:r>
                  <m:rPr>
                    <m:sty m:val="p"/>
                  </m:rPr>
                  <w:rPr>
                    <w:rFonts w:ascii="Cambria Math" w:hAnsi="Cambria Math"/>
                    <w:lang w:val="en-GB"/>
                  </w:rPr>
                  <m:t>2</m:t>
                </m:r>
              </m:sub>
            </m:sSub>
          </m:sub>
        </m:sSub>
      </m:oMath>
      <w:r w:rsidRPr="00186A21">
        <w:rPr>
          <w:rFonts w:ascii="Aptos" w:hAnsi="Aptos" w:cstheme="minorHAnsi"/>
          <w:sz w:val="24"/>
          <w:szCs w:val="24"/>
          <w:lang w:val="en-GB"/>
        </w:rPr>
        <w:t xml:space="preserve"> concentrations from the Palau EM27/SUN show high consistency with the GOSAT CO</w:t>
      </w:r>
      <w:r w:rsidRPr="00186A21">
        <w:rPr>
          <w:rFonts w:ascii="Aptos" w:hAnsi="Aptos" w:cstheme="minorHAnsi"/>
          <w:sz w:val="24"/>
          <w:szCs w:val="24"/>
          <w:vertAlign w:val="subscript"/>
          <w:lang w:val="en-GB"/>
        </w:rPr>
        <w:t xml:space="preserve">2 </w:t>
      </w:r>
      <w:r w:rsidRPr="00186A21">
        <w:rPr>
          <w:rFonts w:ascii="Aptos" w:hAnsi="Aptos" w:cstheme="minorHAnsi"/>
          <w:sz w:val="24"/>
          <w:szCs w:val="24"/>
          <w:lang w:val="en-GB"/>
        </w:rPr>
        <w:t>over the WP region and the MLO reference CO</w:t>
      </w:r>
      <w:r w:rsidRPr="00186A21">
        <w:rPr>
          <w:rFonts w:ascii="Aptos" w:hAnsi="Aptos" w:cstheme="minorHAnsi"/>
          <w:sz w:val="24"/>
          <w:szCs w:val="24"/>
          <w:vertAlign w:val="subscript"/>
          <w:lang w:val="en-GB"/>
        </w:rPr>
        <w:t>2</w:t>
      </w:r>
      <w:r w:rsidRPr="00186A21">
        <w:rPr>
          <w:rFonts w:ascii="Aptos" w:hAnsi="Aptos" w:cstheme="minorHAnsi"/>
          <w:sz w:val="24"/>
          <w:szCs w:val="24"/>
          <w:lang w:val="en-GB"/>
        </w:rPr>
        <w:t xml:space="preserve"> records. All three datasets exhibit a synchronized seasonal cycle, characterized by a peak in late spring (May-June) and a minimum in autumn (September-October), reflecting the biological uptake and release patterns of the Northern Hemisphere. While the seasonal amplitude captured at Palau appears slightly more pronounced with sharper peaks than the GOSAT spatial average, the seasonal transition points and phase alignment between the two remote sensing platforms are remarkably well-synchronized.</w:t>
      </w:r>
    </w:p>
    <w:p w:rsidR="00CC31CF" w:rsidRPr="00FA07FE" w:rsidRDefault="00AE1751" w:rsidP="00D365E7">
      <w:pPr>
        <w:jc w:val="both"/>
        <w:rPr>
          <w:rFonts w:ascii="Aptos" w:hAnsi="Aptos" w:cstheme="minorHAnsi"/>
          <w:sz w:val="24"/>
          <w:szCs w:val="24"/>
          <w:lang w:val="en-GB"/>
        </w:rPr>
      </w:pPr>
      <w:r w:rsidRPr="00186A21">
        <w:rPr>
          <w:rFonts w:ascii="Aptos" w:hAnsi="Aptos" w:cstheme="minorHAnsi"/>
          <w:noProof/>
          <w:sz w:val="24"/>
          <w:szCs w:val="24"/>
          <w:lang w:val="en-GB"/>
        </w:rPr>
        <w:lastRenderedPageBreak/>
        <w:drawing>
          <wp:inline distT="0" distB="0" distL="0" distR="0">
            <wp:extent cx="5760720" cy="2621240"/>
            <wp:effectExtent l="0" t="0" r="0" b="8255"/>
            <wp:docPr id="2" name="Grafik 2" descr="D:\EMSUN27\plot\XCO2_timeseri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MSUN27\plot\XCO2_timeseries.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2621240"/>
                    </a:xfrm>
                    <a:prstGeom prst="rect">
                      <a:avLst/>
                    </a:prstGeom>
                    <a:noFill/>
                    <a:ln>
                      <a:noFill/>
                    </a:ln>
                  </pic:spPr>
                </pic:pic>
              </a:graphicData>
            </a:graphic>
          </wp:inline>
        </w:drawing>
      </w:r>
      <w:r w:rsidR="00103AE2" w:rsidRPr="00186A21">
        <w:rPr>
          <w:rFonts w:ascii="Aptos" w:hAnsi="Aptos" w:cstheme="minorHAnsi"/>
          <w:sz w:val="24"/>
          <w:szCs w:val="24"/>
          <w:lang w:val="en-US"/>
        </w:rPr>
        <w:t>Figure S1. Time series of the (X</w:t>
      </w:r>
      <w:proofErr w:type="gramStart"/>
      <w:r w:rsidR="00103AE2" w:rsidRPr="00186A21">
        <w:rPr>
          <w:rFonts w:ascii="Aptos" w:hAnsi="Aptos" w:cstheme="minorHAnsi"/>
          <w:sz w:val="24"/>
          <w:szCs w:val="24"/>
          <w:lang w:val="en-US"/>
        </w:rPr>
        <w:t>)CO2</w:t>
      </w:r>
      <w:proofErr w:type="gramEnd"/>
      <w:r w:rsidR="00103AE2" w:rsidRPr="00186A21">
        <w:rPr>
          <w:rFonts w:ascii="Aptos" w:hAnsi="Aptos" w:cstheme="minorHAnsi"/>
          <w:sz w:val="24"/>
          <w:szCs w:val="24"/>
          <w:lang w:val="en-US"/>
        </w:rPr>
        <w:t xml:space="preserve"> by in-situ measurement in Mauna Loa, EM27/SUN  FTIR and GOSAT satellite spatial averaged over the Western Pacific (WP) region (</w:t>
      </w:r>
      <w:r w:rsidR="00103AE2" w:rsidRPr="00186A21">
        <w:rPr>
          <w:rFonts w:ascii="Aptos" w:hAnsi="Aptos" w:cstheme="minorHAnsi"/>
          <w:sz w:val="24"/>
          <w:szCs w:val="24"/>
          <w:lang w:val="en-GB"/>
        </w:rPr>
        <w:t>5</w:t>
      </w:r>
      <m:oMath>
        <m:sSup>
          <m:sSupPr>
            <m:ctrlPr>
              <w:rPr>
                <w:rFonts w:ascii="Cambria Math" w:hAnsi="Cambria Math" w:cstheme="minorHAnsi"/>
                <w:sz w:val="24"/>
                <w:szCs w:val="24"/>
              </w:rPr>
            </m:ctrlPr>
          </m:sSupPr>
          <m:e>
            <m:r>
              <w:rPr>
                <w:rFonts w:ascii="Cambria Math" w:hAnsi="Cambria Math" w:cstheme="minorHAnsi"/>
                <w:sz w:val="24"/>
                <w:szCs w:val="24"/>
                <w:lang w:val="en-GB"/>
              </w:rPr>
              <m:t>​</m:t>
            </m:r>
          </m:e>
          <m:sup>
            <m:r>
              <w:rPr>
                <w:rFonts w:ascii="Cambria Math" w:hAnsi="Cambria Math" w:cstheme="minorHAnsi"/>
                <w:sz w:val="24"/>
                <w:szCs w:val="24"/>
                <w:lang w:val="en-GB"/>
              </w:rPr>
              <m:t>∘</m:t>
            </m:r>
          </m:sup>
        </m:sSup>
      </m:oMath>
      <w:r w:rsidR="00103AE2" w:rsidRPr="00186A21">
        <w:rPr>
          <w:rFonts w:ascii="Aptos" w:hAnsi="Aptos" w:cstheme="minorHAnsi"/>
          <w:sz w:val="24"/>
          <w:szCs w:val="24"/>
          <w:lang w:val="en-GB"/>
        </w:rPr>
        <w:t>S–5</w:t>
      </w:r>
      <m:oMath>
        <m:sSup>
          <m:sSupPr>
            <m:ctrlPr>
              <w:rPr>
                <w:rFonts w:ascii="Cambria Math" w:hAnsi="Cambria Math" w:cstheme="minorHAnsi"/>
                <w:sz w:val="24"/>
                <w:szCs w:val="24"/>
              </w:rPr>
            </m:ctrlPr>
          </m:sSupPr>
          <m:e>
            <m:r>
              <w:rPr>
                <w:rFonts w:ascii="Cambria Math" w:hAnsi="Cambria Math" w:cstheme="minorHAnsi"/>
                <w:sz w:val="24"/>
                <w:szCs w:val="24"/>
                <w:lang w:val="en-GB"/>
              </w:rPr>
              <m:t>​</m:t>
            </m:r>
          </m:e>
          <m:sup>
            <m:r>
              <w:rPr>
                <w:rFonts w:ascii="Cambria Math" w:hAnsi="Cambria Math" w:cstheme="minorHAnsi"/>
                <w:sz w:val="24"/>
                <w:szCs w:val="24"/>
                <w:lang w:val="en-GB"/>
              </w:rPr>
              <m:t>∘</m:t>
            </m:r>
          </m:sup>
        </m:sSup>
      </m:oMath>
      <w:r w:rsidR="00103AE2" w:rsidRPr="00186A21">
        <w:rPr>
          <w:rFonts w:ascii="Aptos" w:hAnsi="Aptos" w:cstheme="minorHAnsi"/>
          <w:sz w:val="24"/>
          <w:szCs w:val="24"/>
          <w:lang w:val="en-GB"/>
        </w:rPr>
        <w:t>N, 120</w:t>
      </w:r>
      <m:oMath>
        <m:sSup>
          <m:sSupPr>
            <m:ctrlPr>
              <w:rPr>
                <w:rFonts w:ascii="Cambria Math" w:hAnsi="Cambria Math" w:cstheme="minorHAnsi"/>
                <w:sz w:val="24"/>
                <w:szCs w:val="24"/>
              </w:rPr>
            </m:ctrlPr>
          </m:sSupPr>
          <m:e>
            <m:r>
              <w:rPr>
                <w:rFonts w:ascii="Cambria Math" w:hAnsi="Cambria Math" w:cstheme="minorHAnsi"/>
                <w:sz w:val="24"/>
                <w:szCs w:val="24"/>
                <w:lang w:val="en-GB"/>
              </w:rPr>
              <m:t>​</m:t>
            </m:r>
          </m:e>
          <m:sup>
            <m:r>
              <w:rPr>
                <w:rFonts w:ascii="Cambria Math" w:hAnsi="Cambria Math" w:cstheme="minorHAnsi"/>
                <w:sz w:val="24"/>
                <w:szCs w:val="24"/>
                <w:lang w:val="en-GB"/>
              </w:rPr>
              <m:t>∘</m:t>
            </m:r>
          </m:sup>
        </m:sSup>
      </m:oMath>
      <w:r w:rsidR="00103AE2" w:rsidRPr="00186A21">
        <w:rPr>
          <w:rFonts w:ascii="Aptos" w:hAnsi="Aptos" w:cstheme="minorHAnsi"/>
          <w:sz w:val="24"/>
          <w:szCs w:val="24"/>
          <w:lang w:val="en-GB"/>
        </w:rPr>
        <w:t>E–180</w:t>
      </w:r>
      <m:oMath>
        <m:sSup>
          <m:sSupPr>
            <m:ctrlPr>
              <w:rPr>
                <w:rFonts w:ascii="Cambria Math" w:hAnsi="Cambria Math" w:cstheme="minorHAnsi"/>
                <w:sz w:val="24"/>
                <w:szCs w:val="24"/>
              </w:rPr>
            </m:ctrlPr>
          </m:sSupPr>
          <m:e>
            <m:r>
              <w:rPr>
                <w:rFonts w:ascii="Cambria Math" w:hAnsi="Cambria Math" w:cstheme="minorHAnsi"/>
                <w:sz w:val="24"/>
                <w:szCs w:val="24"/>
                <w:lang w:val="en-GB"/>
              </w:rPr>
              <m:t>​</m:t>
            </m:r>
          </m:e>
          <m:sup>
            <m:r>
              <w:rPr>
                <w:rFonts w:ascii="Cambria Math" w:hAnsi="Cambria Math" w:cstheme="minorHAnsi"/>
                <w:sz w:val="24"/>
                <w:szCs w:val="24"/>
                <w:lang w:val="en-GB"/>
              </w:rPr>
              <m:t>∘</m:t>
            </m:r>
          </m:sup>
        </m:sSup>
      </m:oMath>
      <w:r w:rsidR="00103AE2" w:rsidRPr="00186A21">
        <w:rPr>
          <w:rFonts w:ascii="Aptos" w:hAnsi="Aptos" w:cstheme="minorHAnsi"/>
          <w:sz w:val="24"/>
          <w:szCs w:val="24"/>
          <w:lang w:val="en-GB"/>
        </w:rPr>
        <w:t>E</w:t>
      </w:r>
      <w:r w:rsidR="00103AE2" w:rsidRPr="00186A21">
        <w:rPr>
          <w:rFonts w:ascii="Aptos" w:hAnsi="Aptos" w:cstheme="minorHAnsi"/>
          <w:sz w:val="24"/>
          <w:szCs w:val="24"/>
          <w:lang w:val="en-US"/>
        </w:rPr>
        <w:t xml:space="preserve">). The 2023/24 </w:t>
      </w:r>
      <w:r w:rsidR="00103AE2" w:rsidRPr="00186A21">
        <w:rPr>
          <w:rFonts w:ascii="Aptos" w:hAnsi="Aptos" w:cstheme="minorHAnsi"/>
          <w:sz w:val="24"/>
          <w:szCs w:val="24"/>
          <w:lang w:val="en-GB"/>
        </w:rPr>
        <w:t xml:space="preserve">El Niño period is marked </w:t>
      </w:r>
      <w:r w:rsidR="00FA07FE">
        <w:rPr>
          <w:rFonts w:ascii="Aptos" w:hAnsi="Aptos" w:cstheme="minorHAnsi"/>
          <w:sz w:val="24"/>
          <w:szCs w:val="24"/>
          <w:lang w:val="en-GB"/>
        </w:rPr>
        <w:t>in</w:t>
      </w:r>
      <w:r w:rsidR="00103AE2" w:rsidRPr="00186A21">
        <w:rPr>
          <w:rFonts w:ascii="Aptos" w:hAnsi="Aptos" w:cstheme="minorHAnsi"/>
          <w:sz w:val="24"/>
          <w:szCs w:val="24"/>
          <w:lang w:val="en-GB"/>
        </w:rPr>
        <w:t xml:space="preserve"> red shadow.</w:t>
      </w:r>
      <w:r w:rsidR="00FA07FE">
        <w:rPr>
          <w:rFonts w:ascii="Aptos" w:hAnsi="Aptos" w:cstheme="minorHAnsi"/>
          <w:sz w:val="24"/>
          <w:szCs w:val="24"/>
          <w:lang w:val="en-GB"/>
        </w:rPr>
        <w:t xml:space="preserve"> </w:t>
      </w:r>
      <w:r w:rsidR="00FA07FE" w:rsidRPr="00FA07FE">
        <w:rPr>
          <w:rFonts w:ascii="Aptos" w:hAnsi="Aptos" w:cstheme="minorHAnsi"/>
          <w:sz w:val="24"/>
          <w:szCs w:val="24"/>
          <w:lang w:val="en-US"/>
        </w:rPr>
        <w:t>Note that the offset in absolute values between EM27/SUN and GOSAT reflects their respective retrieval baselines; however, both datasets exhibit consistent seasonal cycles and inter-annual trends as discussed in the main text.</w:t>
      </w:r>
    </w:p>
    <w:p w:rsidR="00BB7C71" w:rsidRPr="00186A21" w:rsidRDefault="00251DDE" w:rsidP="00186A21">
      <w:pPr>
        <w:pStyle w:val="berschrift1"/>
        <w:jc w:val="both"/>
        <w:rPr>
          <w:rFonts w:ascii="Aptos" w:hAnsi="Aptos"/>
          <w:color w:val="2F5496" w:themeColor="accent5" w:themeShade="BF"/>
          <w:sz w:val="32"/>
          <w:szCs w:val="32"/>
        </w:rPr>
      </w:pPr>
      <w:r w:rsidRPr="00186A21">
        <w:rPr>
          <w:rFonts w:ascii="Aptos" w:hAnsi="Aptos"/>
          <w:color w:val="2F5496" w:themeColor="accent5" w:themeShade="BF"/>
          <w:sz w:val="32"/>
          <w:szCs w:val="32"/>
        </w:rPr>
        <w:t xml:space="preserve">S3. </w:t>
      </w:r>
      <w:r w:rsidR="00BB7C71" w:rsidRPr="00186A21">
        <w:rPr>
          <w:rFonts w:ascii="Aptos" w:hAnsi="Aptos"/>
          <w:color w:val="2F5496" w:themeColor="accent5" w:themeShade="BF"/>
          <w:sz w:val="32"/>
          <w:szCs w:val="32"/>
        </w:rPr>
        <w:t>Single station regression results</w:t>
      </w:r>
    </w:p>
    <w:p w:rsidR="00B87193" w:rsidRPr="00186A21" w:rsidRDefault="000B226E" w:rsidP="000B226E">
      <w:pPr>
        <w:pStyle w:val="Textkrper"/>
        <w:jc w:val="both"/>
        <w:rPr>
          <w:rFonts w:ascii="Aptos" w:hAnsi="Aptos" w:cstheme="minorHAnsi"/>
          <w:sz w:val="24"/>
          <w:szCs w:val="24"/>
          <w:lang w:val="en-GB"/>
        </w:rPr>
      </w:pPr>
      <w:r w:rsidRPr="00186A21">
        <w:rPr>
          <w:rFonts w:ascii="Aptos" w:hAnsi="Aptos" w:cstheme="minorHAnsi"/>
          <w:sz w:val="24"/>
          <w:szCs w:val="24"/>
          <w:lang w:val="en-GB"/>
        </w:rPr>
        <w:t xml:space="preserve">We evaluated the robustness of the global </w:t>
      </w:r>
      <w:r w:rsidR="00B87193" w:rsidRPr="00186A21">
        <w:rPr>
          <w:rFonts w:ascii="Aptos" w:hAnsi="Aptos" w:cstheme="minorHAnsi"/>
          <w:sz w:val="24"/>
          <w:szCs w:val="24"/>
          <w:lang w:val="en-GB"/>
        </w:rPr>
        <w:t>CO</w:t>
      </w:r>
      <w:r w:rsidR="00B87193" w:rsidRPr="00186A21">
        <w:rPr>
          <w:rFonts w:ascii="Aptos" w:hAnsi="Aptos" w:cstheme="minorHAnsi"/>
          <w:sz w:val="24"/>
          <w:szCs w:val="24"/>
          <w:vertAlign w:val="subscript"/>
          <w:lang w:val="en-GB"/>
        </w:rPr>
        <w:t xml:space="preserve">2 </w:t>
      </w:r>
      <w:r w:rsidRPr="00186A21">
        <w:rPr>
          <w:rFonts w:ascii="Aptos" w:hAnsi="Aptos" w:cstheme="minorHAnsi"/>
          <w:sz w:val="24"/>
          <w:szCs w:val="24"/>
          <w:lang w:val="en-GB"/>
        </w:rPr>
        <w:t>growth rate estimates and the validity of the statistical model by performing independent regres</w:t>
      </w:r>
      <w:r w:rsidR="00B87193" w:rsidRPr="00186A21">
        <w:rPr>
          <w:rFonts w:ascii="Aptos" w:hAnsi="Aptos" w:cstheme="minorHAnsi"/>
          <w:sz w:val="24"/>
          <w:szCs w:val="24"/>
          <w:lang w:val="en-GB"/>
        </w:rPr>
        <w:t>sion analyses for each of the 8 sampling</w:t>
      </w:r>
      <w:r w:rsidRPr="00186A21">
        <w:rPr>
          <w:rFonts w:ascii="Aptos" w:hAnsi="Aptos" w:cstheme="minorHAnsi"/>
          <w:sz w:val="24"/>
          <w:szCs w:val="24"/>
          <w:lang w:val="en-GB"/>
        </w:rPr>
        <w:t xml:space="preserve"> stations</w:t>
      </w:r>
      <w:r w:rsidR="00B87193" w:rsidRPr="00186A21">
        <w:rPr>
          <w:rFonts w:ascii="Aptos" w:hAnsi="Aptos" w:cstheme="minorHAnsi"/>
          <w:sz w:val="24"/>
          <w:szCs w:val="24"/>
          <w:lang w:val="en-GB"/>
        </w:rPr>
        <w:t xml:space="preserve"> from Scripps CO</w:t>
      </w:r>
      <w:r w:rsidR="00B87193" w:rsidRPr="00186A21">
        <w:rPr>
          <w:rFonts w:ascii="Aptos" w:hAnsi="Aptos" w:cstheme="minorHAnsi"/>
          <w:sz w:val="24"/>
          <w:szCs w:val="24"/>
          <w:vertAlign w:val="subscript"/>
          <w:lang w:val="en-GB"/>
        </w:rPr>
        <w:t>2</w:t>
      </w:r>
      <w:r w:rsidR="00B87193" w:rsidRPr="00186A21">
        <w:rPr>
          <w:rFonts w:ascii="Aptos" w:hAnsi="Aptos" w:cstheme="minorHAnsi"/>
          <w:sz w:val="24"/>
          <w:szCs w:val="24"/>
          <w:lang w:val="en-GB"/>
        </w:rPr>
        <w:t xml:space="preserve"> records by Scripps Institution of Oceanography (Scripps Institution of Oceanography 2024; Keeling et al. 2005)</w:t>
      </w:r>
      <w:r w:rsidRPr="00186A21">
        <w:rPr>
          <w:rFonts w:ascii="Aptos" w:hAnsi="Aptos" w:cstheme="minorHAnsi"/>
          <w:sz w:val="24"/>
          <w:szCs w:val="24"/>
          <w:lang w:val="en-GB"/>
        </w:rPr>
        <w:t xml:space="preserve">. Following the regression framework of Betts et al. (2016), the annual </w:t>
      </w:r>
      <w:r w:rsidR="00B87193" w:rsidRPr="00186A21">
        <w:rPr>
          <w:rFonts w:ascii="Aptos" w:hAnsi="Aptos" w:cstheme="minorHAnsi"/>
          <w:sz w:val="24"/>
          <w:szCs w:val="24"/>
          <w:lang w:val="en-GB"/>
        </w:rPr>
        <w:t>CO</w:t>
      </w:r>
      <w:r w:rsidR="00B87193" w:rsidRPr="00186A21">
        <w:rPr>
          <w:rFonts w:ascii="Aptos" w:hAnsi="Aptos" w:cstheme="minorHAnsi"/>
          <w:sz w:val="24"/>
          <w:szCs w:val="24"/>
          <w:vertAlign w:val="subscript"/>
          <w:lang w:val="en-GB"/>
        </w:rPr>
        <w:t xml:space="preserve">2 </w:t>
      </w:r>
      <w:r w:rsidR="00B87193" w:rsidRPr="00186A21">
        <w:rPr>
          <w:rFonts w:ascii="Aptos" w:hAnsi="Aptos" w:cstheme="minorHAnsi"/>
          <w:sz w:val="24"/>
          <w:szCs w:val="24"/>
          <w:lang w:val="en-GB"/>
        </w:rPr>
        <w:t>growth rate (</w:t>
      </w:r>
      <m:oMath>
        <m:r>
          <m:rPr>
            <m:sty m:val="p"/>
          </m:rPr>
          <w:rPr>
            <w:rFonts w:ascii="Cambria Math" w:hAnsi="Cambria Math"/>
          </w:rPr>
          <m:t>Δ</m:t>
        </m:r>
        <m:sSub>
          <m:sSubPr>
            <m:ctrlPr>
              <w:rPr>
                <w:rFonts w:ascii="Cambria Math" w:hAnsi="Cambria Math"/>
              </w:rPr>
            </m:ctrlPr>
          </m:sSubPr>
          <m:e>
            <m:r>
              <m:rPr>
                <m:sty m:val="p"/>
              </m:rPr>
              <w:rPr>
                <w:rFonts w:ascii="Cambria Math" w:hAnsi="Cambria Math"/>
                <w:lang w:val="en-GB"/>
              </w:rPr>
              <m:t>CO</m:t>
            </m:r>
          </m:e>
          <m:sub>
            <m:r>
              <w:rPr>
                <w:rFonts w:ascii="Cambria Math" w:hAnsi="Cambria Math"/>
                <w:lang w:val="en-GB"/>
              </w:rPr>
              <m:t>2</m:t>
            </m:r>
          </m:sub>
        </m:sSub>
      </m:oMath>
      <w:r w:rsidRPr="00186A21">
        <w:rPr>
          <w:rFonts w:ascii="Aptos" w:hAnsi="Aptos" w:cstheme="minorHAnsi"/>
          <w:sz w:val="24"/>
          <w:szCs w:val="24"/>
          <w:lang w:val="en-GB"/>
        </w:rPr>
        <w:t>) for each individual station was quantified using an ordinary least squares model expressed as</w:t>
      </w:r>
    </w:p>
    <w:p w:rsidR="000B226E" w:rsidRPr="00186A21" w:rsidRDefault="000B226E" w:rsidP="000B226E">
      <w:pPr>
        <w:pStyle w:val="Textkrper"/>
        <w:jc w:val="both"/>
        <w:rPr>
          <w:rFonts w:ascii="Aptos" w:hAnsi="Aptos"/>
          <w:lang w:val="en-GB"/>
        </w:rPr>
      </w:pPr>
      <m:oMathPara>
        <m:oMathParaPr>
          <m:jc m:val="center"/>
        </m:oMathParaPr>
        <m:oMath>
          <m:r>
            <m:rPr>
              <m:sty m:val="p"/>
            </m:rPr>
            <w:rPr>
              <w:rFonts w:ascii="Cambria Math" w:hAnsi="Cambria Math"/>
            </w:rPr>
            <m:t>Δ</m:t>
          </m:r>
          <m:sSub>
            <m:sSubPr>
              <m:ctrlPr>
                <w:rPr>
                  <w:rFonts w:ascii="Cambria Math" w:hAnsi="Cambria Math"/>
                </w:rPr>
              </m:ctrlPr>
            </m:sSubPr>
            <m:e>
              <m:r>
                <m:rPr>
                  <m:sty m:val="p"/>
                </m:rPr>
                <w:rPr>
                  <w:rFonts w:ascii="Cambria Math" w:hAnsi="Cambria Math"/>
                  <w:lang w:val="en-GB"/>
                </w:rPr>
                <m:t>CO</m:t>
              </m:r>
            </m:e>
            <m:sub>
              <m:r>
                <w:rPr>
                  <w:rFonts w:ascii="Cambria Math" w:hAnsi="Cambria Math"/>
                  <w:lang w:val="en-GB"/>
                </w:rPr>
                <m:t>2</m:t>
              </m:r>
            </m:sub>
          </m:sSub>
          <m:r>
            <m:rPr>
              <m:sty m:val="p"/>
            </m:rPr>
            <w:rPr>
              <w:rFonts w:ascii="Cambria Math" w:hAnsi="Cambria Math"/>
              <w:lang w:val="en-GB"/>
            </w:rPr>
            <m:t>=</m:t>
          </m:r>
          <m:sSub>
            <m:sSubPr>
              <m:ctrlPr>
                <w:rPr>
                  <w:rFonts w:ascii="Cambria Math" w:hAnsi="Cambria Math"/>
                </w:rPr>
              </m:ctrlPr>
            </m:sSubPr>
            <m:e>
              <m:r>
                <w:rPr>
                  <w:rFonts w:ascii="Cambria Math" w:hAnsi="Cambria Math"/>
                </w:rPr>
                <m:t>α</m:t>
              </m:r>
            </m:e>
            <m:sub>
              <m:r>
                <w:rPr>
                  <w:rFonts w:ascii="Cambria Math" w:hAnsi="Cambria Math"/>
                  <w:lang w:val="en-GB"/>
                </w:rPr>
                <m:t>0</m:t>
              </m:r>
            </m:sub>
          </m:sSub>
          <m:r>
            <m:rPr>
              <m:sty m:val="p"/>
            </m:rPr>
            <w:rPr>
              <w:rFonts w:ascii="Cambria Math" w:hAnsi="Cambria Math"/>
              <w:lang w:val="en-GB"/>
            </w:rPr>
            <m:t>+</m:t>
          </m:r>
          <m:sSub>
            <m:sSubPr>
              <m:ctrlPr>
                <w:rPr>
                  <w:rFonts w:ascii="Cambria Math" w:hAnsi="Cambria Math"/>
                </w:rPr>
              </m:ctrlPr>
            </m:sSubPr>
            <m:e>
              <m:r>
                <w:rPr>
                  <w:rFonts w:ascii="Cambria Math" w:hAnsi="Cambria Math"/>
                </w:rPr>
                <m:t>α</m:t>
              </m:r>
            </m:e>
            <m:sub>
              <m:r>
                <w:rPr>
                  <w:rFonts w:ascii="Cambria Math" w:hAnsi="Cambria Math"/>
                </w:rPr>
                <m:t>N</m:t>
              </m:r>
            </m:sub>
          </m:sSub>
          <m:r>
            <w:rPr>
              <w:rFonts w:ascii="Cambria Math" w:hAnsi="Cambria Math"/>
            </w:rPr>
            <m:t>N</m:t>
          </m:r>
          <m:r>
            <m:rPr>
              <m:sty m:val="p"/>
            </m:rPr>
            <w:rPr>
              <w:rFonts w:ascii="Cambria Math" w:hAnsi="Cambria Math"/>
              <w:lang w:val="en-GB"/>
            </w:rPr>
            <m:t>+</m:t>
          </m:r>
          <m:sSub>
            <m:sSubPr>
              <m:ctrlPr>
                <w:rPr>
                  <w:rFonts w:ascii="Cambria Math" w:hAnsi="Cambria Math"/>
                </w:rPr>
              </m:ctrlPr>
            </m:sSubPr>
            <m:e>
              <m:r>
                <w:rPr>
                  <w:rFonts w:ascii="Cambria Math" w:hAnsi="Cambria Math"/>
                </w:rPr>
                <m:t>α</m:t>
              </m:r>
            </m:e>
            <m:sub>
              <m:r>
                <w:rPr>
                  <w:rFonts w:ascii="Cambria Math" w:hAnsi="Cambria Math"/>
                </w:rPr>
                <m:t>E</m:t>
              </m:r>
            </m:sub>
          </m:sSub>
          <m:r>
            <w:rPr>
              <w:rFonts w:ascii="Cambria Math" w:hAnsi="Cambria Math"/>
            </w:rPr>
            <m:t>E</m:t>
          </m:r>
          <m:r>
            <m:rPr>
              <m:sty m:val="p"/>
            </m:rPr>
            <w:rPr>
              <w:rFonts w:ascii="Cambria Math" w:hAnsi="Cambria Math"/>
              <w:lang w:val="en-GB"/>
            </w:rPr>
            <m:t>.</m:t>
          </m:r>
        </m:oMath>
      </m:oMathPara>
    </w:p>
    <w:p w:rsidR="004633EA" w:rsidRDefault="00B87193" w:rsidP="00D365E7">
      <w:pPr>
        <w:jc w:val="both"/>
        <w:rPr>
          <w:rFonts w:ascii="Aptos" w:hAnsi="Aptos" w:cstheme="minorHAnsi"/>
          <w:sz w:val="24"/>
          <w:szCs w:val="24"/>
          <w:lang w:val="en-GB"/>
        </w:rPr>
      </w:pPr>
      <w:r w:rsidRPr="00186A21">
        <w:rPr>
          <w:rFonts w:ascii="Aptos" w:hAnsi="Aptos" w:cstheme="minorHAnsi"/>
          <w:sz w:val="24"/>
          <w:szCs w:val="24"/>
          <w:lang w:val="en-GB"/>
        </w:rPr>
        <w:t>Within this framework, N</w:t>
      </w:r>
      <w:r w:rsidR="000B226E" w:rsidRPr="00186A21">
        <w:rPr>
          <w:rFonts w:ascii="Aptos" w:hAnsi="Aptos" w:cstheme="minorHAnsi"/>
          <w:sz w:val="24"/>
          <w:szCs w:val="24"/>
          <w:lang w:val="en-GB"/>
        </w:rPr>
        <w:t xml:space="preserve"> represents the Niño-3.4 SST anomaly averaged from April to March to account for the lagged response of the </w:t>
      </w:r>
      <w:r w:rsidRPr="00186A21">
        <w:rPr>
          <w:rFonts w:ascii="Aptos" w:hAnsi="Aptos" w:cstheme="minorHAnsi"/>
          <w:sz w:val="24"/>
          <w:szCs w:val="24"/>
          <w:lang w:val="en-GB"/>
        </w:rPr>
        <w:t>terrestrial biosphere, while E denotes global anthropogenic CO</w:t>
      </w:r>
      <w:r w:rsidRPr="00186A21">
        <w:rPr>
          <w:rFonts w:ascii="Aptos" w:hAnsi="Aptos" w:cstheme="minorHAnsi"/>
          <w:sz w:val="24"/>
          <w:szCs w:val="24"/>
          <w:vertAlign w:val="subscript"/>
          <w:lang w:val="en-GB"/>
        </w:rPr>
        <w:t>2</w:t>
      </w:r>
      <w:r w:rsidR="000B226E" w:rsidRPr="00186A21">
        <w:rPr>
          <w:rFonts w:ascii="Aptos" w:hAnsi="Aptos" w:cstheme="minorHAnsi"/>
          <w:sz w:val="24"/>
          <w:szCs w:val="24"/>
          <w:lang w:val="en-GB"/>
        </w:rPr>
        <w:t xml:space="preserve"> emissions </w:t>
      </w:r>
      <w:r w:rsidR="004633EA">
        <w:rPr>
          <w:rFonts w:ascii="Aptos" w:hAnsi="Aptos" w:cstheme="minorHAnsi"/>
          <w:sz w:val="24"/>
          <w:szCs w:val="24"/>
          <w:lang w:val="en-GB"/>
        </w:rPr>
        <w:t>(</w:t>
      </w:r>
      <w:proofErr w:type="spellStart"/>
      <w:r w:rsidR="004633EA" w:rsidRPr="004633EA">
        <w:rPr>
          <w:rFonts w:ascii="Aptos" w:hAnsi="Aptos" w:cstheme="minorHAnsi"/>
          <w:sz w:val="24"/>
          <w:szCs w:val="24"/>
          <w:lang w:val="en-GB"/>
        </w:rPr>
        <w:t>Friedlingstein</w:t>
      </w:r>
      <w:proofErr w:type="spellEnd"/>
      <w:r w:rsidR="004633EA" w:rsidRPr="004633EA">
        <w:rPr>
          <w:rFonts w:ascii="Aptos" w:hAnsi="Aptos" w:cstheme="minorHAnsi"/>
          <w:sz w:val="24"/>
          <w:szCs w:val="24"/>
          <w:lang w:val="en-GB"/>
        </w:rPr>
        <w:t xml:space="preserve"> et al., 2024</w:t>
      </w:r>
      <w:r w:rsidR="004633EA">
        <w:rPr>
          <w:rFonts w:ascii="Aptos" w:hAnsi="Aptos" w:cstheme="minorHAnsi"/>
          <w:sz w:val="24"/>
          <w:szCs w:val="24"/>
          <w:lang w:val="en-GB"/>
        </w:rPr>
        <w:t xml:space="preserve">) </w:t>
      </w:r>
      <w:r w:rsidR="000B226E" w:rsidRPr="00186A21">
        <w:rPr>
          <w:rFonts w:ascii="Aptos" w:hAnsi="Aptos" w:cstheme="minorHAnsi"/>
          <w:sz w:val="24"/>
          <w:szCs w:val="24"/>
          <w:lang w:val="en-GB"/>
        </w:rPr>
        <w:t xml:space="preserve">for the corresponding calendar year. The coefficients </w:t>
      </w:r>
      <m:oMath>
        <m:sSub>
          <m:sSubPr>
            <m:ctrlPr>
              <w:rPr>
                <w:rFonts w:ascii="Cambria Math" w:hAnsi="Cambria Math"/>
              </w:rPr>
            </m:ctrlPr>
          </m:sSubPr>
          <m:e>
            <m:r>
              <w:rPr>
                <w:rFonts w:ascii="Cambria Math" w:hAnsi="Cambria Math"/>
              </w:rPr>
              <m:t>α</m:t>
            </m:r>
          </m:e>
          <m:sub>
            <m:r>
              <w:rPr>
                <w:rFonts w:ascii="Cambria Math" w:hAnsi="Cambria Math"/>
              </w:rPr>
              <m:t>N</m:t>
            </m:r>
          </m:sub>
        </m:sSub>
      </m:oMath>
      <w:r w:rsidR="000B226E" w:rsidRPr="00186A21">
        <w:rPr>
          <w:rFonts w:ascii="Aptos" w:hAnsi="Aptos" w:cstheme="minorHAnsi"/>
          <w:sz w:val="24"/>
          <w:szCs w:val="24"/>
          <w:lang w:val="en-GB"/>
        </w:rPr>
        <w:t xml:space="preserve"> and </w:t>
      </w:r>
      <m:oMath>
        <m:sSub>
          <m:sSubPr>
            <m:ctrlPr>
              <w:rPr>
                <w:rFonts w:ascii="Cambria Math" w:hAnsi="Cambria Math"/>
              </w:rPr>
            </m:ctrlPr>
          </m:sSubPr>
          <m:e>
            <m:r>
              <w:rPr>
                <w:rFonts w:ascii="Cambria Math" w:hAnsi="Cambria Math"/>
              </w:rPr>
              <m:t>α</m:t>
            </m:r>
          </m:e>
          <m:sub>
            <m:r>
              <w:rPr>
                <w:rFonts w:ascii="Cambria Math" w:hAnsi="Cambria Math"/>
              </w:rPr>
              <m:t>E</m:t>
            </m:r>
          </m:sub>
        </m:sSub>
      </m:oMath>
      <w:r w:rsidR="000B226E" w:rsidRPr="00186A21">
        <w:rPr>
          <w:rFonts w:ascii="Aptos" w:hAnsi="Aptos" w:cstheme="minorHAnsi"/>
          <w:sz w:val="24"/>
          <w:szCs w:val="24"/>
          <w:lang w:val="en-GB"/>
        </w:rPr>
        <w:t xml:space="preserve"> represent the sensitivity of the </w:t>
      </w:r>
      <w:r w:rsidRPr="00186A21">
        <w:rPr>
          <w:rFonts w:ascii="Aptos" w:hAnsi="Aptos" w:cstheme="minorHAnsi"/>
          <w:sz w:val="24"/>
          <w:szCs w:val="24"/>
          <w:lang w:val="en-GB"/>
        </w:rPr>
        <w:t>CO</w:t>
      </w:r>
      <w:r w:rsidRPr="00186A21">
        <w:rPr>
          <w:rFonts w:ascii="Aptos" w:hAnsi="Aptos" w:cstheme="minorHAnsi"/>
          <w:sz w:val="24"/>
          <w:szCs w:val="24"/>
          <w:vertAlign w:val="subscript"/>
          <w:lang w:val="en-GB"/>
        </w:rPr>
        <w:t xml:space="preserve">2 </w:t>
      </w:r>
      <w:r w:rsidR="000B226E" w:rsidRPr="00186A21">
        <w:rPr>
          <w:rFonts w:ascii="Aptos" w:hAnsi="Aptos" w:cstheme="minorHAnsi"/>
          <w:sz w:val="24"/>
          <w:szCs w:val="24"/>
          <w:lang w:val="en-GB"/>
        </w:rPr>
        <w:t>growth rate to ENSO variability</w:t>
      </w:r>
      <w:r w:rsidR="00ED44EE">
        <w:rPr>
          <w:rFonts w:ascii="Aptos" w:hAnsi="Aptos" w:cstheme="minorHAnsi"/>
          <w:sz w:val="24"/>
          <w:szCs w:val="24"/>
          <w:lang w:val="en-GB"/>
        </w:rPr>
        <w:t xml:space="preserve"> and the anthropogenic emission</w:t>
      </w:r>
      <w:r w:rsidR="000B226E" w:rsidRPr="00186A21">
        <w:rPr>
          <w:rFonts w:ascii="Aptos" w:hAnsi="Aptos" w:cstheme="minorHAnsi"/>
          <w:sz w:val="24"/>
          <w:szCs w:val="24"/>
          <w:lang w:val="en-GB"/>
        </w:rPr>
        <w:t>, respectively.</w:t>
      </w:r>
      <w:bookmarkStart w:id="0" w:name="_GoBack"/>
      <w:bookmarkEnd w:id="0"/>
    </w:p>
    <w:p w:rsidR="007B13DA" w:rsidRPr="00186A21" w:rsidRDefault="000B226E" w:rsidP="00D365E7">
      <w:pPr>
        <w:jc w:val="both"/>
        <w:rPr>
          <w:rFonts w:ascii="Aptos" w:hAnsi="Aptos" w:cstheme="minorHAnsi"/>
          <w:sz w:val="24"/>
          <w:szCs w:val="24"/>
          <w:lang w:val="en-GB"/>
        </w:rPr>
      </w:pPr>
      <w:r w:rsidRPr="00186A21">
        <w:rPr>
          <w:rFonts w:ascii="Aptos" w:hAnsi="Aptos" w:cstheme="minorHAnsi"/>
          <w:sz w:val="24"/>
          <w:szCs w:val="24"/>
          <w:lang w:val="en-GB"/>
        </w:rPr>
        <w:t xml:space="preserve">To ensure the accuracy of the ENSO sensitivity coefficients, years influenced by the cooling effects of the Mt. Pinatubo eruption (1992–1993) were excluded from the regression </w:t>
      </w:r>
      <w:r w:rsidR="00B87193" w:rsidRPr="00186A21">
        <w:rPr>
          <w:rFonts w:ascii="Aptos" w:hAnsi="Aptos" w:cstheme="minorHAnsi"/>
          <w:sz w:val="24"/>
          <w:szCs w:val="24"/>
          <w:lang w:val="en-GB"/>
        </w:rPr>
        <w:t>a</w:t>
      </w:r>
      <w:r w:rsidRPr="00186A21">
        <w:rPr>
          <w:rFonts w:ascii="Aptos" w:hAnsi="Aptos" w:cstheme="minorHAnsi"/>
          <w:sz w:val="24"/>
          <w:szCs w:val="24"/>
          <w:lang w:val="en-GB"/>
        </w:rPr>
        <w:t xml:space="preserve">nalysis to prevent non-linear carbon cycle responses to volcanic aerosols from biasing the results. </w:t>
      </w:r>
      <w:r w:rsidR="00B87193" w:rsidRPr="00186A21">
        <w:rPr>
          <w:rFonts w:ascii="Aptos" w:hAnsi="Aptos" w:cstheme="minorHAnsi"/>
          <w:sz w:val="24"/>
          <w:szCs w:val="24"/>
          <w:lang w:val="en-GB"/>
        </w:rPr>
        <w:t>As illustrated in Fig. S2, the CO</w:t>
      </w:r>
      <w:r w:rsidR="00B87193" w:rsidRPr="00186A21">
        <w:rPr>
          <w:rFonts w:ascii="Aptos" w:hAnsi="Aptos" w:cstheme="minorHAnsi"/>
          <w:sz w:val="24"/>
          <w:szCs w:val="24"/>
          <w:vertAlign w:val="subscript"/>
          <w:lang w:val="en-GB"/>
        </w:rPr>
        <w:t>2</w:t>
      </w:r>
      <w:r w:rsidR="00B87193" w:rsidRPr="00186A21">
        <w:rPr>
          <w:rFonts w:ascii="Aptos" w:hAnsi="Aptos" w:cstheme="minorHAnsi"/>
          <w:sz w:val="24"/>
          <w:szCs w:val="24"/>
          <w:lang w:val="en-GB"/>
        </w:rPr>
        <w:t xml:space="preserve"> growth rates across all 8</w:t>
      </w:r>
      <w:r w:rsidRPr="00186A21">
        <w:rPr>
          <w:rFonts w:ascii="Aptos" w:hAnsi="Aptos" w:cstheme="minorHAnsi"/>
          <w:sz w:val="24"/>
          <w:szCs w:val="24"/>
          <w:lang w:val="en-GB"/>
        </w:rPr>
        <w:t xml:space="preserve"> stations exhibit remarkable phase synchronization despite their vast geographical separation. All stations, ranging from tropical sites such as </w:t>
      </w:r>
      <w:r w:rsidR="00B87193" w:rsidRPr="00186A21">
        <w:rPr>
          <w:rFonts w:ascii="Aptos" w:hAnsi="Aptos" w:cstheme="minorHAnsi"/>
          <w:sz w:val="24"/>
          <w:szCs w:val="24"/>
          <w:lang w:val="en-GB"/>
        </w:rPr>
        <w:t xml:space="preserve">American Samoa </w:t>
      </w:r>
      <w:r w:rsidRPr="00186A21">
        <w:rPr>
          <w:rFonts w:ascii="Aptos" w:hAnsi="Aptos" w:cstheme="minorHAnsi"/>
          <w:sz w:val="24"/>
          <w:szCs w:val="24"/>
          <w:lang w:val="en-GB"/>
        </w:rPr>
        <w:t xml:space="preserve">to </w:t>
      </w:r>
      <w:r w:rsidR="00B87193" w:rsidRPr="00186A21">
        <w:rPr>
          <w:rFonts w:ascii="Aptos" w:hAnsi="Aptos" w:cstheme="minorHAnsi"/>
          <w:sz w:val="24"/>
          <w:szCs w:val="24"/>
          <w:lang w:val="en-GB"/>
        </w:rPr>
        <w:t xml:space="preserve">the </w:t>
      </w:r>
      <w:proofErr w:type="gramStart"/>
      <w:r w:rsidRPr="00186A21">
        <w:rPr>
          <w:rFonts w:ascii="Aptos" w:hAnsi="Aptos" w:cstheme="minorHAnsi"/>
          <w:sz w:val="24"/>
          <w:szCs w:val="24"/>
          <w:lang w:val="en-GB"/>
        </w:rPr>
        <w:t>polar regions</w:t>
      </w:r>
      <w:proofErr w:type="gramEnd"/>
      <w:r w:rsidRPr="00186A21">
        <w:rPr>
          <w:rFonts w:ascii="Aptos" w:hAnsi="Aptos" w:cstheme="minorHAnsi"/>
          <w:sz w:val="24"/>
          <w:szCs w:val="24"/>
          <w:lang w:val="en-GB"/>
        </w:rPr>
        <w:t xml:space="preserve">, captured significant growth rate surges during major El Niño events </w:t>
      </w:r>
      <w:r w:rsidR="00B87193" w:rsidRPr="00186A21">
        <w:rPr>
          <w:rFonts w:ascii="Aptos" w:hAnsi="Aptos" w:cstheme="minorHAnsi"/>
          <w:sz w:val="24"/>
          <w:szCs w:val="24"/>
          <w:lang w:val="en-GB"/>
        </w:rPr>
        <w:t>such as</w:t>
      </w:r>
      <w:r w:rsidRPr="00186A21">
        <w:rPr>
          <w:rFonts w:ascii="Aptos" w:hAnsi="Aptos" w:cstheme="minorHAnsi"/>
          <w:sz w:val="24"/>
          <w:szCs w:val="24"/>
          <w:lang w:val="en-GB"/>
        </w:rPr>
        <w:t xml:space="preserve"> 1998, 2016, and the recent 2024 event. The station-level regression results summar</w:t>
      </w:r>
      <w:r w:rsidR="00B87193" w:rsidRPr="00186A21">
        <w:rPr>
          <w:rFonts w:ascii="Aptos" w:hAnsi="Aptos" w:cstheme="minorHAnsi"/>
          <w:sz w:val="24"/>
          <w:szCs w:val="24"/>
          <w:lang w:val="en-GB"/>
        </w:rPr>
        <w:t xml:space="preserve">ized in </w:t>
      </w:r>
      <w:r w:rsidR="00EF00E7">
        <w:rPr>
          <w:rFonts w:ascii="Aptos" w:hAnsi="Aptos" w:cstheme="minorHAnsi"/>
          <w:sz w:val="24"/>
          <w:szCs w:val="24"/>
          <w:lang w:val="en-GB"/>
        </w:rPr>
        <w:t xml:space="preserve">Fig. S3 and </w:t>
      </w:r>
      <w:r w:rsidR="00B87193" w:rsidRPr="00186A21">
        <w:rPr>
          <w:rFonts w:ascii="Aptos" w:hAnsi="Aptos" w:cstheme="minorHAnsi"/>
          <w:sz w:val="24"/>
          <w:szCs w:val="24"/>
          <w:lang w:val="en-GB"/>
        </w:rPr>
        <w:t>Table</w:t>
      </w:r>
      <w:r w:rsidR="00EF00E7">
        <w:rPr>
          <w:rFonts w:ascii="Aptos" w:hAnsi="Aptos" w:cstheme="minorHAnsi"/>
          <w:sz w:val="24"/>
          <w:szCs w:val="24"/>
          <w:lang w:val="en-GB"/>
        </w:rPr>
        <w:t xml:space="preserve">. </w:t>
      </w:r>
      <w:r w:rsidR="00EF00E7" w:rsidRPr="00EF00E7">
        <w:rPr>
          <w:rFonts w:ascii="Aptos" w:hAnsi="Aptos" w:cstheme="minorHAnsi"/>
          <w:sz w:val="24"/>
          <w:szCs w:val="24"/>
          <w:lang w:val="en-GB"/>
        </w:rPr>
        <w:t xml:space="preserve">As shown in Figure S1, the sites </w:t>
      </w:r>
      <w:r w:rsidR="00EF00E7">
        <w:rPr>
          <w:rFonts w:ascii="Aptos" w:hAnsi="Aptos" w:cstheme="minorHAnsi"/>
          <w:sz w:val="24"/>
          <w:szCs w:val="24"/>
          <w:lang w:val="en-GB"/>
        </w:rPr>
        <w:t xml:space="preserve">closer to the equator (e.g., </w:t>
      </w:r>
      <w:r w:rsidR="00EF00E7" w:rsidRPr="00EF00E7">
        <w:rPr>
          <w:rFonts w:ascii="Aptos" w:hAnsi="Aptos"/>
          <w:sz w:val="24"/>
          <w:lang w:val="en-GB"/>
        </w:rPr>
        <w:t>Mauna Loa</w:t>
      </w:r>
      <w:r w:rsidR="00EF00E7" w:rsidRPr="00EF00E7">
        <w:rPr>
          <w:rFonts w:ascii="Aptos" w:hAnsi="Aptos" w:cstheme="minorHAnsi"/>
          <w:sz w:val="28"/>
          <w:szCs w:val="24"/>
          <w:lang w:val="en-GB"/>
        </w:rPr>
        <w:t xml:space="preserve"> </w:t>
      </w:r>
      <w:r w:rsidR="00EF00E7" w:rsidRPr="00EF00E7">
        <w:rPr>
          <w:rFonts w:ascii="Aptos" w:hAnsi="Aptos" w:cstheme="minorHAnsi"/>
          <w:sz w:val="24"/>
          <w:szCs w:val="24"/>
          <w:lang w:val="en-GB"/>
        </w:rPr>
        <w:t>and American Samoa) exhib</w:t>
      </w:r>
      <w:r w:rsidR="00EF00E7">
        <w:rPr>
          <w:rFonts w:ascii="Aptos" w:hAnsi="Aptos" w:cstheme="minorHAnsi"/>
          <w:sz w:val="24"/>
          <w:szCs w:val="24"/>
          <w:lang w:val="en-GB"/>
        </w:rPr>
        <w:t>it stronger correlations (R</w:t>
      </w:r>
      <w:r w:rsidR="00EF00E7" w:rsidRPr="00EF00E7">
        <w:rPr>
          <w:rFonts w:ascii="Aptos" w:hAnsi="Aptos" w:cstheme="minorHAnsi"/>
          <w:sz w:val="24"/>
          <w:szCs w:val="24"/>
          <w:vertAlign w:val="superscript"/>
          <w:lang w:val="en-GB"/>
        </w:rPr>
        <w:t>2</w:t>
      </w:r>
      <w:r w:rsidR="00EF00E7">
        <w:rPr>
          <w:rFonts w:ascii="Aptos" w:hAnsi="Aptos" w:cstheme="minorHAnsi"/>
          <w:sz w:val="24"/>
          <w:szCs w:val="24"/>
          <w:lang w:val="en-GB"/>
        </w:rPr>
        <w:t xml:space="preserve"> &gt; 0.55</w:t>
      </w:r>
      <w:r w:rsidR="00EF00E7" w:rsidRPr="00EF00E7">
        <w:rPr>
          <w:rFonts w:ascii="Aptos" w:hAnsi="Aptos" w:cstheme="minorHAnsi"/>
          <w:sz w:val="24"/>
          <w:szCs w:val="24"/>
          <w:lang w:val="en-GB"/>
        </w:rPr>
        <w:t xml:space="preserve">) </w:t>
      </w:r>
      <w:r w:rsidR="00EF00E7">
        <w:rPr>
          <w:rFonts w:ascii="Aptos" w:hAnsi="Aptos" w:cstheme="minorHAnsi"/>
          <w:sz w:val="24"/>
          <w:szCs w:val="24"/>
          <w:lang w:val="en-GB"/>
        </w:rPr>
        <w:t xml:space="preserve"> and higher </w:t>
      </w:r>
      <w:r w:rsidR="00EF00E7" w:rsidRPr="00EF00E7">
        <w:rPr>
          <w:rFonts w:ascii="Aptos" w:hAnsi="Aptos" w:cstheme="minorHAnsi"/>
          <w:sz w:val="24"/>
          <w:szCs w:val="24"/>
          <w:lang w:val="en-US"/>
        </w:rPr>
        <w:t xml:space="preserve">ENSO-induced </w:t>
      </w:r>
      <w:r w:rsidR="00EF00E7" w:rsidRPr="00EF00E7">
        <w:rPr>
          <w:rFonts w:ascii="Aptos" w:hAnsi="Aptos" w:cstheme="minorHAnsi"/>
          <w:sz w:val="24"/>
          <w:szCs w:val="24"/>
          <w:lang w:val="en-GB"/>
        </w:rPr>
        <w:t>CO</w:t>
      </w:r>
      <m:oMath>
        <m:sSub>
          <m:sSubPr>
            <m:ctrlPr>
              <w:rPr>
                <w:rFonts w:ascii="Cambria Math" w:hAnsi="Cambria Math" w:cstheme="minorHAnsi"/>
                <w:sz w:val="24"/>
                <w:szCs w:val="24"/>
              </w:rPr>
            </m:ctrlPr>
          </m:sSubPr>
          <m:e>
            <m:r>
              <w:rPr>
                <w:rFonts w:ascii="Cambria Math" w:hAnsi="Cambria Math" w:cstheme="minorHAnsi"/>
                <w:sz w:val="24"/>
                <w:szCs w:val="24"/>
                <w:lang w:val="en-GB"/>
              </w:rPr>
              <m:t>​</m:t>
            </m:r>
          </m:e>
          <m:sub>
            <m:r>
              <w:rPr>
                <w:rFonts w:ascii="Cambria Math" w:hAnsi="Cambria Math" w:cstheme="minorHAnsi"/>
                <w:sz w:val="24"/>
                <w:szCs w:val="24"/>
                <w:lang w:val="en-GB"/>
              </w:rPr>
              <m:t>2</m:t>
            </m:r>
          </m:sub>
        </m:sSub>
      </m:oMath>
      <w:r w:rsidR="00EF00E7" w:rsidRPr="00EF00E7">
        <w:rPr>
          <w:rFonts w:ascii="Aptos" w:hAnsi="Aptos" w:cstheme="minorHAnsi"/>
          <w:sz w:val="24"/>
          <w:szCs w:val="24"/>
          <w:lang w:val="en-GB"/>
        </w:rPr>
        <w:t xml:space="preserve"> </w:t>
      </w:r>
      <w:r w:rsidR="00EF00E7" w:rsidRPr="00EF00E7">
        <w:rPr>
          <w:rFonts w:ascii="Aptos" w:hAnsi="Aptos" w:cstheme="minorHAnsi"/>
          <w:sz w:val="24"/>
          <w:szCs w:val="24"/>
          <w:lang w:val="en-US"/>
        </w:rPr>
        <w:t xml:space="preserve">sensitivity </w:t>
      </w:r>
      <w:r w:rsidR="00EF00E7">
        <w:rPr>
          <w:rFonts w:ascii="Aptos" w:hAnsi="Aptos" w:cstheme="minorHAnsi"/>
          <w:sz w:val="24"/>
          <w:szCs w:val="24"/>
          <w:lang w:val="en-GB"/>
        </w:rPr>
        <w:t>(</w:t>
      </w:r>
      <m:oMath>
        <m:sSub>
          <m:sSubPr>
            <m:ctrlPr>
              <w:rPr>
                <w:rFonts w:ascii="Cambria Math" w:hAnsi="Cambria Math"/>
              </w:rPr>
            </m:ctrlPr>
          </m:sSubPr>
          <m:e>
            <m:r>
              <w:rPr>
                <w:rFonts w:ascii="Cambria Math" w:hAnsi="Cambria Math"/>
              </w:rPr>
              <m:t>α</m:t>
            </m:r>
          </m:e>
          <m:sub>
            <m:r>
              <w:rPr>
                <w:rFonts w:ascii="Cambria Math" w:hAnsi="Cambria Math"/>
              </w:rPr>
              <m:t>N</m:t>
            </m:r>
          </m:sub>
        </m:sSub>
      </m:oMath>
      <w:r w:rsidR="00EF00E7">
        <w:rPr>
          <w:rFonts w:ascii="Aptos" w:hAnsi="Aptos" w:cstheme="minorHAnsi"/>
          <w:sz w:val="24"/>
          <w:szCs w:val="24"/>
          <w:lang w:val="en-GB"/>
        </w:rPr>
        <w:t xml:space="preserve">) </w:t>
      </w:r>
      <w:r w:rsidR="00EF00E7" w:rsidRPr="00EF00E7">
        <w:rPr>
          <w:rFonts w:ascii="Aptos" w:hAnsi="Aptos" w:cstheme="minorHAnsi"/>
          <w:sz w:val="24"/>
          <w:szCs w:val="24"/>
          <w:lang w:val="en-GB"/>
        </w:rPr>
        <w:t>compared to high-latitude stations like Alert (ALT)</w:t>
      </w:r>
      <w:r w:rsidR="00EF00E7">
        <w:rPr>
          <w:rFonts w:ascii="Aptos" w:hAnsi="Aptos" w:cstheme="minorHAnsi"/>
          <w:sz w:val="24"/>
          <w:szCs w:val="24"/>
          <w:lang w:val="en-GB"/>
        </w:rPr>
        <w:t xml:space="preserve"> and </w:t>
      </w:r>
      <w:r w:rsidR="00EF00E7" w:rsidRPr="00EF00E7">
        <w:rPr>
          <w:rFonts w:ascii="Aptos" w:hAnsi="Aptos"/>
          <w:lang w:val="en-GB"/>
        </w:rPr>
        <w:t>Barrow, Alaska</w:t>
      </w:r>
      <w:r w:rsidR="00EF00E7">
        <w:rPr>
          <w:rFonts w:ascii="Aptos" w:hAnsi="Aptos"/>
          <w:lang w:val="en-GB"/>
        </w:rPr>
        <w:t xml:space="preserve"> (PTB)</w:t>
      </w:r>
      <w:r w:rsidR="00EF00E7" w:rsidRPr="00EF00E7">
        <w:rPr>
          <w:rFonts w:ascii="Aptos" w:hAnsi="Aptos" w:cstheme="minorHAnsi"/>
          <w:sz w:val="24"/>
          <w:szCs w:val="24"/>
          <w:lang w:val="en-GB"/>
        </w:rPr>
        <w:t xml:space="preserve">. This latitudinal decay </w:t>
      </w:r>
      <w:r w:rsidR="00EF00E7">
        <w:rPr>
          <w:rFonts w:ascii="Aptos" w:hAnsi="Aptos" w:cstheme="minorHAnsi"/>
          <w:sz w:val="24"/>
          <w:szCs w:val="24"/>
          <w:lang w:val="en-GB"/>
        </w:rPr>
        <w:t xml:space="preserve">of ENSO sensitivity confirms that </w:t>
      </w:r>
      <w:r w:rsidR="00EF00E7">
        <w:rPr>
          <w:rFonts w:ascii="Aptos" w:hAnsi="Aptos" w:cstheme="minorHAnsi"/>
          <w:sz w:val="24"/>
          <w:szCs w:val="24"/>
          <w:lang w:val="en-GB"/>
        </w:rPr>
        <w:lastRenderedPageBreak/>
        <w:t>the unexpected CO</w:t>
      </w:r>
      <w:r w:rsidR="00EF00E7" w:rsidRPr="00EF00E7">
        <w:rPr>
          <w:rFonts w:ascii="Aptos" w:hAnsi="Aptos" w:cstheme="minorHAnsi"/>
          <w:sz w:val="24"/>
          <w:szCs w:val="24"/>
          <w:vertAlign w:val="subscript"/>
          <w:lang w:val="en-GB"/>
        </w:rPr>
        <w:t>2</w:t>
      </w:r>
      <w:r w:rsidR="00EF00E7" w:rsidRPr="00EF00E7">
        <w:rPr>
          <w:rFonts w:ascii="Aptos" w:hAnsi="Aptos" w:cstheme="minorHAnsi"/>
          <w:sz w:val="24"/>
          <w:szCs w:val="24"/>
          <w:lang w:val="en-GB"/>
        </w:rPr>
        <w:t xml:space="preserve"> surge in 2023/24 is primarily driven by enhanced feedback within tropical terrestrial ecosystems, where warming-induced stress is most pronounced.</w:t>
      </w:r>
      <w:r w:rsidR="00B87193" w:rsidRPr="00186A21">
        <w:rPr>
          <w:rFonts w:ascii="Aptos" w:hAnsi="Aptos" w:cstheme="minorHAnsi"/>
          <w:sz w:val="24"/>
          <w:szCs w:val="24"/>
          <w:lang w:val="en-GB"/>
        </w:rPr>
        <w:t xml:space="preserve"> </w:t>
      </w:r>
      <w:r w:rsidR="00EF00E7">
        <w:rPr>
          <w:rFonts w:ascii="Aptos" w:hAnsi="Aptos" w:cstheme="minorHAnsi"/>
          <w:sz w:val="24"/>
          <w:szCs w:val="24"/>
          <w:lang w:val="en-GB"/>
        </w:rPr>
        <w:t>Besides, t</w:t>
      </w:r>
      <w:r w:rsidRPr="00186A21">
        <w:rPr>
          <w:rFonts w:ascii="Aptos" w:hAnsi="Aptos" w:cstheme="minorHAnsi"/>
          <w:sz w:val="24"/>
          <w:szCs w:val="24"/>
          <w:lang w:val="en-GB"/>
        </w:rPr>
        <w:t>his cross-latitudinal consistency demonstrates that the in</w:t>
      </w:r>
      <w:r w:rsidR="00B87193" w:rsidRPr="00186A21">
        <w:rPr>
          <w:rFonts w:ascii="Aptos" w:hAnsi="Aptos" w:cstheme="minorHAnsi"/>
          <w:sz w:val="24"/>
          <w:szCs w:val="24"/>
          <w:lang w:val="en-GB"/>
        </w:rPr>
        <w:t>ter-annual variability in CO</w:t>
      </w:r>
      <w:r w:rsidR="00B87193" w:rsidRPr="00186A21">
        <w:rPr>
          <w:rFonts w:ascii="Aptos" w:hAnsi="Aptos" w:cstheme="minorHAnsi"/>
          <w:sz w:val="24"/>
          <w:szCs w:val="24"/>
          <w:vertAlign w:val="subscript"/>
          <w:lang w:val="en-GB"/>
        </w:rPr>
        <w:t>2</w:t>
      </w:r>
      <w:r w:rsidRPr="00186A21">
        <w:rPr>
          <w:rFonts w:ascii="Aptos" w:hAnsi="Aptos" w:cstheme="minorHAnsi"/>
          <w:sz w:val="24"/>
          <w:szCs w:val="24"/>
          <w:lang w:val="en-GB"/>
        </w:rPr>
        <w:t xml:space="preserve"> is a well-mixed global signal and confirms that the regression approach is sta</w:t>
      </w:r>
      <w:r w:rsidR="00EF00E7">
        <w:rPr>
          <w:rFonts w:ascii="Aptos" w:hAnsi="Aptos" w:cstheme="minorHAnsi"/>
          <w:sz w:val="24"/>
          <w:szCs w:val="24"/>
          <w:lang w:val="en-GB"/>
        </w:rPr>
        <w:t>tistically stable across different</w:t>
      </w:r>
      <w:r w:rsidRPr="00186A21">
        <w:rPr>
          <w:rFonts w:ascii="Aptos" w:hAnsi="Aptos" w:cstheme="minorHAnsi"/>
          <w:sz w:val="24"/>
          <w:szCs w:val="24"/>
          <w:lang w:val="en-GB"/>
        </w:rPr>
        <w:t xml:space="preserve"> monitoring locations.</w:t>
      </w:r>
    </w:p>
    <w:p w:rsidR="00251DDE" w:rsidRDefault="000B226E" w:rsidP="000B226E">
      <w:pPr>
        <w:jc w:val="both"/>
        <w:rPr>
          <w:rFonts w:ascii="Aptos" w:hAnsi="Aptos"/>
          <w:lang w:val="en-GB"/>
        </w:rPr>
      </w:pPr>
      <w:r w:rsidRPr="00186A21">
        <w:rPr>
          <w:rFonts w:ascii="Aptos" w:hAnsi="Aptos" w:cstheme="minorHAnsi"/>
          <w:noProof/>
          <w:sz w:val="24"/>
          <w:szCs w:val="24"/>
          <w:lang w:val="en-GB"/>
        </w:rPr>
        <w:drawing>
          <wp:inline distT="0" distB="0" distL="0" distR="0">
            <wp:extent cx="5760720" cy="3902611"/>
            <wp:effectExtent l="0" t="0" r="0" b="3175"/>
            <wp:docPr id="5" name="Grafik 5" descr="D:\EMSUN27\plot\enso_idx_CO2_growthrate_emi_all_scripp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MSUN27\plot\enso_idx_CO2_growthrate_emi_all_scripps.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3902611"/>
                    </a:xfrm>
                    <a:prstGeom prst="rect">
                      <a:avLst/>
                    </a:prstGeom>
                    <a:noFill/>
                    <a:ln>
                      <a:noFill/>
                    </a:ln>
                  </pic:spPr>
                </pic:pic>
              </a:graphicData>
            </a:graphic>
          </wp:inline>
        </w:drawing>
      </w:r>
      <w:r w:rsidR="00BB7C71" w:rsidRPr="00186A21">
        <w:rPr>
          <w:rFonts w:ascii="Aptos" w:hAnsi="Aptos" w:cstheme="minorHAnsi"/>
          <w:sz w:val="24"/>
          <w:szCs w:val="24"/>
          <w:lang w:val="en-GB"/>
        </w:rPr>
        <w:t xml:space="preserve"> </w:t>
      </w:r>
      <w:r w:rsidR="00251DDE" w:rsidRPr="00696D9E">
        <w:rPr>
          <w:rFonts w:ascii="Aptos" w:hAnsi="Aptos"/>
          <w:lang w:val="en-GB"/>
        </w:rPr>
        <w:t>Figure S2. CO</w:t>
      </w:r>
      <m:oMath>
        <m:sSub>
          <m:sSubPr>
            <m:ctrlPr>
              <w:rPr>
                <w:rFonts w:ascii="Cambria Math" w:hAnsi="Cambria Math"/>
              </w:rPr>
            </m:ctrlPr>
          </m:sSubPr>
          <m:e>
            <m:r>
              <w:rPr>
                <w:rFonts w:ascii="Cambria Math" w:hAnsi="Cambria Math"/>
                <w:lang w:val="en-GB"/>
              </w:rPr>
              <m:t>​</m:t>
            </m:r>
          </m:e>
          <m:sub>
            <m:r>
              <w:rPr>
                <w:rFonts w:ascii="Cambria Math" w:hAnsi="Cambria Math"/>
                <w:lang w:val="en-GB"/>
              </w:rPr>
              <m:t>2</m:t>
            </m:r>
          </m:sub>
        </m:sSub>
      </m:oMath>
      <w:r w:rsidR="00251DDE" w:rsidRPr="00696D9E">
        <w:rPr>
          <w:rFonts w:ascii="Aptos" w:hAnsi="Aptos"/>
          <w:lang w:val="en-GB"/>
        </w:rPr>
        <w:t xml:space="preserve"> growth rates at individual Scripps in-situ stations in relation to ENSO and anthropogenic emissions. (a) Annual Niño-3.4 sea-surface temperature (SST) anomalies averaged over April–March, with major El Niño events (1973, 1988, 1998, 2016, 2024) indicated by grey shading. (b) Annual CO</w:t>
      </w:r>
      <m:oMath>
        <m:sSub>
          <m:sSubPr>
            <m:ctrlPr>
              <w:rPr>
                <w:rFonts w:ascii="Cambria Math" w:hAnsi="Cambria Math"/>
              </w:rPr>
            </m:ctrlPr>
          </m:sSubPr>
          <m:e>
            <m:r>
              <w:rPr>
                <w:rFonts w:ascii="Cambria Math" w:hAnsi="Cambria Math"/>
                <w:lang w:val="en-GB"/>
              </w:rPr>
              <m:t>​</m:t>
            </m:r>
          </m:e>
          <m:sub>
            <m:r>
              <w:rPr>
                <w:rFonts w:ascii="Cambria Math" w:hAnsi="Cambria Math"/>
                <w:lang w:val="en-GB"/>
              </w:rPr>
              <m:t>2</m:t>
            </m:r>
          </m:sub>
        </m:sSub>
      </m:oMath>
      <w:r w:rsidR="00251DDE" w:rsidRPr="00696D9E">
        <w:rPr>
          <w:rFonts w:ascii="Aptos" w:hAnsi="Aptos"/>
          <w:lang w:val="en-GB"/>
        </w:rPr>
        <w:t xml:space="preserve"> growth rates (ppm yr</w:t>
      </w:r>
      <m:oMath>
        <m:sSup>
          <m:sSupPr>
            <m:ctrlPr>
              <w:rPr>
                <w:rFonts w:ascii="Cambria Math" w:hAnsi="Cambria Math"/>
              </w:rPr>
            </m:ctrlPr>
          </m:sSupPr>
          <m:e>
            <m:r>
              <w:rPr>
                <w:rFonts w:ascii="Cambria Math" w:hAnsi="Cambria Math"/>
                <w:lang w:val="en-GB"/>
              </w:rPr>
              <m:t>​</m:t>
            </m:r>
          </m:e>
          <m:sup>
            <m:r>
              <m:rPr>
                <m:sty m:val="p"/>
              </m:rPr>
              <w:rPr>
                <w:rFonts w:ascii="Cambria Math" w:hAnsi="Cambria Math"/>
                <w:lang w:val="en-GB"/>
              </w:rPr>
              <m:t>-</m:t>
            </m:r>
            <m:r>
              <w:rPr>
                <w:rFonts w:ascii="Cambria Math" w:hAnsi="Cambria Math"/>
                <w:lang w:val="en-GB"/>
              </w:rPr>
              <m:t>1</m:t>
            </m:r>
          </m:sup>
        </m:sSup>
      </m:oMath>
      <w:r w:rsidR="00251DDE" w:rsidRPr="00696D9E">
        <w:rPr>
          <w:rFonts w:ascii="Aptos" w:hAnsi="Aptos"/>
          <w:lang w:val="en-GB"/>
        </w:rPr>
        <w:t>) derived independently for individual Scripps in-situ stations, spanning polar to tropical latitudes and listed in the legend with station name and latitude. (c) Global anthropogenic CO</w:t>
      </w:r>
      <m:oMath>
        <m:sSub>
          <m:sSubPr>
            <m:ctrlPr>
              <w:rPr>
                <w:rFonts w:ascii="Cambria Math" w:hAnsi="Cambria Math"/>
              </w:rPr>
            </m:ctrlPr>
          </m:sSubPr>
          <m:e>
            <m:r>
              <w:rPr>
                <w:rFonts w:ascii="Cambria Math" w:hAnsi="Cambria Math"/>
                <w:lang w:val="en-GB"/>
              </w:rPr>
              <m:t>​</m:t>
            </m:r>
          </m:e>
          <m:sub>
            <m:r>
              <w:rPr>
                <w:rFonts w:ascii="Cambria Math" w:hAnsi="Cambria Math"/>
                <w:lang w:val="en-GB"/>
              </w:rPr>
              <m:t>2</m:t>
            </m:r>
          </m:sub>
        </m:sSub>
      </m:oMath>
      <w:r w:rsidR="00251DDE" w:rsidRPr="00696D9E">
        <w:rPr>
          <w:rFonts w:ascii="Aptos" w:hAnsi="Aptos"/>
          <w:lang w:val="en-GB"/>
        </w:rPr>
        <w:t xml:space="preserve"> emissions (</w:t>
      </w:r>
      <w:proofErr w:type="spellStart"/>
      <w:r w:rsidR="00251DDE" w:rsidRPr="00696D9E">
        <w:rPr>
          <w:rFonts w:ascii="Aptos" w:hAnsi="Aptos"/>
          <w:lang w:val="en-GB"/>
        </w:rPr>
        <w:t>GtC</w:t>
      </w:r>
      <w:proofErr w:type="spellEnd"/>
      <w:r w:rsidR="00251DDE" w:rsidRPr="00696D9E">
        <w:rPr>
          <w:rFonts w:ascii="Aptos" w:hAnsi="Aptos"/>
          <w:lang w:val="en-GB"/>
        </w:rPr>
        <w:t> </w:t>
      </w:r>
      <w:proofErr w:type="spellStart"/>
      <w:r w:rsidR="00251DDE" w:rsidRPr="00696D9E">
        <w:rPr>
          <w:rFonts w:ascii="Aptos" w:hAnsi="Aptos"/>
          <w:lang w:val="en-GB"/>
        </w:rPr>
        <w:t>yr</w:t>
      </w:r>
      <w:proofErr w:type="spellEnd"/>
      <m:oMath>
        <m:sSup>
          <m:sSupPr>
            <m:ctrlPr>
              <w:rPr>
                <w:rFonts w:ascii="Cambria Math" w:hAnsi="Cambria Math"/>
              </w:rPr>
            </m:ctrlPr>
          </m:sSupPr>
          <m:e>
            <m:r>
              <w:rPr>
                <w:rFonts w:ascii="Cambria Math" w:hAnsi="Cambria Math"/>
                <w:lang w:val="en-GB"/>
              </w:rPr>
              <m:t>​</m:t>
            </m:r>
          </m:e>
          <m:sup>
            <m:r>
              <m:rPr>
                <m:sty m:val="p"/>
              </m:rPr>
              <w:rPr>
                <w:rFonts w:ascii="Cambria Math" w:hAnsi="Cambria Math"/>
                <w:lang w:val="en-GB"/>
              </w:rPr>
              <m:t>-</m:t>
            </m:r>
            <m:r>
              <w:rPr>
                <w:rFonts w:ascii="Cambria Math" w:hAnsi="Cambria Math"/>
                <w:lang w:val="en-GB"/>
              </w:rPr>
              <m:t>1</m:t>
            </m:r>
          </m:sup>
        </m:sSup>
      </m:oMath>
      <w:r w:rsidR="00251DDE" w:rsidRPr="00696D9E">
        <w:rPr>
          <w:rFonts w:ascii="Aptos" w:hAnsi="Aptos"/>
          <w:lang w:val="en-GB"/>
        </w:rPr>
        <w:t>). Years influenced by major volcanic eruptions (hatched shading; El Chichón and Mt Pinatubo) are shown for reference and are excluded from the ENSO–emissions regression analysis.</w:t>
      </w:r>
    </w:p>
    <w:p w:rsidR="00166137" w:rsidRDefault="003E111F" w:rsidP="000B226E">
      <w:pPr>
        <w:jc w:val="both"/>
        <w:rPr>
          <w:rFonts w:ascii="Aptos" w:hAnsi="Aptos" w:cstheme="minorHAnsi"/>
          <w:sz w:val="24"/>
          <w:szCs w:val="24"/>
          <w:lang w:val="en-GB"/>
        </w:rPr>
      </w:pPr>
      <w:r w:rsidRPr="003E111F">
        <w:rPr>
          <w:rFonts w:ascii="Aptos" w:hAnsi="Aptos" w:cstheme="minorHAnsi"/>
          <w:noProof/>
          <w:sz w:val="24"/>
          <w:szCs w:val="24"/>
          <w:lang w:val="en-GB"/>
        </w:rPr>
        <w:lastRenderedPageBreak/>
        <w:drawing>
          <wp:inline distT="0" distB="0" distL="0" distR="0">
            <wp:extent cx="5760720" cy="3786312"/>
            <wp:effectExtent l="0" t="0" r="0" b="5080"/>
            <wp:docPr id="1" name="Grafik 1" descr="D:\EMSUN27\plot\enso_sensitivity_latitu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MSUN27\plot\enso_sensitivity_latitud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3786312"/>
                    </a:xfrm>
                    <a:prstGeom prst="rect">
                      <a:avLst/>
                    </a:prstGeom>
                    <a:noFill/>
                    <a:ln>
                      <a:noFill/>
                    </a:ln>
                  </pic:spPr>
                </pic:pic>
              </a:graphicData>
            </a:graphic>
          </wp:inline>
        </w:drawing>
      </w:r>
    </w:p>
    <w:p w:rsidR="003E111F" w:rsidRPr="003E111F" w:rsidRDefault="003E111F" w:rsidP="003E111F">
      <w:pPr>
        <w:pStyle w:val="ImageCaption"/>
        <w:jc w:val="both"/>
        <w:rPr>
          <w:rFonts w:ascii="Aptos" w:hAnsi="Aptos"/>
          <w:sz w:val="22"/>
          <w:szCs w:val="22"/>
        </w:rPr>
      </w:pPr>
      <w:r w:rsidRPr="003E111F">
        <w:rPr>
          <w:rFonts w:ascii="Aptos" w:hAnsi="Aptos"/>
          <w:sz w:val="22"/>
          <w:szCs w:val="22"/>
        </w:rPr>
        <w:t xml:space="preserve">Figure S3. Latitudinal dependence of ENSO-induced </w:t>
      </w:r>
      <w:r w:rsidRPr="00186A21">
        <w:rPr>
          <w:rFonts w:ascii="Aptos" w:hAnsi="Aptos"/>
          <w:sz w:val="22"/>
          <w:szCs w:val="22"/>
        </w:rPr>
        <w:t>CO</w:t>
      </w:r>
      <m:oMath>
        <m:sSub>
          <m:sSubPr>
            <m:ctrlPr>
              <w:rPr>
                <w:rFonts w:ascii="Cambria Math" w:hAnsi="Cambria Math"/>
                <w:sz w:val="22"/>
                <w:szCs w:val="22"/>
              </w:rPr>
            </m:ctrlPr>
          </m:sSubPr>
          <m:e>
            <m:r>
              <w:rPr>
                <w:rFonts w:ascii="Cambria Math" w:hAnsi="Cambria Math"/>
                <w:sz w:val="22"/>
                <w:szCs w:val="22"/>
              </w:rPr>
              <m:t>​</m:t>
            </m:r>
          </m:e>
          <m:sub>
            <m:r>
              <w:rPr>
                <w:rFonts w:ascii="Cambria Math" w:hAnsi="Cambria Math"/>
                <w:sz w:val="22"/>
                <w:szCs w:val="22"/>
              </w:rPr>
              <m:t>2</m:t>
            </m:r>
          </m:sub>
        </m:sSub>
      </m:oMath>
      <w:r>
        <w:rPr>
          <w:rFonts w:ascii="Aptos" w:hAnsi="Aptos"/>
          <w:sz w:val="22"/>
          <w:szCs w:val="22"/>
        </w:rPr>
        <w:t xml:space="preserve"> </w:t>
      </w:r>
      <w:r w:rsidRPr="003E111F">
        <w:rPr>
          <w:rFonts w:ascii="Aptos" w:hAnsi="Aptos"/>
          <w:sz w:val="22"/>
          <w:szCs w:val="22"/>
        </w:rPr>
        <w:t xml:space="preserve">sensitivity across global observation sites. The x-axis represents the sensitivity of the </w:t>
      </w:r>
      <w:r w:rsidRPr="00186A21">
        <w:rPr>
          <w:rFonts w:ascii="Aptos" w:hAnsi="Aptos"/>
          <w:sz w:val="22"/>
          <w:szCs w:val="22"/>
        </w:rPr>
        <w:t>CO</w:t>
      </w:r>
      <m:oMath>
        <m:sSub>
          <m:sSubPr>
            <m:ctrlPr>
              <w:rPr>
                <w:rFonts w:ascii="Cambria Math" w:hAnsi="Cambria Math"/>
                <w:sz w:val="22"/>
                <w:szCs w:val="22"/>
              </w:rPr>
            </m:ctrlPr>
          </m:sSubPr>
          <m:e>
            <m:r>
              <w:rPr>
                <w:rFonts w:ascii="Cambria Math" w:hAnsi="Cambria Math"/>
                <w:sz w:val="22"/>
                <w:szCs w:val="22"/>
              </w:rPr>
              <m:t>​</m:t>
            </m:r>
          </m:e>
          <m:sub>
            <m:r>
              <w:rPr>
                <w:rFonts w:ascii="Cambria Math" w:hAnsi="Cambria Math"/>
                <w:sz w:val="22"/>
                <w:szCs w:val="22"/>
              </w:rPr>
              <m:t>2</m:t>
            </m:r>
          </m:sub>
        </m:sSub>
      </m:oMath>
      <w:r>
        <w:rPr>
          <w:rFonts w:ascii="Aptos" w:hAnsi="Aptos"/>
          <w:sz w:val="22"/>
          <w:szCs w:val="22"/>
        </w:rPr>
        <w:t xml:space="preserve"> </w:t>
      </w:r>
      <w:r w:rsidRPr="003E111F">
        <w:rPr>
          <w:rFonts w:ascii="Aptos" w:hAnsi="Aptos"/>
          <w:sz w:val="22"/>
          <w:szCs w:val="22"/>
        </w:rPr>
        <w:t>growth rate to ENSO (ppm yr</w:t>
      </w:r>
      <w:r w:rsidRPr="003E111F">
        <w:rPr>
          <w:rFonts w:ascii="Aptos" w:hAnsi="Aptos"/>
          <w:sz w:val="22"/>
          <w:szCs w:val="22"/>
          <w:vertAlign w:val="superscript"/>
        </w:rPr>
        <w:t>-1</w:t>
      </w:r>
      <w:r w:rsidRPr="003E111F">
        <w:rPr>
          <w:rFonts w:ascii="Aptos" w:hAnsi="Aptos"/>
          <w:sz w:val="22"/>
          <w:szCs w:val="22"/>
        </w:rPr>
        <w:t>°C</w:t>
      </w:r>
      <w:r w:rsidRPr="003E111F">
        <w:rPr>
          <w:rFonts w:ascii="Aptos" w:hAnsi="Aptos"/>
          <w:sz w:val="22"/>
          <w:szCs w:val="22"/>
          <w:vertAlign w:val="superscript"/>
        </w:rPr>
        <w:t>-1</w:t>
      </w:r>
      <w:r w:rsidRPr="003E111F">
        <w:rPr>
          <w:rFonts w:ascii="Aptos" w:hAnsi="Aptos"/>
          <w:sz w:val="22"/>
          <w:szCs w:val="22"/>
        </w:rPr>
        <w:t>). Bubble color indicates the coefficient of determination (</w:t>
      </w:r>
      <w:r>
        <w:rPr>
          <w:rFonts w:ascii="Aptos" w:hAnsi="Aptos"/>
          <w:sz w:val="22"/>
          <w:szCs w:val="22"/>
        </w:rPr>
        <w:t>R</w:t>
      </w:r>
      <w:r w:rsidRPr="003E111F">
        <w:rPr>
          <w:rFonts w:ascii="Aptos" w:hAnsi="Aptos"/>
          <w:sz w:val="22"/>
          <w:szCs w:val="22"/>
          <w:vertAlign w:val="superscript"/>
        </w:rPr>
        <w:t>2</w:t>
      </w:r>
      <w:r w:rsidRPr="003E111F">
        <w:rPr>
          <w:rFonts w:ascii="Aptos" w:hAnsi="Aptos"/>
          <w:sz w:val="22"/>
          <w:szCs w:val="22"/>
        </w:rPr>
        <w:t xml:space="preserve">), and bubble size represents the number of El Niño events covered by the record at each site. A clear gradient is observed, with higher sensitivities concentrated in the tropical and </w:t>
      </w:r>
      <w:r w:rsidR="004D51B0">
        <w:rPr>
          <w:rFonts w:ascii="Aptos" w:hAnsi="Aptos"/>
          <w:sz w:val="22"/>
          <w:szCs w:val="22"/>
        </w:rPr>
        <w:t>subtropical</w:t>
      </w:r>
      <w:r w:rsidRPr="003E111F">
        <w:rPr>
          <w:rFonts w:ascii="Aptos" w:hAnsi="Aptos"/>
          <w:sz w:val="22"/>
          <w:szCs w:val="22"/>
        </w:rPr>
        <w:t xml:space="preserve"> regions.</w:t>
      </w:r>
    </w:p>
    <w:p w:rsidR="003E111F" w:rsidRPr="00186A21" w:rsidRDefault="003E111F" w:rsidP="000B226E">
      <w:pPr>
        <w:jc w:val="both"/>
        <w:rPr>
          <w:rFonts w:ascii="Aptos" w:hAnsi="Aptos" w:cstheme="minorHAnsi"/>
          <w:sz w:val="24"/>
          <w:szCs w:val="24"/>
          <w:lang w:val="en-GB"/>
        </w:rPr>
      </w:pPr>
    </w:p>
    <w:p w:rsidR="00251DDE" w:rsidRPr="00186A21" w:rsidRDefault="00251DDE" w:rsidP="00251DDE">
      <w:pPr>
        <w:pStyle w:val="ImageCaption"/>
        <w:rPr>
          <w:rFonts w:ascii="Aptos" w:hAnsi="Aptos"/>
          <w:sz w:val="22"/>
          <w:szCs w:val="22"/>
        </w:rPr>
      </w:pPr>
      <w:r w:rsidRPr="00186A21">
        <w:rPr>
          <w:rFonts w:ascii="Aptos" w:hAnsi="Aptos"/>
          <w:sz w:val="22"/>
          <w:szCs w:val="22"/>
        </w:rPr>
        <w:t>Table S1. Station-level regression statistic results relating CO</w:t>
      </w:r>
      <m:oMath>
        <m:sSub>
          <m:sSubPr>
            <m:ctrlPr>
              <w:rPr>
                <w:rFonts w:ascii="Cambria Math" w:hAnsi="Cambria Math"/>
                <w:sz w:val="22"/>
                <w:szCs w:val="22"/>
              </w:rPr>
            </m:ctrlPr>
          </m:sSubPr>
          <m:e>
            <m:r>
              <w:rPr>
                <w:rFonts w:ascii="Cambria Math" w:hAnsi="Cambria Math"/>
                <w:sz w:val="22"/>
                <w:szCs w:val="22"/>
              </w:rPr>
              <m:t>​</m:t>
            </m:r>
          </m:e>
          <m:sub>
            <m:r>
              <w:rPr>
                <w:rFonts w:ascii="Cambria Math" w:hAnsi="Cambria Math"/>
                <w:sz w:val="22"/>
                <w:szCs w:val="22"/>
              </w:rPr>
              <m:t>2</m:t>
            </m:r>
          </m:sub>
        </m:sSub>
      </m:oMath>
      <w:r w:rsidRPr="00186A21">
        <w:rPr>
          <w:rFonts w:ascii="Aptos" w:hAnsi="Aptos"/>
          <w:sz w:val="22"/>
          <w:szCs w:val="22"/>
        </w:rPr>
        <w:t xml:space="preserve"> growth rates to ENSO variability and anthropogenic emissions</w:t>
      </w:r>
    </w:p>
    <w:tbl>
      <w:tblPr>
        <w:tblStyle w:val="Table"/>
        <w:tblW w:w="0" w:type="auto"/>
        <w:tblLayout w:type="fixed"/>
        <w:tblLook w:val="0020" w:firstRow="1" w:lastRow="0" w:firstColumn="0" w:lastColumn="0" w:noHBand="0" w:noVBand="0"/>
        <w:tblCaption w:val="Station-level regression results relating CO_2 growth rates to ENSO variability and anthropogenic emissions."/>
      </w:tblPr>
      <w:tblGrid>
        <w:gridCol w:w="705"/>
        <w:gridCol w:w="3973"/>
        <w:gridCol w:w="674"/>
        <w:gridCol w:w="767"/>
        <w:gridCol w:w="767"/>
        <w:gridCol w:w="767"/>
        <w:gridCol w:w="645"/>
        <w:gridCol w:w="774"/>
      </w:tblGrid>
      <w:tr w:rsidR="005508E5" w:rsidTr="004633EA">
        <w:trPr>
          <w:cnfStyle w:val="100000000000" w:firstRow="1" w:lastRow="0" w:firstColumn="0" w:lastColumn="0" w:oddVBand="0" w:evenVBand="0" w:oddHBand="0" w:evenHBand="0" w:firstRowFirstColumn="0" w:firstRowLastColumn="0" w:lastRowFirstColumn="0" w:lastRowLastColumn="0"/>
          <w:tblHeader/>
        </w:trPr>
        <w:tc>
          <w:tcPr>
            <w:tcW w:w="705" w:type="dxa"/>
          </w:tcPr>
          <w:p w:rsidR="00251DDE" w:rsidRPr="00186A21" w:rsidRDefault="00251DDE" w:rsidP="005508E5">
            <w:pPr>
              <w:pStyle w:val="Compact"/>
              <w:rPr>
                <w:rFonts w:ascii="Aptos" w:hAnsi="Aptos"/>
                <w:sz w:val="22"/>
                <w:szCs w:val="22"/>
              </w:rPr>
            </w:pPr>
            <w:r w:rsidRPr="00186A21">
              <w:rPr>
                <w:rFonts w:ascii="Aptos" w:hAnsi="Aptos"/>
                <w:sz w:val="22"/>
                <w:szCs w:val="22"/>
              </w:rPr>
              <w:t>Site</w:t>
            </w:r>
          </w:p>
        </w:tc>
        <w:tc>
          <w:tcPr>
            <w:tcW w:w="3973" w:type="dxa"/>
          </w:tcPr>
          <w:p w:rsidR="00251DDE" w:rsidRPr="00186A21" w:rsidRDefault="00251DDE" w:rsidP="005508E5">
            <w:pPr>
              <w:pStyle w:val="Compact"/>
              <w:rPr>
                <w:rFonts w:ascii="Aptos" w:hAnsi="Aptos"/>
                <w:sz w:val="22"/>
                <w:szCs w:val="22"/>
              </w:rPr>
            </w:pPr>
            <w:r w:rsidRPr="00186A21">
              <w:rPr>
                <w:rFonts w:ascii="Aptos" w:hAnsi="Aptos"/>
                <w:sz w:val="22"/>
                <w:szCs w:val="22"/>
              </w:rPr>
              <w:t>Location (</w:t>
            </w:r>
            <w:proofErr w:type="spellStart"/>
            <w:r w:rsidRPr="00186A21">
              <w:rPr>
                <w:rFonts w:ascii="Aptos" w:hAnsi="Aptos"/>
                <w:sz w:val="22"/>
                <w:szCs w:val="22"/>
              </w:rPr>
              <w:t>lat</w:t>
            </w:r>
            <w:proofErr w:type="spellEnd"/>
            <w:r w:rsidRPr="00186A21">
              <w:rPr>
                <w:rFonts w:ascii="Aptos" w:hAnsi="Aptos"/>
                <w:sz w:val="22"/>
                <w:szCs w:val="22"/>
              </w:rPr>
              <w:t xml:space="preserve">, </w:t>
            </w:r>
            <w:proofErr w:type="spellStart"/>
            <w:r w:rsidRPr="00186A21">
              <w:rPr>
                <w:rFonts w:ascii="Aptos" w:hAnsi="Aptos"/>
                <w:sz w:val="22"/>
                <w:szCs w:val="22"/>
              </w:rPr>
              <w:t>lon</w:t>
            </w:r>
            <w:proofErr w:type="spellEnd"/>
            <w:r w:rsidRPr="00186A21">
              <w:rPr>
                <w:rFonts w:ascii="Aptos" w:hAnsi="Aptos"/>
                <w:sz w:val="22"/>
                <w:szCs w:val="22"/>
              </w:rPr>
              <w:t>)</w:t>
            </w:r>
          </w:p>
        </w:tc>
        <w:tc>
          <w:tcPr>
            <w:tcW w:w="674" w:type="dxa"/>
          </w:tcPr>
          <w:p w:rsidR="00251DDE" w:rsidRPr="00186A21" w:rsidRDefault="00251DDE" w:rsidP="005508E5">
            <w:pPr>
              <w:pStyle w:val="Compact"/>
              <w:jc w:val="right"/>
              <w:rPr>
                <w:rFonts w:ascii="Aptos" w:hAnsi="Aptos"/>
                <w:sz w:val="22"/>
                <w:szCs w:val="22"/>
              </w:rPr>
            </w:pPr>
            <w:r w:rsidRPr="00186A21">
              <w:rPr>
                <w:rFonts w:ascii="Aptos" w:hAnsi="Aptos"/>
                <w:sz w:val="22"/>
                <w:szCs w:val="22"/>
              </w:rPr>
              <w:t>Alt. (m)</w:t>
            </w:r>
          </w:p>
        </w:tc>
        <w:tc>
          <w:tcPr>
            <w:tcW w:w="767" w:type="dxa"/>
          </w:tcPr>
          <w:p w:rsidR="00251DDE" w:rsidRPr="00186A21" w:rsidRDefault="00ED44EE" w:rsidP="005508E5">
            <w:pPr>
              <w:pStyle w:val="Compact"/>
              <w:jc w:val="right"/>
              <w:rPr>
                <w:rFonts w:ascii="Aptos" w:hAnsi="Aptos"/>
                <w:sz w:val="22"/>
                <w:szCs w:val="22"/>
              </w:rPr>
            </w:pPr>
            <m:oMathPara>
              <m:oMath>
                <m:sSub>
                  <m:sSubPr>
                    <m:ctrlPr>
                      <w:rPr>
                        <w:rFonts w:ascii="Cambria Math" w:hAnsi="Cambria Math"/>
                        <w:sz w:val="22"/>
                        <w:szCs w:val="22"/>
                      </w:rPr>
                    </m:ctrlPr>
                  </m:sSubPr>
                  <m:e>
                    <m:r>
                      <w:rPr>
                        <w:rFonts w:ascii="Cambria Math" w:hAnsi="Cambria Math"/>
                        <w:sz w:val="22"/>
                        <w:szCs w:val="22"/>
                      </w:rPr>
                      <m:t>α</m:t>
                    </m:r>
                  </m:e>
                  <m:sub>
                    <m:r>
                      <w:rPr>
                        <w:rFonts w:ascii="Cambria Math" w:hAnsi="Cambria Math"/>
                        <w:sz w:val="22"/>
                        <w:szCs w:val="22"/>
                      </w:rPr>
                      <m:t>0</m:t>
                    </m:r>
                  </m:sub>
                </m:sSub>
              </m:oMath>
            </m:oMathPara>
          </w:p>
        </w:tc>
        <w:tc>
          <w:tcPr>
            <w:tcW w:w="767" w:type="dxa"/>
          </w:tcPr>
          <w:p w:rsidR="00251DDE" w:rsidRPr="00186A21" w:rsidRDefault="00ED44EE" w:rsidP="005508E5">
            <w:pPr>
              <w:pStyle w:val="Compact"/>
              <w:jc w:val="right"/>
              <w:rPr>
                <w:rFonts w:ascii="Aptos" w:hAnsi="Aptos"/>
                <w:sz w:val="22"/>
                <w:szCs w:val="22"/>
              </w:rPr>
            </w:pPr>
            <m:oMathPara>
              <m:oMath>
                <m:sSub>
                  <m:sSubPr>
                    <m:ctrlPr>
                      <w:rPr>
                        <w:rFonts w:ascii="Cambria Math" w:hAnsi="Cambria Math"/>
                        <w:sz w:val="22"/>
                        <w:szCs w:val="22"/>
                      </w:rPr>
                    </m:ctrlPr>
                  </m:sSubPr>
                  <m:e>
                    <m:r>
                      <w:rPr>
                        <w:rFonts w:ascii="Cambria Math" w:hAnsi="Cambria Math"/>
                        <w:sz w:val="22"/>
                        <w:szCs w:val="22"/>
                      </w:rPr>
                      <m:t>α</m:t>
                    </m:r>
                  </m:e>
                  <m:sub>
                    <m:r>
                      <w:rPr>
                        <w:rFonts w:ascii="Cambria Math" w:hAnsi="Cambria Math"/>
                        <w:sz w:val="22"/>
                        <w:szCs w:val="22"/>
                      </w:rPr>
                      <m:t>N</m:t>
                    </m:r>
                  </m:sub>
                </m:sSub>
              </m:oMath>
            </m:oMathPara>
          </w:p>
        </w:tc>
        <w:tc>
          <w:tcPr>
            <w:tcW w:w="767" w:type="dxa"/>
          </w:tcPr>
          <w:p w:rsidR="00251DDE" w:rsidRPr="00186A21" w:rsidRDefault="00ED44EE" w:rsidP="005508E5">
            <w:pPr>
              <w:pStyle w:val="Compact"/>
              <w:jc w:val="right"/>
              <w:rPr>
                <w:rFonts w:ascii="Aptos" w:hAnsi="Aptos"/>
                <w:sz w:val="22"/>
                <w:szCs w:val="22"/>
              </w:rPr>
            </w:pPr>
            <m:oMathPara>
              <m:oMath>
                <m:sSub>
                  <m:sSubPr>
                    <m:ctrlPr>
                      <w:rPr>
                        <w:rFonts w:ascii="Cambria Math" w:hAnsi="Cambria Math"/>
                        <w:sz w:val="22"/>
                        <w:szCs w:val="22"/>
                      </w:rPr>
                    </m:ctrlPr>
                  </m:sSubPr>
                  <m:e>
                    <m:r>
                      <w:rPr>
                        <w:rFonts w:ascii="Cambria Math" w:hAnsi="Cambria Math"/>
                        <w:sz w:val="22"/>
                        <w:szCs w:val="22"/>
                      </w:rPr>
                      <m:t>α</m:t>
                    </m:r>
                  </m:e>
                  <m:sub>
                    <m:r>
                      <w:rPr>
                        <w:rFonts w:ascii="Cambria Math" w:hAnsi="Cambria Math"/>
                        <w:sz w:val="22"/>
                        <w:szCs w:val="22"/>
                      </w:rPr>
                      <m:t>E</m:t>
                    </m:r>
                  </m:sub>
                </m:sSub>
              </m:oMath>
            </m:oMathPara>
          </w:p>
        </w:tc>
        <w:tc>
          <w:tcPr>
            <w:tcW w:w="645" w:type="dxa"/>
          </w:tcPr>
          <w:p w:rsidR="00251DDE" w:rsidRPr="00186A21" w:rsidRDefault="00ED44EE" w:rsidP="005508E5">
            <w:pPr>
              <w:pStyle w:val="Compact"/>
              <w:jc w:val="right"/>
              <w:rPr>
                <w:rFonts w:ascii="Aptos" w:hAnsi="Aptos"/>
                <w:sz w:val="22"/>
                <w:szCs w:val="22"/>
              </w:rPr>
            </w:pPr>
            <m:oMathPara>
              <m:oMath>
                <m:sSup>
                  <m:sSupPr>
                    <m:ctrlPr>
                      <w:rPr>
                        <w:rFonts w:ascii="Cambria Math" w:hAnsi="Cambria Math"/>
                        <w:sz w:val="22"/>
                        <w:szCs w:val="22"/>
                      </w:rPr>
                    </m:ctrlPr>
                  </m:sSupPr>
                  <m:e>
                    <m:r>
                      <w:rPr>
                        <w:rFonts w:ascii="Cambria Math" w:hAnsi="Cambria Math"/>
                        <w:sz w:val="22"/>
                        <w:szCs w:val="22"/>
                      </w:rPr>
                      <m:t>R</m:t>
                    </m:r>
                  </m:e>
                  <m:sup>
                    <m:r>
                      <w:rPr>
                        <w:rFonts w:ascii="Cambria Math" w:hAnsi="Cambria Math"/>
                        <w:sz w:val="22"/>
                        <w:szCs w:val="22"/>
                      </w:rPr>
                      <m:t>2</m:t>
                    </m:r>
                  </m:sup>
                </m:sSup>
              </m:oMath>
            </m:oMathPara>
          </w:p>
        </w:tc>
        <w:tc>
          <w:tcPr>
            <w:tcW w:w="774" w:type="dxa"/>
          </w:tcPr>
          <w:p w:rsidR="00251DDE" w:rsidRPr="00186A21" w:rsidRDefault="00ED44EE" w:rsidP="005508E5">
            <w:pPr>
              <w:pStyle w:val="Compact"/>
              <w:jc w:val="right"/>
              <w:rPr>
                <w:rFonts w:ascii="Aptos" w:hAnsi="Aptos"/>
                <w:sz w:val="22"/>
                <w:szCs w:val="22"/>
              </w:rPr>
            </w:pPr>
            <m:oMathPara>
              <m:oMath>
                <m:sSub>
                  <m:sSubPr>
                    <m:ctrlPr>
                      <w:rPr>
                        <w:rFonts w:ascii="Cambria Math" w:hAnsi="Cambria Math"/>
                        <w:sz w:val="22"/>
                        <w:szCs w:val="22"/>
                      </w:rPr>
                    </m:ctrlPr>
                  </m:sSubPr>
                  <m:e>
                    <m:r>
                      <w:rPr>
                        <w:rFonts w:ascii="Cambria Math" w:hAnsi="Cambria Math"/>
                        <w:sz w:val="22"/>
                        <w:szCs w:val="22"/>
                      </w:rPr>
                      <m:t>n</m:t>
                    </m:r>
                  </m:e>
                  <m:sub>
                    <m:r>
                      <m:rPr>
                        <m:sty m:val="p"/>
                      </m:rPr>
                      <w:rPr>
                        <w:rFonts w:ascii="Cambria Math" w:hAnsi="Cambria Math"/>
                        <w:sz w:val="22"/>
                        <w:szCs w:val="22"/>
                      </w:rPr>
                      <m:t>years</m:t>
                    </m:r>
                  </m:sub>
                </m:sSub>
              </m:oMath>
            </m:oMathPara>
          </w:p>
        </w:tc>
      </w:tr>
      <w:tr w:rsidR="004633EA" w:rsidRPr="00186A21" w:rsidTr="004633EA">
        <w:tc>
          <w:tcPr>
            <w:tcW w:w="705" w:type="dxa"/>
          </w:tcPr>
          <w:p w:rsidR="00251DDE" w:rsidRPr="00186A21" w:rsidRDefault="00251DDE" w:rsidP="005508E5">
            <w:pPr>
              <w:pStyle w:val="Compact"/>
              <w:rPr>
                <w:rFonts w:ascii="Aptos" w:hAnsi="Aptos"/>
                <w:sz w:val="22"/>
                <w:szCs w:val="22"/>
              </w:rPr>
            </w:pPr>
            <w:r w:rsidRPr="00186A21">
              <w:rPr>
                <w:rFonts w:ascii="Aptos" w:hAnsi="Aptos"/>
                <w:sz w:val="22"/>
                <w:szCs w:val="22"/>
              </w:rPr>
              <w:t>ALT</w:t>
            </w:r>
          </w:p>
        </w:tc>
        <w:tc>
          <w:tcPr>
            <w:tcW w:w="3973" w:type="dxa"/>
          </w:tcPr>
          <w:p w:rsidR="00251DDE" w:rsidRPr="00186A21" w:rsidRDefault="00251DDE" w:rsidP="005508E5">
            <w:pPr>
              <w:pStyle w:val="Compact"/>
              <w:rPr>
                <w:rFonts w:ascii="Aptos" w:hAnsi="Aptos"/>
                <w:sz w:val="22"/>
                <w:szCs w:val="22"/>
              </w:rPr>
            </w:pPr>
            <w:r w:rsidRPr="00186A21">
              <w:rPr>
                <w:rFonts w:ascii="Aptos" w:hAnsi="Aptos"/>
                <w:sz w:val="22"/>
                <w:szCs w:val="22"/>
              </w:rPr>
              <w:t>Alert, Nunavut, Canada (82.3</w:t>
            </w:r>
            <m:oMath>
              <m:sSup>
                <m:sSupPr>
                  <m:ctrlPr>
                    <w:rPr>
                      <w:rFonts w:ascii="Cambria Math" w:hAnsi="Cambria Math"/>
                      <w:sz w:val="22"/>
                      <w:szCs w:val="22"/>
                    </w:rPr>
                  </m:ctrlPr>
                </m:sSupPr>
                <m:e>
                  <m:r>
                    <w:rPr>
                      <w:rFonts w:ascii="Cambria Math" w:hAnsi="Cambria Math"/>
                      <w:sz w:val="22"/>
                      <w:szCs w:val="22"/>
                    </w:rPr>
                    <m:t>​</m:t>
                  </m:r>
                </m:e>
                <m:sup>
                  <m:r>
                    <m:rPr>
                      <m:sty m:val="p"/>
                    </m:rPr>
                    <w:rPr>
                      <w:rFonts w:ascii="Cambria Math" w:hAnsi="Cambria Math"/>
                      <w:sz w:val="22"/>
                      <w:szCs w:val="22"/>
                    </w:rPr>
                    <m:t>∘</m:t>
                  </m:r>
                </m:sup>
              </m:sSup>
            </m:oMath>
            <w:r w:rsidRPr="00186A21">
              <w:rPr>
                <w:rFonts w:ascii="Aptos" w:hAnsi="Aptos"/>
                <w:sz w:val="22"/>
                <w:szCs w:val="22"/>
              </w:rPr>
              <w:t>N, 62.3</w:t>
            </w:r>
            <m:oMath>
              <m:sSup>
                <m:sSupPr>
                  <m:ctrlPr>
                    <w:rPr>
                      <w:rFonts w:ascii="Cambria Math" w:hAnsi="Cambria Math"/>
                      <w:sz w:val="22"/>
                      <w:szCs w:val="22"/>
                    </w:rPr>
                  </m:ctrlPr>
                </m:sSupPr>
                <m:e>
                  <m:r>
                    <w:rPr>
                      <w:rFonts w:ascii="Cambria Math" w:hAnsi="Cambria Math"/>
                      <w:sz w:val="22"/>
                      <w:szCs w:val="22"/>
                    </w:rPr>
                    <m:t>​</m:t>
                  </m:r>
                </m:e>
                <m:sup>
                  <m:r>
                    <m:rPr>
                      <m:sty m:val="p"/>
                    </m:rPr>
                    <w:rPr>
                      <w:rFonts w:ascii="Cambria Math" w:hAnsi="Cambria Math"/>
                      <w:sz w:val="22"/>
                      <w:szCs w:val="22"/>
                    </w:rPr>
                    <m:t>∘</m:t>
                  </m:r>
                </m:sup>
              </m:sSup>
            </m:oMath>
            <w:r w:rsidRPr="00186A21">
              <w:rPr>
                <w:rFonts w:ascii="Aptos" w:hAnsi="Aptos"/>
                <w:sz w:val="22"/>
                <w:szCs w:val="22"/>
              </w:rPr>
              <w:t>W)</w:t>
            </w:r>
          </w:p>
        </w:tc>
        <w:tc>
          <w:tcPr>
            <w:tcW w:w="674" w:type="dxa"/>
          </w:tcPr>
          <w:p w:rsidR="00251DDE" w:rsidRPr="00186A21" w:rsidRDefault="00251DDE" w:rsidP="005508E5">
            <w:pPr>
              <w:pStyle w:val="Compact"/>
              <w:jc w:val="right"/>
              <w:rPr>
                <w:rFonts w:ascii="Aptos" w:hAnsi="Aptos"/>
                <w:sz w:val="22"/>
                <w:szCs w:val="22"/>
              </w:rPr>
            </w:pPr>
            <w:r w:rsidRPr="00186A21">
              <w:rPr>
                <w:rFonts w:ascii="Aptos" w:hAnsi="Aptos"/>
                <w:sz w:val="22"/>
                <w:szCs w:val="22"/>
              </w:rPr>
              <w:t>210</w:t>
            </w:r>
          </w:p>
        </w:tc>
        <w:tc>
          <w:tcPr>
            <w:tcW w:w="767" w:type="dxa"/>
          </w:tcPr>
          <w:p w:rsidR="00251DDE" w:rsidRPr="00186A21" w:rsidRDefault="00251DDE" w:rsidP="005508E5">
            <w:pPr>
              <w:pStyle w:val="Compact"/>
              <w:jc w:val="right"/>
              <w:rPr>
                <w:rFonts w:ascii="Aptos" w:hAnsi="Aptos"/>
                <w:sz w:val="22"/>
                <w:szCs w:val="22"/>
              </w:rPr>
            </w:pPr>
            <w:r w:rsidRPr="00186A21">
              <w:rPr>
                <w:rFonts w:ascii="Aptos" w:hAnsi="Aptos"/>
                <w:sz w:val="22"/>
                <w:szCs w:val="22"/>
              </w:rPr>
              <w:t>0.239</w:t>
            </w:r>
          </w:p>
        </w:tc>
        <w:tc>
          <w:tcPr>
            <w:tcW w:w="767" w:type="dxa"/>
          </w:tcPr>
          <w:p w:rsidR="00251DDE" w:rsidRPr="00186A21" w:rsidRDefault="00251DDE" w:rsidP="005508E5">
            <w:pPr>
              <w:pStyle w:val="Compact"/>
              <w:jc w:val="right"/>
              <w:rPr>
                <w:rFonts w:ascii="Aptos" w:hAnsi="Aptos"/>
                <w:sz w:val="22"/>
                <w:szCs w:val="22"/>
              </w:rPr>
            </w:pPr>
            <w:r w:rsidRPr="00186A21">
              <w:rPr>
                <w:rFonts w:ascii="Aptos" w:hAnsi="Aptos"/>
                <w:sz w:val="22"/>
                <w:szCs w:val="22"/>
              </w:rPr>
              <w:t>0.250</w:t>
            </w:r>
          </w:p>
        </w:tc>
        <w:tc>
          <w:tcPr>
            <w:tcW w:w="767" w:type="dxa"/>
          </w:tcPr>
          <w:p w:rsidR="00251DDE" w:rsidRPr="00186A21" w:rsidRDefault="00251DDE" w:rsidP="005508E5">
            <w:pPr>
              <w:pStyle w:val="Compact"/>
              <w:jc w:val="right"/>
              <w:rPr>
                <w:rFonts w:ascii="Aptos" w:hAnsi="Aptos"/>
                <w:sz w:val="22"/>
                <w:szCs w:val="22"/>
              </w:rPr>
            </w:pPr>
            <w:r w:rsidRPr="00186A21">
              <w:rPr>
                <w:rFonts w:ascii="Aptos" w:hAnsi="Aptos"/>
                <w:sz w:val="22"/>
                <w:szCs w:val="22"/>
              </w:rPr>
              <w:t>0.240</w:t>
            </w:r>
          </w:p>
        </w:tc>
        <w:tc>
          <w:tcPr>
            <w:tcW w:w="645" w:type="dxa"/>
          </w:tcPr>
          <w:p w:rsidR="00251DDE" w:rsidRPr="00186A21" w:rsidRDefault="00251DDE" w:rsidP="005508E5">
            <w:pPr>
              <w:pStyle w:val="Compact"/>
              <w:jc w:val="right"/>
              <w:rPr>
                <w:rFonts w:ascii="Aptos" w:hAnsi="Aptos"/>
                <w:sz w:val="22"/>
                <w:szCs w:val="22"/>
              </w:rPr>
            </w:pPr>
            <w:r w:rsidRPr="00186A21">
              <w:rPr>
                <w:rFonts w:ascii="Aptos" w:hAnsi="Aptos"/>
                <w:sz w:val="22"/>
                <w:szCs w:val="22"/>
              </w:rPr>
              <w:t>0.28</w:t>
            </w:r>
          </w:p>
        </w:tc>
        <w:tc>
          <w:tcPr>
            <w:tcW w:w="774" w:type="dxa"/>
          </w:tcPr>
          <w:p w:rsidR="00251DDE" w:rsidRPr="00186A21" w:rsidRDefault="00251DDE" w:rsidP="005508E5">
            <w:pPr>
              <w:pStyle w:val="Compact"/>
              <w:jc w:val="right"/>
              <w:rPr>
                <w:rFonts w:ascii="Aptos" w:hAnsi="Aptos"/>
                <w:sz w:val="22"/>
                <w:szCs w:val="22"/>
              </w:rPr>
            </w:pPr>
            <w:r w:rsidRPr="00186A21">
              <w:rPr>
                <w:rFonts w:ascii="Aptos" w:hAnsi="Aptos"/>
                <w:sz w:val="22"/>
                <w:szCs w:val="22"/>
              </w:rPr>
              <w:t>36</w:t>
            </w:r>
          </w:p>
        </w:tc>
      </w:tr>
      <w:tr w:rsidR="004633EA" w:rsidRPr="00186A21" w:rsidTr="004633EA">
        <w:tc>
          <w:tcPr>
            <w:tcW w:w="705" w:type="dxa"/>
          </w:tcPr>
          <w:p w:rsidR="00251DDE" w:rsidRPr="00186A21" w:rsidRDefault="00251DDE" w:rsidP="005508E5">
            <w:pPr>
              <w:pStyle w:val="Compact"/>
              <w:rPr>
                <w:rFonts w:ascii="Aptos" w:hAnsi="Aptos"/>
                <w:sz w:val="22"/>
                <w:szCs w:val="22"/>
              </w:rPr>
            </w:pPr>
            <w:r w:rsidRPr="00186A21">
              <w:rPr>
                <w:rFonts w:ascii="Aptos" w:hAnsi="Aptos"/>
                <w:sz w:val="22"/>
                <w:szCs w:val="22"/>
              </w:rPr>
              <w:t>KER</w:t>
            </w:r>
          </w:p>
        </w:tc>
        <w:tc>
          <w:tcPr>
            <w:tcW w:w="3973" w:type="dxa"/>
          </w:tcPr>
          <w:p w:rsidR="00251DDE" w:rsidRPr="00186A21" w:rsidRDefault="00251DDE" w:rsidP="005508E5">
            <w:pPr>
              <w:pStyle w:val="Compact"/>
              <w:rPr>
                <w:rFonts w:ascii="Aptos" w:hAnsi="Aptos"/>
                <w:sz w:val="22"/>
                <w:szCs w:val="22"/>
              </w:rPr>
            </w:pPr>
            <w:proofErr w:type="spellStart"/>
            <w:r w:rsidRPr="00186A21">
              <w:rPr>
                <w:rFonts w:ascii="Aptos" w:hAnsi="Aptos"/>
                <w:sz w:val="22"/>
                <w:szCs w:val="22"/>
              </w:rPr>
              <w:t>Kermadec</w:t>
            </w:r>
            <w:proofErr w:type="spellEnd"/>
            <w:r w:rsidRPr="00186A21">
              <w:rPr>
                <w:rFonts w:ascii="Aptos" w:hAnsi="Aptos"/>
                <w:sz w:val="22"/>
                <w:szCs w:val="22"/>
              </w:rPr>
              <w:t xml:space="preserve"> Islands (29.2</w:t>
            </w:r>
            <m:oMath>
              <m:sSup>
                <m:sSupPr>
                  <m:ctrlPr>
                    <w:rPr>
                      <w:rFonts w:ascii="Cambria Math" w:hAnsi="Cambria Math"/>
                      <w:sz w:val="22"/>
                      <w:szCs w:val="22"/>
                    </w:rPr>
                  </m:ctrlPr>
                </m:sSupPr>
                <m:e>
                  <m:r>
                    <w:rPr>
                      <w:rFonts w:ascii="Cambria Math" w:hAnsi="Cambria Math"/>
                      <w:sz w:val="22"/>
                      <w:szCs w:val="22"/>
                    </w:rPr>
                    <m:t>​</m:t>
                  </m:r>
                </m:e>
                <m:sup>
                  <m:r>
                    <m:rPr>
                      <m:sty m:val="p"/>
                    </m:rPr>
                    <w:rPr>
                      <w:rFonts w:ascii="Cambria Math" w:hAnsi="Cambria Math"/>
                      <w:sz w:val="22"/>
                      <w:szCs w:val="22"/>
                    </w:rPr>
                    <m:t>∘</m:t>
                  </m:r>
                </m:sup>
              </m:sSup>
            </m:oMath>
            <w:r w:rsidRPr="00186A21">
              <w:rPr>
                <w:rFonts w:ascii="Aptos" w:hAnsi="Aptos"/>
                <w:sz w:val="22"/>
                <w:szCs w:val="22"/>
              </w:rPr>
              <w:t>S, 177.9</w:t>
            </w:r>
            <m:oMath>
              <m:sSup>
                <m:sSupPr>
                  <m:ctrlPr>
                    <w:rPr>
                      <w:rFonts w:ascii="Cambria Math" w:hAnsi="Cambria Math"/>
                      <w:sz w:val="22"/>
                      <w:szCs w:val="22"/>
                    </w:rPr>
                  </m:ctrlPr>
                </m:sSupPr>
                <m:e>
                  <m:r>
                    <w:rPr>
                      <w:rFonts w:ascii="Cambria Math" w:hAnsi="Cambria Math"/>
                      <w:sz w:val="22"/>
                      <w:szCs w:val="22"/>
                    </w:rPr>
                    <m:t>​</m:t>
                  </m:r>
                </m:e>
                <m:sup>
                  <m:r>
                    <m:rPr>
                      <m:sty m:val="p"/>
                    </m:rPr>
                    <w:rPr>
                      <w:rFonts w:ascii="Cambria Math" w:hAnsi="Cambria Math"/>
                      <w:sz w:val="22"/>
                      <w:szCs w:val="22"/>
                    </w:rPr>
                    <m:t>∘</m:t>
                  </m:r>
                </m:sup>
              </m:sSup>
            </m:oMath>
            <w:r w:rsidRPr="00186A21">
              <w:rPr>
                <w:rFonts w:ascii="Aptos" w:hAnsi="Aptos"/>
                <w:sz w:val="22"/>
                <w:szCs w:val="22"/>
              </w:rPr>
              <w:t>W)</w:t>
            </w:r>
          </w:p>
        </w:tc>
        <w:tc>
          <w:tcPr>
            <w:tcW w:w="674" w:type="dxa"/>
          </w:tcPr>
          <w:p w:rsidR="00251DDE" w:rsidRPr="00186A21" w:rsidRDefault="00251DDE" w:rsidP="005508E5">
            <w:pPr>
              <w:pStyle w:val="Compact"/>
              <w:jc w:val="right"/>
              <w:rPr>
                <w:rFonts w:ascii="Aptos" w:hAnsi="Aptos"/>
                <w:sz w:val="22"/>
                <w:szCs w:val="22"/>
              </w:rPr>
            </w:pPr>
            <w:r w:rsidRPr="00186A21">
              <w:rPr>
                <w:rFonts w:ascii="Aptos" w:hAnsi="Aptos"/>
                <w:sz w:val="22"/>
                <w:szCs w:val="22"/>
              </w:rPr>
              <w:t>2</w:t>
            </w:r>
          </w:p>
        </w:tc>
        <w:tc>
          <w:tcPr>
            <w:tcW w:w="767" w:type="dxa"/>
          </w:tcPr>
          <w:p w:rsidR="00251DDE" w:rsidRPr="00186A21" w:rsidRDefault="00251DDE" w:rsidP="005508E5">
            <w:pPr>
              <w:pStyle w:val="Compact"/>
              <w:jc w:val="right"/>
              <w:rPr>
                <w:rFonts w:ascii="Aptos" w:hAnsi="Aptos"/>
                <w:sz w:val="22"/>
                <w:szCs w:val="22"/>
              </w:rPr>
            </w:pPr>
            <w:r w:rsidRPr="00186A21">
              <w:rPr>
                <w:rFonts w:ascii="Aptos" w:hAnsi="Aptos"/>
                <w:sz w:val="22"/>
                <w:szCs w:val="22"/>
              </w:rPr>
              <w:t>0.059</w:t>
            </w:r>
          </w:p>
        </w:tc>
        <w:tc>
          <w:tcPr>
            <w:tcW w:w="767" w:type="dxa"/>
          </w:tcPr>
          <w:p w:rsidR="00251DDE" w:rsidRPr="00186A21" w:rsidRDefault="00251DDE" w:rsidP="005508E5">
            <w:pPr>
              <w:pStyle w:val="Compact"/>
              <w:jc w:val="right"/>
              <w:rPr>
                <w:rFonts w:ascii="Aptos" w:hAnsi="Aptos"/>
                <w:sz w:val="22"/>
                <w:szCs w:val="22"/>
              </w:rPr>
            </w:pPr>
            <w:r w:rsidRPr="00186A21">
              <w:rPr>
                <w:rFonts w:ascii="Aptos" w:hAnsi="Aptos"/>
                <w:sz w:val="22"/>
                <w:szCs w:val="22"/>
              </w:rPr>
              <w:t>0.357</w:t>
            </w:r>
          </w:p>
        </w:tc>
        <w:tc>
          <w:tcPr>
            <w:tcW w:w="767" w:type="dxa"/>
          </w:tcPr>
          <w:p w:rsidR="00251DDE" w:rsidRPr="00186A21" w:rsidRDefault="00251DDE" w:rsidP="005508E5">
            <w:pPr>
              <w:pStyle w:val="Compact"/>
              <w:jc w:val="right"/>
              <w:rPr>
                <w:rFonts w:ascii="Aptos" w:hAnsi="Aptos"/>
                <w:sz w:val="22"/>
                <w:szCs w:val="22"/>
              </w:rPr>
            </w:pPr>
            <w:r w:rsidRPr="00186A21">
              <w:rPr>
                <w:rFonts w:ascii="Aptos" w:hAnsi="Aptos"/>
                <w:sz w:val="22"/>
                <w:szCs w:val="22"/>
              </w:rPr>
              <w:t>0.201</w:t>
            </w:r>
          </w:p>
        </w:tc>
        <w:tc>
          <w:tcPr>
            <w:tcW w:w="645" w:type="dxa"/>
          </w:tcPr>
          <w:p w:rsidR="00251DDE" w:rsidRPr="00186A21" w:rsidRDefault="00251DDE" w:rsidP="005508E5">
            <w:pPr>
              <w:pStyle w:val="Compact"/>
              <w:jc w:val="right"/>
              <w:rPr>
                <w:rFonts w:ascii="Aptos" w:hAnsi="Aptos"/>
                <w:sz w:val="22"/>
                <w:szCs w:val="22"/>
              </w:rPr>
            </w:pPr>
            <w:r w:rsidRPr="00186A21">
              <w:rPr>
                <w:rFonts w:ascii="Aptos" w:hAnsi="Aptos"/>
                <w:sz w:val="22"/>
                <w:szCs w:val="22"/>
              </w:rPr>
              <w:t>0.62</w:t>
            </w:r>
          </w:p>
        </w:tc>
        <w:tc>
          <w:tcPr>
            <w:tcW w:w="774" w:type="dxa"/>
          </w:tcPr>
          <w:p w:rsidR="00251DDE" w:rsidRPr="00186A21" w:rsidRDefault="00251DDE" w:rsidP="005508E5">
            <w:pPr>
              <w:pStyle w:val="Compact"/>
              <w:jc w:val="right"/>
              <w:rPr>
                <w:rFonts w:ascii="Aptos" w:hAnsi="Aptos"/>
                <w:sz w:val="22"/>
                <w:szCs w:val="22"/>
              </w:rPr>
            </w:pPr>
            <w:r w:rsidRPr="00186A21">
              <w:rPr>
                <w:rFonts w:ascii="Aptos" w:hAnsi="Aptos"/>
                <w:sz w:val="22"/>
                <w:szCs w:val="22"/>
              </w:rPr>
              <w:t>36</w:t>
            </w:r>
          </w:p>
        </w:tc>
      </w:tr>
      <w:tr w:rsidR="004633EA" w:rsidRPr="00186A21" w:rsidTr="004633EA">
        <w:tc>
          <w:tcPr>
            <w:tcW w:w="705" w:type="dxa"/>
          </w:tcPr>
          <w:p w:rsidR="00251DDE" w:rsidRPr="00186A21" w:rsidRDefault="00251DDE" w:rsidP="005508E5">
            <w:pPr>
              <w:pStyle w:val="Compact"/>
              <w:rPr>
                <w:rFonts w:ascii="Aptos" w:hAnsi="Aptos"/>
                <w:sz w:val="22"/>
                <w:szCs w:val="22"/>
              </w:rPr>
            </w:pPr>
            <w:r w:rsidRPr="00186A21">
              <w:rPr>
                <w:rFonts w:ascii="Aptos" w:hAnsi="Aptos"/>
                <w:sz w:val="22"/>
                <w:szCs w:val="22"/>
              </w:rPr>
              <w:t>KUM</w:t>
            </w:r>
          </w:p>
        </w:tc>
        <w:tc>
          <w:tcPr>
            <w:tcW w:w="3973" w:type="dxa"/>
          </w:tcPr>
          <w:p w:rsidR="00251DDE" w:rsidRPr="00186A21" w:rsidRDefault="00251DDE" w:rsidP="005508E5">
            <w:pPr>
              <w:pStyle w:val="Compact"/>
              <w:rPr>
                <w:rFonts w:ascii="Aptos" w:hAnsi="Aptos"/>
                <w:sz w:val="22"/>
                <w:szCs w:val="22"/>
              </w:rPr>
            </w:pPr>
            <w:r w:rsidRPr="00186A21">
              <w:rPr>
                <w:rFonts w:ascii="Aptos" w:hAnsi="Aptos"/>
                <w:sz w:val="22"/>
                <w:szCs w:val="22"/>
              </w:rPr>
              <w:t xml:space="preserve">Cape </w:t>
            </w:r>
            <w:proofErr w:type="spellStart"/>
            <w:r w:rsidRPr="00186A21">
              <w:rPr>
                <w:rFonts w:ascii="Aptos" w:hAnsi="Aptos"/>
                <w:sz w:val="22"/>
                <w:szCs w:val="22"/>
              </w:rPr>
              <w:t>Kumukahi</w:t>
            </w:r>
            <w:proofErr w:type="spellEnd"/>
            <w:r w:rsidRPr="00186A21">
              <w:rPr>
                <w:rFonts w:ascii="Aptos" w:hAnsi="Aptos"/>
                <w:sz w:val="22"/>
                <w:szCs w:val="22"/>
              </w:rPr>
              <w:t>, Hawaii (19.5</w:t>
            </w:r>
            <m:oMath>
              <m:sSup>
                <m:sSupPr>
                  <m:ctrlPr>
                    <w:rPr>
                      <w:rFonts w:ascii="Cambria Math" w:hAnsi="Cambria Math"/>
                      <w:sz w:val="22"/>
                      <w:szCs w:val="22"/>
                    </w:rPr>
                  </m:ctrlPr>
                </m:sSupPr>
                <m:e>
                  <m:r>
                    <w:rPr>
                      <w:rFonts w:ascii="Cambria Math" w:hAnsi="Cambria Math"/>
                      <w:sz w:val="22"/>
                      <w:szCs w:val="22"/>
                    </w:rPr>
                    <m:t>​</m:t>
                  </m:r>
                </m:e>
                <m:sup>
                  <m:r>
                    <m:rPr>
                      <m:sty m:val="p"/>
                    </m:rPr>
                    <w:rPr>
                      <w:rFonts w:ascii="Cambria Math" w:hAnsi="Cambria Math"/>
                      <w:sz w:val="22"/>
                      <w:szCs w:val="22"/>
                    </w:rPr>
                    <m:t>∘</m:t>
                  </m:r>
                </m:sup>
              </m:sSup>
            </m:oMath>
            <w:r w:rsidRPr="00186A21">
              <w:rPr>
                <w:rFonts w:ascii="Aptos" w:hAnsi="Aptos"/>
                <w:sz w:val="22"/>
                <w:szCs w:val="22"/>
              </w:rPr>
              <w:t>N, 154.8</w:t>
            </w:r>
            <m:oMath>
              <m:sSup>
                <m:sSupPr>
                  <m:ctrlPr>
                    <w:rPr>
                      <w:rFonts w:ascii="Cambria Math" w:hAnsi="Cambria Math"/>
                      <w:sz w:val="22"/>
                      <w:szCs w:val="22"/>
                    </w:rPr>
                  </m:ctrlPr>
                </m:sSupPr>
                <m:e>
                  <m:r>
                    <w:rPr>
                      <w:rFonts w:ascii="Cambria Math" w:hAnsi="Cambria Math"/>
                      <w:sz w:val="22"/>
                      <w:szCs w:val="22"/>
                    </w:rPr>
                    <m:t>​</m:t>
                  </m:r>
                </m:e>
                <m:sup>
                  <m:r>
                    <m:rPr>
                      <m:sty m:val="p"/>
                    </m:rPr>
                    <w:rPr>
                      <w:rFonts w:ascii="Cambria Math" w:hAnsi="Cambria Math"/>
                      <w:sz w:val="22"/>
                      <w:szCs w:val="22"/>
                    </w:rPr>
                    <m:t>∘</m:t>
                  </m:r>
                </m:sup>
              </m:sSup>
            </m:oMath>
            <w:r w:rsidRPr="00186A21">
              <w:rPr>
                <w:rFonts w:ascii="Aptos" w:hAnsi="Aptos"/>
                <w:sz w:val="22"/>
                <w:szCs w:val="22"/>
              </w:rPr>
              <w:t>W)</w:t>
            </w:r>
          </w:p>
        </w:tc>
        <w:tc>
          <w:tcPr>
            <w:tcW w:w="674" w:type="dxa"/>
          </w:tcPr>
          <w:p w:rsidR="00251DDE" w:rsidRPr="00186A21" w:rsidRDefault="00251DDE" w:rsidP="005508E5">
            <w:pPr>
              <w:pStyle w:val="Compact"/>
              <w:jc w:val="right"/>
              <w:rPr>
                <w:rFonts w:ascii="Aptos" w:hAnsi="Aptos"/>
                <w:sz w:val="22"/>
                <w:szCs w:val="22"/>
              </w:rPr>
            </w:pPr>
            <w:r w:rsidRPr="00186A21">
              <w:rPr>
                <w:rFonts w:ascii="Aptos" w:hAnsi="Aptos"/>
                <w:sz w:val="22"/>
                <w:szCs w:val="22"/>
              </w:rPr>
              <w:t>3</w:t>
            </w:r>
          </w:p>
        </w:tc>
        <w:tc>
          <w:tcPr>
            <w:tcW w:w="767" w:type="dxa"/>
          </w:tcPr>
          <w:p w:rsidR="00251DDE" w:rsidRPr="00186A21" w:rsidRDefault="00251DDE" w:rsidP="005508E5">
            <w:pPr>
              <w:pStyle w:val="Compact"/>
              <w:jc w:val="right"/>
              <w:rPr>
                <w:rFonts w:ascii="Aptos" w:hAnsi="Aptos"/>
                <w:sz w:val="22"/>
                <w:szCs w:val="22"/>
              </w:rPr>
            </w:pPr>
            <w:r w:rsidRPr="00186A21">
              <w:rPr>
                <w:rFonts w:ascii="Aptos" w:hAnsi="Aptos"/>
                <w:sz w:val="22"/>
                <w:szCs w:val="22"/>
              </w:rPr>
              <w:t>0.252</w:t>
            </w:r>
          </w:p>
        </w:tc>
        <w:tc>
          <w:tcPr>
            <w:tcW w:w="767" w:type="dxa"/>
          </w:tcPr>
          <w:p w:rsidR="00251DDE" w:rsidRPr="00186A21" w:rsidRDefault="00251DDE" w:rsidP="005508E5">
            <w:pPr>
              <w:pStyle w:val="Compact"/>
              <w:jc w:val="right"/>
              <w:rPr>
                <w:rFonts w:ascii="Aptos" w:hAnsi="Aptos"/>
                <w:sz w:val="22"/>
                <w:szCs w:val="22"/>
              </w:rPr>
            </w:pPr>
            <w:r w:rsidRPr="00186A21">
              <w:rPr>
                <w:rFonts w:ascii="Aptos" w:hAnsi="Aptos"/>
                <w:sz w:val="22"/>
                <w:szCs w:val="22"/>
              </w:rPr>
              <w:t>0.318</w:t>
            </w:r>
          </w:p>
        </w:tc>
        <w:tc>
          <w:tcPr>
            <w:tcW w:w="767" w:type="dxa"/>
          </w:tcPr>
          <w:p w:rsidR="00251DDE" w:rsidRPr="00186A21" w:rsidRDefault="00251DDE" w:rsidP="005508E5">
            <w:pPr>
              <w:pStyle w:val="Compact"/>
              <w:jc w:val="right"/>
              <w:rPr>
                <w:rFonts w:ascii="Aptos" w:hAnsi="Aptos"/>
                <w:sz w:val="22"/>
                <w:szCs w:val="22"/>
              </w:rPr>
            </w:pPr>
            <w:r w:rsidRPr="00186A21">
              <w:rPr>
                <w:rFonts w:ascii="Aptos" w:hAnsi="Aptos"/>
                <w:sz w:val="22"/>
                <w:szCs w:val="22"/>
              </w:rPr>
              <w:t>0.194</w:t>
            </w:r>
          </w:p>
        </w:tc>
        <w:tc>
          <w:tcPr>
            <w:tcW w:w="645" w:type="dxa"/>
          </w:tcPr>
          <w:p w:rsidR="00251DDE" w:rsidRPr="00186A21" w:rsidRDefault="00251DDE" w:rsidP="005508E5">
            <w:pPr>
              <w:pStyle w:val="Compact"/>
              <w:jc w:val="right"/>
              <w:rPr>
                <w:rFonts w:ascii="Aptos" w:hAnsi="Aptos"/>
                <w:sz w:val="22"/>
                <w:szCs w:val="22"/>
              </w:rPr>
            </w:pPr>
            <w:r w:rsidRPr="00186A21">
              <w:rPr>
                <w:rFonts w:ascii="Aptos" w:hAnsi="Aptos"/>
                <w:sz w:val="22"/>
                <w:szCs w:val="22"/>
              </w:rPr>
              <w:t>0.47</w:t>
            </w:r>
          </w:p>
        </w:tc>
        <w:tc>
          <w:tcPr>
            <w:tcW w:w="774" w:type="dxa"/>
          </w:tcPr>
          <w:p w:rsidR="00251DDE" w:rsidRPr="00186A21" w:rsidRDefault="00251DDE" w:rsidP="005508E5">
            <w:pPr>
              <w:pStyle w:val="Compact"/>
              <w:jc w:val="right"/>
              <w:rPr>
                <w:rFonts w:ascii="Aptos" w:hAnsi="Aptos"/>
                <w:sz w:val="22"/>
                <w:szCs w:val="22"/>
              </w:rPr>
            </w:pPr>
            <w:r w:rsidRPr="00186A21">
              <w:rPr>
                <w:rFonts w:ascii="Aptos" w:hAnsi="Aptos"/>
                <w:sz w:val="22"/>
                <w:szCs w:val="22"/>
              </w:rPr>
              <w:t>42</w:t>
            </w:r>
          </w:p>
        </w:tc>
      </w:tr>
      <w:tr w:rsidR="004633EA" w:rsidRPr="00186A21" w:rsidTr="004633EA">
        <w:tc>
          <w:tcPr>
            <w:tcW w:w="705" w:type="dxa"/>
          </w:tcPr>
          <w:p w:rsidR="00251DDE" w:rsidRPr="00186A21" w:rsidRDefault="00251DDE" w:rsidP="005508E5">
            <w:pPr>
              <w:pStyle w:val="Compact"/>
              <w:rPr>
                <w:rFonts w:ascii="Aptos" w:hAnsi="Aptos"/>
                <w:sz w:val="22"/>
                <w:szCs w:val="22"/>
              </w:rPr>
            </w:pPr>
            <w:r w:rsidRPr="00186A21">
              <w:rPr>
                <w:rFonts w:ascii="Aptos" w:hAnsi="Aptos"/>
                <w:sz w:val="22"/>
                <w:szCs w:val="22"/>
              </w:rPr>
              <w:t>NZD</w:t>
            </w:r>
          </w:p>
        </w:tc>
        <w:tc>
          <w:tcPr>
            <w:tcW w:w="3973" w:type="dxa"/>
          </w:tcPr>
          <w:p w:rsidR="00251DDE" w:rsidRPr="00186A21" w:rsidRDefault="00251DDE" w:rsidP="005508E5">
            <w:pPr>
              <w:pStyle w:val="Compact"/>
              <w:rPr>
                <w:rFonts w:ascii="Aptos" w:hAnsi="Aptos"/>
                <w:sz w:val="22"/>
                <w:szCs w:val="22"/>
              </w:rPr>
            </w:pPr>
            <w:r w:rsidRPr="00186A21">
              <w:rPr>
                <w:rFonts w:ascii="Aptos" w:hAnsi="Aptos"/>
                <w:sz w:val="22"/>
                <w:szCs w:val="22"/>
              </w:rPr>
              <w:t>Baring Head, New Zealand (41.4</w:t>
            </w:r>
            <m:oMath>
              <m:sSup>
                <m:sSupPr>
                  <m:ctrlPr>
                    <w:rPr>
                      <w:rFonts w:ascii="Cambria Math" w:hAnsi="Cambria Math"/>
                      <w:sz w:val="22"/>
                      <w:szCs w:val="22"/>
                    </w:rPr>
                  </m:ctrlPr>
                </m:sSupPr>
                <m:e>
                  <m:r>
                    <w:rPr>
                      <w:rFonts w:ascii="Cambria Math" w:hAnsi="Cambria Math"/>
                      <w:sz w:val="22"/>
                      <w:szCs w:val="22"/>
                    </w:rPr>
                    <m:t>​</m:t>
                  </m:r>
                </m:e>
                <m:sup>
                  <m:r>
                    <m:rPr>
                      <m:sty m:val="p"/>
                    </m:rPr>
                    <w:rPr>
                      <w:rFonts w:ascii="Cambria Math" w:hAnsi="Cambria Math"/>
                      <w:sz w:val="22"/>
                      <w:szCs w:val="22"/>
                    </w:rPr>
                    <m:t>∘</m:t>
                  </m:r>
                </m:sup>
              </m:sSup>
            </m:oMath>
            <w:r w:rsidRPr="00186A21">
              <w:rPr>
                <w:rFonts w:ascii="Aptos" w:hAnsi="Aptos"/>
                <w:sz w:val="22"/>
                <w:szCs w:val="22"/>
              </w:rPr>
              <w:t>S, 174.9</w:t>
            </w:r>
            <m:oMath>
              <m:sSup>
                <m:sSupPr>
                  <m:ctrlPr>
                    <w:rPr>
                      <w:rFonts w:ascii="Cambria Math" w:hAnsi="Cambria Math"/>
                      <w:sz w:val="22"/>
                      <w:szCs w:val="22"/>
                    </w:rPr>
                  </m:ctrlPr>
                </m:sSupPr>
                <m:e>
                  <m:r>
                    <w:rPr>
                      <w:rFonts w:ascii="Cambria Math" w:hAnsi="Cambria Math"/>
                      <w:sz w:val="22"/>
                      <w:szCs w:val="22"/>
                    </w:rPr>
                    <m:t>​</m:t>
                  </m:r>
                </m:e>
                <m:sup>
                  <m:r>
                    <m:rPr>
                      <m:sty m:val="p"/>
                    </m:rPr>
                    <w:rPr>
                      <w:rFonts w:ascii="Cambria Math" w:hAnsi="Cambria Math"/>
                      <w:sz w:val="22"/>
                      <w:szCs w:val="22"/>
                    </w:rPr>
                    <m:t>∘</m:t>
                  </m:r>
                </m:sup>
              </m:sSup>
            </m:oMath>
            <w:r w:rsidRPr="00186A21">
              <w:rPr>
                <w:rFonts w:ascii="Aptos" w:hAnsi="Aptos"/>
                <w:sz w:val="22"/>
                <w:szCs w:val="22"/>
              </w:rPr>
              <w:t>E)</w:t>
            </w:r>
          </w:p>
        </w:tc>
        <w:tc>
          <w:tcPr>
            <w:tcW w:w="674" w:type="dxa"/>
          </w:tcPr>
          <w:p w:rsidR="00251DDE" w:rsidRPr="00186A21" w:rsidRDefault="00251DDE" w:rsidP="005508E5">
            <w:pPr>
              <w:pStyle w:val="Compact"/>
              <w:jc w:val="right"/>
              <w:rPr>
                <w:rFonts w:ascii="Aptos" w:hAnsi="Aptos"/>
                <w:sz w:val="22"/>
                <w:szCs w:val="22"/>
              </w:rPr>
            </w:pPr>
            <w:r w:rsidRPr="00186A21">
              <w:rPr>
                <w:rFonts w:ascii="Aptos" w:hAnsi="Aptos"/>
                <w:sz w:val="22"/>
                <w:szCs w:val="22"/>
              </w:rPr>
              <w:t>85</w:t>
            </w:r>
          </w:p>
        </w:tc>
        <w:tc>
          <w:tcPr>
            <w:tcW w:w="767" w:type="dxa"/>
          </w:tcPr>
          <w:p w:rsidR="00251DDE" w:rsidRPr="00186A21" w:rsidRDefault="00251DDE" w:rsidP="005508E5">
            <w:pPr>
              <w:pStyle w:val="Compact"/>
              <w:jc w:val="right"/>
              <w:rPr>
                <w:rFonts w:ascii="Aptos" w:hAnsi="Aptos"/>
                <w:sz w:val="22"/>
                <w:szCs w:val="22"/>
              </w:rPr>
            </w:pPr>
            <w:r w:rsidRPr="00186A21">
              <w:rPr>
                <w:rFonts w:ascii="Aptos" w:hAnsi="Aptos"/>
                <w:sz w:val="22"/>
                <w:szCs w:val="22"/>
              </w:rPr>
              <w:t>0.193</w:t>
            </w:r>
          </w:p>
        </w:tc>
        <w:tc>
          <w:tcPr>
            <w:tcW w:w="767" w:type="dxa"/>
          </w:tcPr>
          <w:p w:rsidR="00251DDE" w:rsidRPr="00186A21" w:rsidRDefault="00251DDE" w:rsidP="005508E5">
            <w:pPr>
              <w:pStyle w:val="Compact"/>
              <w:jc w:val="right"/>
              <w:rPr>
                <w:rFonts w:ascii="Aptos" w:hAnsi="Aptos"/>
                <w:sz w:val="22"/>
                <w:szCs w:val="22"/>
              </w:rPr>
            </w:pPr>
            <w:r w:rsidRPr="00186A21">
              <w:rPr>
                <w:rFonts w:ascii="Aptos" w:hAnsi="Aptos"/>
                <w:sz w:val="22"/>
                <w:szCs w:val="22"/>
              </w:rPr>
              <w:t>0.325</w:t>
            </w:r>
          </w:p>
        </w:tc>
        <w:tc>
          <w:tcPr>
            <w:tcW w:w="767" w:type="dxa"/>
          </w:tcPr>
          <w:p w:rsidR="00251DDE" w:rsidRPr="00186A21" w:rsidRDefault="00251DDE" w:rsidP="005508E5">
            <w:pPr>
              <w:pStyle w:val="Compact"/>
              <w:jc w:val="right"/>
              <w:rPr>
                <w:rFonts w:ascii="Aptos" w:hAnsi="Aptos"/>
                <w:sz w:val="22"/>
                <w:szCs w:val="22"/>
              </w:rPr>
            </w:pPr>
            <w:r w:rsidRPr="00186A21">
              <w:rPr>
                <w:rFonts w:ascii="Aptos" w:hAnsi="Aptos"/>
                <w:sz w:val="22"/>
                <w:szCs w:val="22"/>
              </w:rPr>
              <w:t>0.228</w:t>
            </w:r>
          </w:p>
        </w:tc>
        <w:tc>
          <w:tcPr>
            <w:tcW w:w="645" w:type="dxa"/>
          </w:tcPr>
          <w:p w:rsidR="00251DDE" w:rsidRPr="00186A21" w:rsidRDefault="00251DDE" w:rsidP="005508E5">
            <w:pPr>
              <w:pStyle w:val="Compact"/>
              <w:jc w:val="right"/>
              <w:rPr>
                <w:rFonts w:ascii="Aptos" w:hAnsi="Aptos"/>
                <w:sz w:val="22"/>
                <w:szCs w:val="22"/>
              </w:rPr>
            </w:pPr>
            <w:r w:rsidRPr="00186A21">
              <w:rPr>
                <w:rFonts w:ascii="Aptos" w:hAnsi="Aptos"/>
                <w:sz w:val="22"/>
                <w:szCs w:val="22"/>
              </w:rPr>
              <w:t>0.64</w:t>
            </w:r>
          </w:p>
        </w:tc>
        <w:tc>
          <w:tcPr>
            <w:tcW w:w="774" w:type="dxa"/>
          </w:tcPr>
          <w:p w:rsidR="00251DDE" w:rsidRPr="00186A21" w:rsidRDefault="00251DDE" w:rsidP="005508E5">
            <w:pPr>
              <w:pStyle w:val="Compact"/>
              <w:jc w:val="right"/>
              <w:rPr>
                <w:rFonts w:ascii="Aptos" w:hAnsi="Aptos"/>
                <w:sz w:val="22"/>
                <w:szCs w:val="22"/>
              </w:rPr>
            </w:pPr>
            <w:r w:rsidRPr="00186A21">
              <w:rPr>
                <w:rFonts w:ascii="Aptos" w:hAnsi="Aptos"/>
                <w:sz w:val="22"/>
                <w:szCs w:val="22"/>
              </w:rPr>
              <w:t>44</w:t>
            </w:r>
          </w:p>
        </w:tc>
      </w:tr>
      <w:tr w:rsidR="004633EA" w:rsidRPr="00186A21" w:rsidTr="004633EA">
        <w:tc>
          <w:tcPr>
            <w:tcW w:w="705" w:type="dxa"/>
          </w:tcPr>
          <w:p w:rsidR="00251DDE" w:rsidRPr="00186A21" w:rsidRDefault="00251DDE" w:rsidP="005508E5">
            <w:pPr>
              <w:pStyle w:val="Compact"/>
              <w:rPr>
                <w:rFonts w:ascii="Aptos" w:hAnsi="Aptos"/>
                <w:sz w:val="22"/>
                <w:szCs w:val="22"/>
              </w:rPr>
            </w:pPr>
            <w:r w:rsidRPr="00186A21">
              <w:rPr>
                <w:rFonts w:ascii="Aptos" w:hAnsi="Aptos"/>
                <w:sz w:val="22"/>
                <w:szCs w:val="22"/>
              </w:rPr>
              <w:t>SAM</w:t>
            </w:r>
          </w:p>
        </w:tc>
        <w:tc>
          <w:tcPr>
            <w:tcW w:w="3973" w:type="dxa"/>
          </w:tcPr>
          <w:p w:rsidR="00251DDE" w:rsidRPr="00186A21" w:rsidRDefault="00251DDE" w:rsidP="005508E5">
            <w:pPr>
              <w:pStyle w:val="Compact"/>
              <w:rPr>
                <w:rFonts w:ascii="Aptos" w:hAnsi="Aptos"/>
                <w:sz w:val="22"/>
                <w:szCs w:val="22"/>
              </w:rPr>
            </w:pPr>
            <w:r w:rsidRPr="00186A21">
              <w:rPr>
                <w:rFonts w:ascii="Aptos" w:hAnsi="Aptos"/>
                <w:sz w:val="22"/>
                <w:szCs w:val="22"/>
              </w:rPr>
              <w:t>American Samoa (14.2</w:t>
            </w:r>
            <m:oMath>
              <m:sSup>
                <m:sSupPr>
                  <m:ctrlPr>
                    <w:rPr>
                      <w:rFonts w:ascii="Cambria Math" w:hAnsi="Cambria Math"/>
                      <w:sz w:val="22"/>
                      <w:szCs w:val="22"/>
                    </w:rPr>
                  </m:ctrlPr>
                </m:sSupPr>
                <m:e>
                  <m:r>
                    <w:rPr>
                      <w:rFonts w:ascii="Cambria Math" w:hAnsi="Cambria Math"/>
                      <w:sz w:val="22"/>
                      <w:szCs w:val="22"/>
                    </w:rPr>
                    <m:t>​</m:t>
                  </m:r>
                </m:e>
                <m:sup>
                  <m:r>
                    <m:rPr>
                      <m:sty m:val="p"/>
                    </m:rPr>
                    <w:rPr>
                      <w:rFonts w:ascii="Cambria Math" w:hAnsi="Cambria Math"/>
                      <w:sz w:val="22"/>
                      <w:szCs w:val="22"/>
                    </w:rPr>
                    <m:t>∘</m:t>
                  </m:r>
                </m:sup>
              </m:sSup>
            </m:oMath>
            <w:r w:rsidRPr="00186A21">
              <w:rPr>
                <w:rFonts w:ascii="Aptos" w:hAnsi="Aptos"/>
                <w:sz w:val="22"/>
                <w:szCs w:val="22"/>
              </w:rPr>
              <w:t>S, 170.6</w:t>
            </w:r>
            <m:oMath>
              <m:sSup>
                <m:sSupPr>
                  <m:ctrlPr>
                    <w:rPr>
                      <w:rFonts w:ascii="Cambria Math" w:hAnsi="Cambria Math"/>
                      <w:sz w:val="22"/>
                      <w:szCs w:val="22"/>
                    </w:rPr>
                  </m:ctrlPr>
                </m:sSupPr>
                <m:e>
                  <m:r>
                    <w:rPr>
                      <w:rFonts w:ascii="Cambria Math" w:hAnsi="Cambria Math"/>
                      <w:sz w:val="22"/>
                      <w:szCs w:val="22"/>
                    </w:rPr>
                    <m:t>​</m:t>
                  </m:r>
                </m:e>
                <m:sup>
                  <m:r>
                    <m:rPr>
                      <m:sty m:val="p"/>
                    </m:rPr>
                    <w:rPr>
                      <w:rFonts w:ascii="Cambria Math" w:hAnsi="Cambria Math"/>
                      <w:sz w:val="22"/>
                      <w:szCs w:val="22"/>
                    </w:rPr>
                    <m:t>∘</m:t>
                  </m:r>
                </m:sup>
              </m:sSup>
            </m:oMath>
            <w:r w:rsidRPr="00186A21">
              <w:rPr>
                <w:rFonts w:ascii="Aptos" w:hAnsi="Aptos"/>
                <w:sz w:val="22"/>
                <w:szCs w:val="22"/>
              </w:rPr>
              <w:t>W)</w:t>
            </w:r>
          </w:p>
        </w:tc>
        <w:tc>
          <w:tcPr>
            <w:tcW w:w="674" w:type="dxa"/>
          </w:tcPr>
          <w:p w:rsidR="00251DDE" w:rsidRPr="00186A21" w:rsidRDefault="00251DDE" w:rsidP="005508E5">
            <w:pPr>
              <w:pStyle w:val="Compact"/>
              <w:jc w:val="right"/>
              <w:rPr>
                <w:rFonts w:ascii="Aptos" w:hAnsi="Aptos"/>
                <w:sz w:val="22"/>
                <w:szCs w:val="22"/>
              </w:rPr>
            </w:pPr>
            <w:r w:rsidRPr="00186A21">
              <w:rPr>
                <w:rFonts w:ascii="Aptos" w:hAnsi="Aptos"/>
                <w:sz w:val="22"/>
                <w:szCs w:val="22"/>
              </w:rPr>
              <w:t>30</w:t>
            </w:r>
          </w:p>
        </w:tc>
        <w:tc>
          <w:tcPr>
            <w:tcW w:w="767" w:type="dxa"/>
          </w:tcPr>
          <w:p w:rsidR="00251DDE" w:rsidRPr="00186A21" w:rsidRDefault="00251DDE" w:rsidP="005508E5">
            <w:pPr>
              <w:pStyle w:val="Compact"/>
              <w:jc w:val="right"/>
              <w:rPr>
                <w:rFonts w:ascii="Aptos" w:hAnsi="Aptos"/>
                <w:sz w:val="22"/>
                <w:szCs w:val="22"/>
              </w:rPr>
            </w:pPr>
            <w:r w:rsidRPr="00186A21">
              <w:rPr>
                <w:rFonts w:ascii="Aptos" w:hAnsi="Aptos"/>
                <w:sz w:val="22"/>
                <w:szCs w:val="22"/>
              </w:rPr>
              <w:t>0.119</w:t>
            </w:r>
          </w:p>
        </w:tc>
        <w:tc>
          <w:tcPr>
            <w:tcW w:w="767" w:type="dxa"/>
          </w:tcPr>
          <w:p w:rsidR="00251DDE" w:rsidRPr="00186A21" w:rsidRDefault="00251DDE" w:rsidP="005508E5">
            <w:pPr>
              <w:pStyle w:val="Compact"/>
              <w:jc w:val="right"/>
              <w:rPr>
                <w:rFonts w:ascii="Aptos" w:hAnsi="Aptos"/>
                <w:sz w:val="22"/>
                <w:szCs w:val="22"/>
              </w:rPr>
            </w:pPr>
            <w:r w:rsidRPr="00186A21">
              <w:rPr>
                <w:rFonts w:ascii="Aptos" w:hAnsi="Aptos"/>
                <w:sz w:val="22"/>
                <w:szCs w:val="22"/>
              </w:rPr>
              <w:t>0.297</w:t>
            </w:r>
          </w:p>
        </w:tc>
        <w:tc>
          <w:tcPr>
            <w:tcW w:w="767" w:type="dxa"/>
          </w:tcPr>
          <w:p w:rsidR="00251DDE" w:rsidRPr="00186A21" w:rsidRDefault="00251DDE" w:rsidP="005508E5">
            <w:pPr>
              <w:pStyle w:val="Compact"/>
              <w:jc w:val="right"/>
              <w:rPr>
                <w:rFonts w:ascii="Aptos" w:hAnsi="Aptos"/>
                <w:sz w:val="22"/>
                <w:szCs w:val="22"/>
              </w:rPr>
            </w:pPr>
            <w:r w:rsidRPr="00186A21">
              <w:rPr>
                <w:rFonts w:ascii="Aptos" w:hAnsi="Aptos"/>
                <w:sz w:val="22"/>
                <w:szCs w:val="22"/>
              </w:rPr>
              <w:t>0.225</w:t>
            </w:r>
          </w:p>
        </w:tc>
        <w:tc>
          <w:tcPr>
            <w:tcW w:w="645" w:type="dxa"/>
          </w:tcPr>
          <w:p w:rsidR="00251DDE" w:rsidRPr="00186A21" w:rsidRDefault="00251DDE" w:rsidP="005508E5">
            <w:pPr>
              <w:pStyle w:val="Compact"/>
              <w:jc w:val="right"/>
              <w:rPr>
                <w:rFonts w:ascii="Aptos" w:hAnsi="Aptos"/>
                <w:sz w:val="22"/>
                <w:szCs w:val="22"/>
              </w:rPr>
            </w:pPr>
            <w:r w:rsidRPr="00186A21">
              <w:rPr>
                <w:rFonts w:ascii="Aptos" w:hAnsi="Aptos"/>
                <w:sz w:val="22"/>
                <w:szCs w:val="22"/>
              </w:rPr>
              <w:t>0.58</w:t>
            </w:r>
          </w:p>
        </w:tc>
        <w:tc>
          <w:tcPr>
            <w:tcW w:w="774" w:type="dxa"/>
          </w:tcPr>
          <w:p w:rsidR="00251DDE" w:rsidRPr="00186A21" w:rsidRDefault="00251DDE" w:rsidP="005508E5">
            <w:pPr>
              <w:pStyle w:val="Compact"/>
              <w:jc w:val="right"/>
              <w:rPr>
                <w:rFonts w:ascii="Aptos" w:hAnsi="Aptos"/>
                <w:sz w:val="22"/>
                <w:szCs w:val="22"/>
              </w:rPr>
            </w:pPr>
            <w:r w:rsidRPr="00186A21">
              <w:rPr>
                <w:rFonts w:ascii="Aptos" w:hAnsi="Aptos"/>
                <w:sz w:val="22"/>
                <w:szCs w:val="22"/>
              </w:rPr>
              <w:t>40</w:t>
            </w:r>
          </w:p>
        </w:tc>
      </w:tr>
      <w:tr w:rsidR="004633EA" w:rsidRPr="00186A21" w:rsidTr="004633EA">
        <w:tc>
          <w:tcPr>
            <w:tcW w:w="705" w:type="dxa"/>
          </w:tcPr>
          <w:p w:rsidR="00251DDE" w:rsidRPr="00186A21" w:rsidRDefault="00251DDE" w:rsidP="005508E5">
            <w:pPr>
              <w:pStyle w:val="Compact"/>
              <w:rPr>
                <w:rFonts w:ascii="Aptos" w:hAnsi="Aptos"/>
                <w:sz w:val="22"/>
                <w:szCs w:val="22"/>
              </w:rPr>
            </w:pPr>
            <w:r w:rsidRPr="00186A21">
              <w:rPr>
                <w:rFonts w:ascii="Aptos" w:hAnsi="Aptos"/>
                <w:sz w:val="22"/>
                <w:szCs w:val="22"/>
              </w:rPr>
              <w:t>MLO</w:t>
            </w:r>
          </w:p>
        </w:tc>
        <w:tc>
          <w:tcPr>
            <w:tcW w:w="3973" w:type="dxa"/>
          </w:tcPr>
          <w:p w:rsidR="00251DDE" w:rsidRPr="00186A21" w:rsidRDefault="00251DDE" w:rsidP="005508E5">
            <w:pPr>
              <w:pStyle w:val="Compact"/>
              <w:rPr>
                <w:rFonts w:ascii="Aptos" w:hAnsi="Aptos"/>
                <w:sz w:val="22"/>
                <w:szCs w:val="22"/>
              </w:rPr>
            </w:pPr>
            <w:r w:rsidRPr="00186A21">
              <w:rPr>
                <w:rFonts w:ascii="Aptos" w:hAnsi="Aptos"/>
                <w:sz w:val="22"/>
                <w:szCs w:val="22"/>
              </w:rPr>
              <w:t>Mauna Loa Observatory, Hawaii (19.5</w:t>
            </w:r>
            <m:oMath>
              <m:sSup>
                <m:sSupPr>
                  <m:ctrlPr>
                    <w:rPr>
                      <w:rFonts w:ascii="Cambria Math" w:hAnsi="Cambria Math"/>
                      <w:sz w:val="22"/>
                      <w:szCs w:val="22"/>
                    </w:rPr>
                  </m:ctrlPr>
                </m:sSupPr>
                <m:e>
                  <m:r>
                    <w:rPr>
                      <w:rFonts w:ascii="Cambria Math" w:hAnsi="Cambria Math"/>
                      <w:sz w:val="22"/>
                      <w:szCs w:val="22"/>
                    </w:rPr>
                    <m:t>​</m:t>
                  </m:r>
                </m:e>
                <m:sup>
                  <m:r>
                    <m:rPr>
                      <m:sty m:val="p"/>
                    </m:rPr>
                    <w:rPr>
                      <w:rFonts w:ascii="Cambria Math" w:hAnsi="Cambria Math"/>
                      <w:sz w:val="22"/>
                      <w:szCs w:val="22"/>
                    </w:rPr>
                    <m:t>∘</m:t>
                  </m:r>
                </m:sup>
              </m:sSup>
            </m:oMath>
            <w:r w:rsidRPr="00186A21">
              <w:rPr>
                <w:rFonts w:ascii="Aptos" w:hAnsi="Aptos"/>
                <w:sz w:val="22"/>
                <w:szCs w:val="22"/>
              </w:rPr>
              <w:t>N, 155.6</w:t>
            </w:r>
            <m:oMath>
              <m:sSup>
                <m:sSupPr>
                  <m:ctrlPr>
                    <w:rPr>
                      <w:rFonts w:ascii="Cambria Math" w:hAnsi="Cambria Math"/>
                      <w:sz w:val="22"/>
                      <w:szCs w:val="22"/>
                    </w:rPr>
                  </m:ctrlPr>
                </m:sSupPr>
                <m:e>
                  <m:r>
                    <w:rPr>
                      <w:rFonts w:ascii="Cambria Math" w:hAnsi="Cambria Math"/>
                      <w:sz w:val="22"/>
                      <w:szCs w:val="22"/>
                    </w:rPr>
                    <m:t>​</m:t>
                  </m:r>
                </m:e>
                <m:sup>
                  <m:r>
                    <m:rPr>
                      <m:sty m:val="p"/>
                    </m:rPr>
                    <w:rPr>
                      <w:rFonts w:ascii="Cambria Math" w:hAnsi="Cambria Math"/>
                      <w:sz w:val="22"/>
                      <w:szCs w:val="22"/>
                    </w:rPr>
                    <m:t>∘</m:t>
                  </m:r>
                </m:sup>
              </m:sSup>
            </m:oMath>
            <w:r w:rsidRPr="00186A21">
              <w:rPr>
                <w:rFonts w:ascii="Aptos" w:hAnsi="Aptos"/>
                <w:sz w:val="22"/>
                <w:szCs w:val="22"/>
              </w:rPr>
              <w:t>W)</w:t>
            </w:r>
          </w:p>
        </w:tc>
        <w:tc>
          <w:tcPr>
            <w:tcW w:w="674" w:type="dxa"/>
          </w:tcPr>
          <w:p w:rsidR="00251DDE" w:rsidRPr="00186A21" w:rsidRDefault="00251DDE" w:rsidP="005508E5">
            <w:pPr>
              <w:pStyle w:val="Compact"/>
              <w:jc w:val="right"/>
              <w:rPr>
                <w:rFonts w:ascii="Aptos" w:hAnsi="Aptos"/>
                <w:sz w:val="22"/>
                <w:szCs w:val="22"/>
              </w:rPr>
            </w:pPr>
            <w:r w:rsidRPr="00186A21">
              <w:rPr>
                <w:rFonts w:ascii="Aptos" w:hAnsi="Aptos"/>
                <w:sz w:val="22"/>
                <w:szCs w:val="22"/>
              </w:rPr>
              <w:t>3397</w:t>
            </w:r>
          </w:p>
        </w:tc>
        <w:tc>
          <w:tcPr>
            <w:tcW w:w="767" w:type="dxa"/>
          </w:tcPr>
          <w:p w:rsidR="00251DDE" w:rsidRPr="00186A21" w:rsidRDefault="00251DDE" w:rsidP="005508E5">
            <w:pPr>
              <w:pStyle w:val="Compact"/>
              <w:jc w:val="right"/>
              <w:rPr>
                <w:rFonts w:ascii="Aptos" w:hAnsi="Aptos"/>
                <w:sz w:val="22"/>
                <w:szCs w:val="22"/>
              </w:rPr>
            </w:pPr>
            <w:r w:rsidRPr="00186A21">
              <w:rPr>
                <w:rFonts w:ascii="Aptos" w:hAnsi="Aptos"/>
                <w:sz w:val="22"/>
                <w:szCs w:val="22"/>
              </w:rPr>
              <w:t>0.307</w:t>
            </w:r>
          </w:p>
        </w:tc>
        <w:tc>
          <w:tcPr>
            <w:tcW w:w="767" w:type="dxa"/>
          </w:tcPr>
          <w:p w:rsidR="00251DDE" w:rsidRPr="00186A21" w:rsidRDefault="00251DDE" w:rsidP="005508E5">
            <w:pPr>
              <w:pStyle w:val="Compact"/>
              <w:jc w:val="right"/>
              <w:rPr>
                <w:rFonts w:ascii="Aptos" w:hAnsi="Aptos"/>
                <w:sz w:val="22"/>
                <w:szCs w:val="22"/>
              </w:rPr>
            </w:pPr>
            <w:r w:rsidRPr="00186A21">
              <w:rPr>
                <w:rFonts w:ascii="Aptos" w:hAnsi="Aptos"/>
                <w:sz w:val="22"/>
                <w:szCs w:val="22"/>
              </w:rPr>
              <w:t>0.416</w:t>
            </w:r>
          </w:p>
        </w:tc>
        <w:tc>
          <w:tcPr>
            <w:tcW w:w="767" w:type="dxa"/>
          </w:tcPr>
          <w:p w:rsidR="00251DDE" w:rsidRPr="00186A21" w:rsidRDefault="00251DDE" w:rsidP="005508E5">
            <w:pPr>
              <w:pStyle w:val="Compact"/>
              <w:jc w:val="right"/>
              <w:rPr>
                <w:rFonts w:ascii="Aptos" w:hAnsi="Aptos"/>
                <w:sz w:val="22"/>
                <w:szCs w:val="22"/>
              </w:rPr>
            </w:pPr>
            <w:r w:rsidRPr="00186A21">
              <w:rPr>
                <w:rFonts w:ascii="Aptos" w:hAnsi="Aptos"/>
                <w:sz w:val="22"/>
                <w:szCs w:val="22"/>
              </w:rPr>
              <w:t>0.251</w:t>
            </w:r>
          </w:p>
        </w:tc>
        <w:tc>
          <w:tcPr>
            <w:tcW w:w="645" w:type="dxa"/>
          </w:tcPr>
          <w:p w:rsidR="00251DDE" w:rsidRPr="00186A21" w:rsidRDefault="00251DDE" w:rsidP="005508E5">
            <w:pPr>
              <w:pStyle w:val="Compact"/>
              <w:jc w:val="right"/>
              <w:rPr>
                <w:rFonts w:ascii="Aptos" w:hAnsi="Aptos"/>
                <w:sz w:val="22"/>
                <w:szCs w:val="22"/>
              </w:rPr>
            </w:pPr>
            <w:r w:rsidRPr="00186A21">
              <w:rPr>
                <w:rFonts w:ascii="Aptos" w:hAnsi="Aptos"/>
                <w:sz w:val="22"/>
                <w:szCs w:val="22"/>
              </w:rPr>
              <w:t>0.86</w:t>
            </w:r>
          </w:p>
        </w:tc>
        <w:tc>
          <w:tcPr>
            <w:tcW w:w="774" w:type="dxa"/>
          </w:tcPr>
          <w:p w:rsidR="00251DDE" w:rsidRPr="00186A21" w:rsidRDefault="00251DDE" w:rsidP="005508E5">
            <w:pPr>
              <w:pStyle w:val="Compact"/>
              <w:jc w:val="right"/>
              <w:rPr>
                <w:rFonts w:ascii="Aptos" w:hAnsi="Aptos"/>
                <w:sz w:val="22"/>
                <w:szCs w:val="22"/>
              </w:rPr>
            </w:pPr>
            <w:r w:rsidRPr="00186A21">
              <w:rPr>
                <w:rFonts w:ascii="Aptos" w:hAnsi="Aptos"/>
                <w:sz w:val="22"/>
                <w:szCs w:val="22"/>
              </w:rPr>
              <w:t>63</w:t>
            </w:r>
          </w:p>
        </w:tc>
      </w:tr>
      <w:tr w:rsidR="004633EA" w:rsidRPr="00186A21" w:rsidTr="004633EA">
        <w:tc>
          <w:tcPr>
            <w:tcW w:w="705" w:type="dxa"/>
          </w:tcPr>
          <w:p w:rsidR="00251DDE" w:rsidRPr="00186A21" w:rsidRDefault="00251DDE" w:rsidP="005508E5">
            <w:pPr>
              <w:pStyle w:val="Compact"/>
              <w:rPr>
                <w:rFonts w:ascii="Aptos" w:hAnsi="Aptos"/>
                <w:sz w:val="22"/>
                <w:szCs w:val="22"/>
              </w:rPr>
            </w:pPr>
            <w:r w:rsidRPr="00186A21">
              <w:rPr>
                <w:rFonts w:ascii="Aptos" w:hAnsi="Aptos"/>
                <w:sz w:val="22"/>
                <w:szCs w:val="22"/>
              </w:rPr>
              <w:t>PTB</w:t>
            </w:r>
          </w:p>
        </w:tc>
        <w:tc>
          <w:tcPr>
            <w:tcW w:w="3973" w:type="dxa"/>
          </w:tcPr>
          <w:p w:rsidR="00251DDE" w:rsidRPr="00186A21" w:rsidRDefault="00251DDE" w:rsidP="005508E5">
            <w:pPr>
              <w:pStyle w:val="Compact"/>
              <w:rPr>
                <w:rFonts w:ascii="Aptos" w:hAnsi="Aptos"/>
                <w:sz w:val="22"/>
                <w:szCs w:val="22"/>
              </w:rPr>
            </w:pPr>
            <w:r w:rsidRPr="00186A21">
              <w:rPr>
                <w:rFonts w:ascii="Aptos" w:hAnsi="Aptos"/>
                <w:sz w:val="22"/>
                <w:szCs w:val="22"/>
              </w:rPr>
              <w:t>Barrow, Alaska (71.3</w:t>
            </w:r>
            <m:oMath>
              <m:sSup>
                <m:sSupPr>
                  <m:ctrlPr>
                    <w:rPr>
                      <w:rFonts w:ascii="Cambria Math" w:hAnsi="Cambria Math"/>
                      <w:sz w:val="22"/>
                      <w:szCs w:val="22"/>
                    </w:rPr>
                  </m:ctrlPr>
                </m:sSupPr>
                <m:e>
                  <m:r>
                    <w:rPr>
                      <w:rFonts w:ascii="Cambria Math" w:hAnsi="Cambria Math"/>
                      <w:sz w:val="22"/>
                      <w:szCs w:val="22"/>
                    </w:rPr>
                    <m:t>​</m:t>
                  </m:r>
                </m:e>
                <m:sup>
                  <m:r>
                    <m:rPr>
                      <m:sty m:val="p"/>
                    </m:rPr>
                    <w:rPr>
                      <w:rFonts w:ascii="Cambria Math" w:hAnsi="Cambria Math"/>
                      <w:sz w:val="22"/>
                      <w:szCs w:val="22"/>
                    </w:rPr>
                    <m:t>∘</m:t>
                  </m:r>
                </m:sup>
              </m:sSup>
            </m:oMath>
            <w:r w:rsidRPr="00186A21">
              <w:rPr>
                <w:rFonts w:ascii="Aptos" w:hAnsi="Aptos"/>
                <w:sz w:val="22"/>
                <w:szCs w:val="22"/>
              </w:rPr>
              <w:t>N, 156.6</w:t>
            </w:r>
            <m:oMath>
              <m:sSup>
                <m:sSupPr>
                  <m:ctrlPr>
                    <w:rPr>
                      <w:rFonts w:ascii="Cambria Math" w:hAnsi="Cambria Math"/>
                      <w:sz w:val="22"/>
                      <w:szCs w:val="22"/>
                    </w:rPr>
                  </m:ctrlPr>
                </m:sSupPr>
                <m:e>
                  <m:r>
                    <w:rPr>
                      <w:rFonts w:ascii="Cambria Math" w:hAnsi="Cambria Math"/>
                      <w:sz w:val="22"/>
                      <w:szCs w:val="22"/>
                    </w:rPr>
                    <m:t>​</m:t>
                  </m:r>
                </m:e>
                <m:sup>
                  <m:r>
                    <m:rPr>
                      <m:sty m:val="p"/>
                    </m:rPr>
                    <w:rPr>
                      <w:rFonts w:ascii="Cambria Math" w:hAnsi="Cambria Math"/>
                      <w:sz w:val="22"/>
                      <w:szCs w:val="22"/>
                    </w:rPr>
                    <m:t>∘</m:t>
                  </m:r>
                </m:sup>
              </m:sSup>
            </m:oMath>
            <w:r w:rsidRPr="00186A21">
              <w:rPr>
                <w:rFonts w:ascii="Aptos" w:hAnsi="Aptos"/>
                <w:sz w:val="22"/>
                <w:szCs w:val="22"/>
              </w:rPr>
              <w:t>W)</w:t>
            </w:r>
          </w:p>
        </w:tc>
        <w:tc>
          <w:tcPr>
            <w:tcW w:w="674" w:type="dxa"/>
          </w:tcPr>
          <w:p w:rsidR="00251DDE" w:rsidRPr="00186A21" w:rsidRDefault="00251DDE" w:rsidP="005508E5">
            <w:pPr>
              <w:pStyle w:val="Compact"/>
              <w:jc w:val="right"/>
              <w:rPr>
                <w:rFonts w:ascii="Aptos" w:hAnsi="Aptos"/>
                <w:sz w:val="22"/>
                <w:szCs w:val="22"/>
              </w:rPr>
            </w:pPr>
            <w:r w:rsidRPr="00186A21">
              <w:rPr>
                <w:rFonts w:ascii="Aptos" w:hAnsi="Aptos"/>
                <w:sz w:val="22"/>
                <w:szCs w:val="22"/>
              </w:rPr>
              <w:t>11</w:t>
            </w:r>
          </w:p>
        </w:tc>
        <w:tc>
          <w:tcPr>
            <w:tcW w:w="767" w:type="dxa"/>
          </w:tcPr>
          <w:p w:rsidR="00251DDE" w:rsidRPr="00186A21" w:rsidRDefault="00251DDE" w:rsidP="005508E5">
            <w:pPr>
              <w:pStyle w:val="Compact"/>
              <w:jc w:val="right"/>
              <w:rPr>
                <w:rFonts w:ascii="Aptos" w:hAnsi="Aptos"/>
                <w:sz w:val="22"/>
                <w:szCs w:val="22"/>
              </w:rPr>
            </w:pPr>
            <w:r w:rsidRPr="00186A21">
              <w:rPr>
                <w:rFonts w:ascii="Aptos" w:hAnsi="Aptos"/>
                <w:sz w:val="22"/>
                <w:szCs w:val="22"/>
              </w:rPr>
              <w:t>0.176</w:t>
            </w:r>
          </w:p>
        </w:tc>
        <w:tc>
          <w:tcPr>
            <w:tcW w:w="767" w:type="dxa"/>
          </w:tcPr>
          <w:p w:rsidR="00251DDE" w:rsidRPr="00186A21" w:rsidRDefault="00251DDE" w:rsidP="005508E5">
            <w:pPr>
              <w:pStyle w:val="Compact"/>
              <w:jc w:val="right"/>
              <w:rPr>
                <w:rFonts w:ascii="Aptos" w:hAnsi="Aptos"/>
                <w:sz w:val="22"/>
                <w:szCs w:val="22"/>
              </w:rPr>
            </w:pPr>
            <w:r w:rsidRPr="00186A21">
              <w:rPr>
                <w:rFonts w:ascii="Aptos" w:hAnsi="Aptos"/>
                <w:sz w:val="22"/>
                <w:szCs w:val="22"/>
              </w:rPr>
              <w:t>0.201</w:t>
            </w:r>
          </w:p>
        </w:tc>
        <w:tc>
          <w:tcPr>
            <w:tcW w:w="767" w:type="dxa"/>
          </w:tcPr>
          <w:p w:rsidR="00251DDE" w:rsidRPr="00186A21" w:rsidRDefault="00251DDE" w:rsidP="005508E5">
            <w:pPr>
              <w:pStyle w:val="Compact"/>
              <w:jc w:val="right"/>
              <w:rPr>
                <w:rFonts w:ascii="Aptos" w:hAnsi="Aptos"/>
                <w:sz w:val="22"/>
                <w:szCs w:val="22"/>
              </w:rPr>
            </w:pPr>
            <w:r w:rsidRPr="00186A21">
              <w:rPr>
                <w:rFonts w:ascii="Aptos" w:hAnsi="Aptos"/>
                <w:sz w:val="22"/>
                <w:szCs w:val="22"/>
              </w:rPr>
              <w:t>0.197</w:t>
            </w:r>
          </w:p>
        </w:tc>
        <w:tc>
          <w:tcPr>
            <w:tcW w:w="645" w:type="dxa"/>
          </w:tcPr>
          <w:p w:rsidR="00251DDE" w:rsidRPr="00186A21" w:rsidRDefault="00251DDE" w:rsidP="005508E5">
            <w:pPr>
              <w:pStyle w:val="Compact"/>
              <w:jc w:val="right"/>
              <w:rPr>
                <w:rFonts w:ascii="Aptos" w:hAnsi="Aptos"/>
                <w:sz w:val="22"/>
                <w:szCs w:val="22"/>
              </w:rPr>
            </w:pPr>
            <w:r w:rsidRPr="00186A21">
              <w:rPr>
                <w:rFonts w:ascii="Aptos" w:hAnsi="Aptos"/>
                <w:sz w:val="22"/>
                <w:szCs w:val="22"/>
              </w:rPr>
              <w:t>0.34</w:t>
            </w:r>
          </w:p>
        </w:tc>
        <w:tc>
          <w:tcPr>
            <w:tcW w:w="774" w:type="dxa"/>
          </w:tcPr>
          <w:p w:rsidR="00251DDE" w:rsidRPr="00186A21" w:rsidRDefault="00251DDE" w:rsidP="005508E5">
            <w:pPr>
              <w:pStyle w:val="Compact"/>
              <w:jc w:val="right"/>
              <w:rPr>
                <w:rFonts w:ascii="Aptos" w:hAnsi="Aptos"/>
                <w:sz w:val="22"/>
                <w:szCs w:val="22"/>
              </w:rPr>
            </w:pPr>
            <w:r w:rsidRPr="00186A21">
              <w:rPr>
                <w:rFonts w:ascii="Aptos" w:hAnsi="Aptos"/>
                <w:sz w:val="22"/>
                <w:szCs w:val="22"/>
              </w:rPr>
              <w:t>60</w:t>
            </w:r>
          </w:p>
        </w:tc>
      </w:tr>
      <w:tr w:rsidR="004633EA" w:rsidRPr="00186A21" w:rsidTr="004633EA">
        <w:tc>
          <w:tcPr>
            <w:tcW w:w="705" w:type="dxa"/>
          </w:tcPr>
          <w:p w:rsidR="00251DDE" w:rsidRPr="00186A21" w:rsidRDefault="00251DDE" w:rsidP="005508E5">
            <w:pPr>
              <w:pStyle w:val="Compact"/>
              <w:rPr>
                <w:rFonts w:ascii="Aptos" w:hAnsi="Aptos"/>
                <w:sz w:val="22"/>
                <w:szCs w:val="22"/>
              </w:rPr>
            </w:pPr>
            <w:r w:rsidRPr="00186A21">
              <w:rPr>
                <w:rFonts w:ascii="Aptos" w:hAnsi="Aptos"/>
                <w:sz w:val="22"/>
                <w:szCs w:val="22"/>
              </w:rPr>
              <w:t>SPO</w:t>
            </w:r>
          </w:p>
        </w:tc>
        <w:tc>
          <w:tcPr>
            <w:tcW w:w="3973" w:type="dxa"/>
          </w:tcPr>
          <w:p w:rsidR="00251DDE" w:rsidRPr="00186A21" w:rsidRDefault="00251DDE" w:rsidP="005508E5">
            <w:pPr>
              <w:pStyle w:val="Compact"/>
              <w:rPr>
                <w:rFonts w:ascii="Aptos" w:hAnsi="Aptos"/>
                <w:sz w:val="22"/>
                <w:szCs w:val="22"/>
              </w:rPr>
            </w:pPr>
            <w:r w:rsidRPr="00186A21">
              <w:rPr>
                <w:rFonts w:ascii="Aptos" w:hAnsi="Aptos"/>
                <w:sz w:val="22"/>
                <w:szCs w:val="22"/>
              </w:rPr>
              <w:t>South Pole Observatory, Antarctica (90.0</w:t>
            </w:r>
            <m:oMath>
              <m:sSup>
                <m:sSupPr>
                  <m:ctrlPr>
                    <w:rPr>
                      <w:rFonts w:ascii="Cambria Math" w:hAnsi="Cambria Math"/>
                      <w:sz w:val="22"/>
                      <w:szCs w:val="22"/>
                    </w:rPr>
                  </m:ctrlPr>
                </m:sSupPr>
                <m:e>
                  <m:r>
                    <w:rPr>
                      <w:rFonts w:ascii="Cambria Math" w:hAnsi="Cambria Math"/>
                      <w:sz w:val="22"/>
                      <w:szCs w:val="22"/>
                    </w:rPr>
                    <m:t>​</m:t>
                  </m:r>
                </m:e>
                <m:sup>
                  <m:r>
                    <m:rPr>
                      <m:sty m:val="p"/>
                    </m:rPr>
                    <w:rPr>
                      <w:rFonts w:ascii="Cambria Math" w:hAnsi="Cambria Math"/>
                      <w:sz w:val="22"/>
                      <w:szCs w:val="22"/>
                    </w:rPr>
                    <m:t>∘</m:t>
                  </m:r>
                </m:sup>
              </m:sSup>
            </m:oMath>
            <w:r w:rsidRPr="00186A21">
              <w:rPr>
                <w:rFonts w:ascii="Aptos" w:hAnsi="Aptos"/>
                <w:sz w:val="22"/>
                <w:szCs w:val="22"/>
              </w:rPr>
              <w:t>S)</w:t>
            </w:r>
          </w:p>
        </w:tc>
        <w:tc>
          <w:tcPr>
            <w:tcW w:w="674" w:type="dxa"/>
          </w:tcPr>
          <w:p w:rsidR="00251DDE" w:rsidRPr="00186A21" w:rsidRDefault="00251DDE" w:rsidP="005508E5">
            <w:pPr>
              <w:pStyle w:val="Compact"/>
              <w:jc w:val="right"/>
              <w:rPr>
                <w:rFonts w:ascii="Aptos" w:hAnsi="Aptos"/>
                <w:sz w:val="22"/>
                <w:szCs w:val="22"/>
              </w:rPr>
            </w:pPr>
            <w:r w:rsidRPr="00186A21">
              <w:rPr>
                <w:rFonts w:ascii="Aptos" w:hAnsi="Aptos"/>
                <w:sz w:val="22"/>
                <w:szCs w:val="22"/>
              </w:rPr>
              <w:t>2810</w:t>
            </w:r>
          </w:p>
        </w:tc>
        <w:tc>
          <w:tcPr>
            <w:tcW w:w="767" w:type="dxa"/>
          </w:tcPr>
          <w:p w:rsidR="00251DDE" w:rsidRPr="00186A21" w:rsidRDefault="00251DDE" w:rsidP="005508E5">
            <w:pPr>
              <w:pStyle w:val="Compact"/>
              <w:jc w:val="right"/>
              <w:rPr>
                <w:rFonts w:ascii="Aptos" w:hAnsi="Aptos"/>
                <w:sz w:val="22"/>
                <w:szCs w:val="22"/>
              </w:rPr>
            </w:pPr>
            <w:r w:rsidRPr="00186A21">
              <w:rPr>
                <w:rFonts w:ascii="Aptos" w:hAnsi="Aptos"/>
                <w:sz w:val="22"/>
                <w:szCs w:val="22"/>
              </w:rPr>
              <w:t>0.319</w:t>
            </w:r>
          </w:p>
        </w:tc>
        <w:tc>
          <w:tcPr>
            <w:tcW w:w="767" w:type="dxa"/>
          </w:tcPr>
          <w:p w:rsidR="00251DDE" w:rsidRPr="00186A21" w:rsidRDefault="00251DDE" w:rsidP="005508E5">
            <w:pPr>
              <w:pStyle w:val="Compact"/>
              <w:jc w:val="right"/>
              <w:rPr>
                <w:rFonts w:ascii="Aptos" w:hAnsi="Aptos"/>
                <w:sz w:val="22"/>
                <w:szCs w:val="22"/>
              </w:rPr>
            </w:pPr>
            <w:r w:rsidRPr="00186A21">
              <w:rPr>
                <w:rFonts w:ascii="Aptos" w:hAnsi="Aptos"/>
                <w:sz w:val="22"/>
                <w:szCs w:val="22"/>
              </w:rPr>
              <w:t>0.276</w:t>
            </w:r>
          </w:p>
        </w:tc>
        <w:tc>
          <w:tcPr>
            <w:tcW w:w="767" w:type="dxa"/>
          </w:tcPr>
          <w:p w:rsidR="00251DDE" w:rsidRPr="00186A21" w:rsidRDefault="00251DDE" w:rsidP="005508E5">
            <w:pPr>
              <w:pStyle w:val="Compact"/>
              <w:jc w:val="right"/>
              <w:rPr>
                <w:rFonts w:ascii="Aptos" w:hAnsi="Aptos"/>
                <w:sz w:val="22"/>
                <w:szCs w:val="22"/>
              </w:rPr>
            </w:pPr>
            <w:r w:rsidRPr="00186A21">
              <w:rPr>
                <w:rFonts w:ascii="Aptos" w:hAnsi="Aptos"/>
                <w:sz w:val="22"/>
                <w:szCs w:val="22"/>
              </w:rPr>
              <w:t>0.244</w:t>
            </w:r>
          </w:p>
        </w:tc>
        <w:tc>
          <w:tcPr>
            <w:tcW w:w="645" w:type="dxa"/>
          </w:tcPr>
          <w:p w:rsidR="00251DDE" w:rsidRPr="00186A21" w:rsidRDefault="00251DDE" w:rsidP="005508E5">
            <w:pPr>
              <w:pStyle w:val="Compact"/>
              <w:jc w:val="right"/>
              <w:rPr>
                <w:rFonts w:ascii="Aptos" w:hAnsi="Aptos"/>
                <w:sz w:val="22"/>
                <w:szCs w:val="22"/>
              </w:rPr>
            </w:pPr>
            <w:r w:rsidRPr="00186A21">
              <w:rPr>
                <w:rFonts w:ascii="Aptos" w:hAnsi="Aptos"/>
                <w:sz w:val="22"/>
                <w:szCs w:val="22"/>
              </w:rPr>
              <w:t>0.84</w:t>
            </w:r>
          </w:p>
        </w:tc>
        <w:tc>
          <w:tcPr>
            <w:tcW w:w="774" w:type="dxa"/>
          </w:tcPr>
          <w:p w:rsidR="00251DDE" w:rsidRPr="00186A21" w:rsidRDefault="00251DDE" w:rsidP="005508E5">
            <w:pPr>
              <w:pStyle w:val="Compact"/>
              <w:jc w:val="right"/>
              <w:rPr>
                <w:rFonts w:ascii="Aptos" w:hAnsi="Aptos"/>
                <w:sz w:val="22"/>
                <w:szCs w:val="22"/>
              </w:rPr>
            </w:pPr>
            <w:r w:rsidRPr="00186A21">
              <w:rPr>
                <w:rFonts w:ascii="Aptos" w:hAnsi="Aptos"/>
                <w:sz w:val="22"/>
                <w:szCs w:val="22"/>
              </w:rPr>
              <w:t>63</w:t>
            </w:r>
          </w:p>
        </w:tc>
      </w:tr>
    </w:tbl>
    <w:p w:rsidR="00103AE2" w:rsidRPr="00186A21" w:rsidRDefault="00103AE2" w:rsidP="00D365E7">
      <w:pPr>
        <w:jc w:val="both"/>
        <w:rPr>
          <w:rFonts w:ascii="Aptos" w:hAnsi="Aptos" w:cstheme="minorHAnsi"/>
          <w:sz w:val="24"/>
          <w:szCs w:val="24"/>
          <w:lang w:val="en-US"/>
        </w:rPr>
      </w:pPr>
    </w:p>
    <w:p w:rsidR="004D51B0" w:rsidRDefault="004D51B0" w:rsidP="00D365E7">
      <w:pPr>
        <w:jc w:val="both"/>
        <w:rPr>
          <w:rFonts w:ascii="Aptos" w:hAnsi="Aptos" w:cstheme="minorHAnsi"/>
          <w:sz w:val="24"/>
          <w:szCs w:val="24"/>
          <w:lang w:val="en-US"/>
        </w:rPr>
      </w:pPr>
    </w:p>
    <w:p w:rsidR="00B87193" w:rsidRDefault="00B87193" w:rsidP="00D365E7">
      <w:pPr>
        <w:jc w:val="both"/>
        <w:rPr>
          <w:rFonts w:ascii="Aptos" w:hAnsi="Aptos" w:cstheme="minorHAnsi"/>
          <w:sz w:val="24"/>
          <w:szCs w:val="24"/>
          <w:lang w:val="en-US"/>
        </w:rPr>
      </w:pPr>
      <w:r w:rsidRPr="00186A21">
        <w:rPr>
          <w:rFonts w:ascii="Aptos" w:hAnsi="Aptos" w:cstheme="minorHAnsi"/>
          <w:sz w:val="24"/>
          <w:szCs w:val="24"/>
          <w:lang w:val="en-US"/>
        </w:rPr>
        <w:lastRenderedPageBreak/>
        <w:t>Reference</w:t>
      </w:r>
    </w:p>
    <w:p w:rsidR="00186A21" w:rsidRPr="00186A21" w:rsidRDefault="00186A21" w:rsidP="00D365E7">
      <w:pPr>
        <w:jc w:val="both"/>
        <w:rPr>
          <w:rFonts w:ascii="Aptos" w:hAnsi="Aptos" w:cstheme="minorHAnsi"/>
          <w:sz w:val="24"/>
          <w:szCs w:val="24"/>
        </w:rPr>
      </w:pPr>
      <w:r w:rsidRPr="00186A21">
        <w:rPr>
          <w:rFonts w:ascii="Aptos" w:hAnsi="Aptos" w:cstheme="minorHAnsi" w:hint="eastAsia"/>
          <w:sz w:val="24"/>
          <w:szCs w:val="24"/>
          <w:lang w:val="en-US"/>
        </w:rPr>
        <w:t xml:space="preserve">Betts, Richard A., Chris D. Jones, Jeff R. Knight, Ralph F. Keeling, and John J. Kennedy. 2016. </w:t>
      </w:r>
      <w:r>
        <w:rPr>
          <w:rFonts w:ascii="Aptos" w:hAnsi="Aptos" w:cstheme="minorHAnsi"/>
          <w:sz w:val="24"/>
          <w:szCs w:val="24"/>
          <w:lang w:val="en-US"/>
        </w:rPr>
        <w:t>“</w:t>
      </w:r>
      <w:r w:rsidRPr="00186A21">
        <w:rPr>
          <w:rFonts w:ascii="Aptos" w:hAnsi="Aptos" w:cstheme="minorHAnsi" w:hint="eastAsia"/>
          <w:sz w:val="24"/>
          <w:szCs w:val="24"/>
          <w:lang w:val="en-US"/>
        </w:rPr>
        <w:t xml:space="preserve">El Niño and a Record </w:t>
      </w:r>
      <w:r>
        <w:rPr>
          <w:rFonts w:ascii="Aptos" w:hAnsi="Aptos" w:cstheme="minorHAnsi" w:hint="eastAsia"/>
          <w:sz w:val="24"/>
          <w:szCs w:val="24"/>
          <w:lang w:val="en-US"/>
        </w:rPr>
        <w:t>CO</w:t>
      </w:r>
      <w:r w:rsidRPr="00186A21">
        <w:rPr>
          <w:rFonts w:ascii="Aptos" w:hAnsi="Aptos" w:cstheme="minorHAnsi" w:hint="eastAsia"/>
          <w:sz w:val="24"/>
          <w:szCs w:val="24"/>
          <w:vertAlign w:val="subscript"/>
          <w:lang w:val="en-US"/>
        </w:rPr>
        <w:t>2</w:t>
      </w:r>
      <w:r w:rsidRPr="00186A21">
        <w:rPr>
          <w:rFonts w:ascii="Aptos" w:hAnsi="Aptos" w:cstheme="minorHAnsi" w:hint="eastAsia"/>
          <w:sz w:val="24"/>
          <w:szCs w:val="24"/>
          <w:lang w:val="en-US"/>
        </w:rPr>
        <w:t xml:space="preserve"> Rise.</w:t>
      </w:r>
      <w:r>
        <w:rPr>
          <w:rFonts w:ascii="Aptos" w:hAnsi="Aptos" w:cstheme="minorHAnsi"/>
          <w:sz w:val="24"/>
          <w:szCs w:val="24"/>
          <w:lang w:val="en-US"/>
        </w:rPr>
        <w:t>”</w:t>
      </w:r>
      <w:r w:rsidRPr="00186A21">
        <w:rPr>
          <w:rFonts w:ascii="Aptos" w:hAnsi="Aptos" w:cstheme="minorHAnsi" w:hint="eastAsia"/>
          <w:sz w:val="24"/>
          <w:szCs w:val="24"/>
          <w:lang w:val="en-US"/>
        </w:rPr>
        <w:t xml:space="preserve"> Nature Climate Change 6 (9): 806</w:t>
      </w:r>
      <w:r w:rsidRPr="00186A21">
        <w:rPr>
          <w:rFonts w:ascii="Aptos" w:hAnsi="Aptos" w:cstheme="minorHAnsi" w:hint="eastAsia"/>
          <w:sz w:val="24"/>
          <w:szCs w:val="24"/>
          <w:lang w:val="en-US"/>
        </w:rPr>
        <w:t>–</w:t>
      </w:r>
      <w:r w:rsidRPr="00186A21">
        <w:rPr>
          <w:rFonts w:ascii="Aptos" w:hAnsi="Aptos" w:cstheme="minorHAnsi" w:hint="eastAsia"/>
          <w:sz w:val="24"/>
          <w:szCs w:val="24"/>
          <w:lang w:val="en-US"/>
        </w:rPr>
        <w:t xml:space="preserve">10. </w:t>
      </w:r>
      <w:hyperlink r:id="rId8" w:history="1">
        <w:r w:rsidRPr="00186A21">
          <w:rPr>
            <w:rStyle w:val="Hyperlink"/>
            <w:rFonts w:ascii="Aptos" w:hAnsi="Aptos" w:cstheme="minorHAnsi" w:hint="eastAsia"/>
            <w:sz w:val="24"/>
            <w:szCs w:val="24"/>
          </w:rPr>
          <w:t>https://doi.org/10.1038/nclimate3063</w:t>
        </w:r>
      </w:hyperlink>
      <w:r w:rsidRPr="00186A21">
        <w:rPr>
          <w:rFonts w:ascii="Aptos" w:hAnsi="Aptos" w:cstheme="minorHAnsi" w:hint="eastAsia"/>
          <w:sz w:val="24"/>
          <w:szCs w:val="24"/>
        </w:rPr>
        <w:t>.</w:t>
      </w:r>
    </w:p>
    <w:p w:rsidR="00186A21" w:rsidRDefault="00186A21" w:rsidP="00D365E7">
      <w:pPr>
        <w:jc w:val="both"/>
        <w:rPr>
          <w:rFonts w:ascii="Aptos" w:hAnsi="Aptos" w:cstheme="minorHAnsi"/>
          <w:sz w:val="24"/>
          <w:szCs w:val="24"/>
          <w:lang w:val="en-US"/>
        </w:rPr>
      </w:pPr>
      <w:r w:rsidRPr="00186A21">
        <w:rPr>
          <w:rFonts w:ascii="Aptos" w:hAnsi="Aptos" w:cstheme="minorHAnsi"/>
          <w:sz w:val="24"/>
          <w:szCs w:val="24"/>
        </w:rPr>
        <w:t xml:space="preserve">Chatterjee, A., M. M. </w:t>
      </w:r>
      <w:proofErr w:type="spellStart"/>
      <w:r w:rsidRPr="00186A21">
        <w:rPr>
          <w:rFonts w:ascii="Aptos" w:hAnsi="Aptos" w:cstheme="minorHAnsi"/>
          <w:sz w:val="24"/>
          <w:szCs w:val="24"/>
        </w:rPr>
        <w:t>Gierach</w:t>
      </w:r>
      <w:proofErr w:type="spellEnd"/>
      <w:r w:rsidRPr="00186A21">
        <w:rPr>
          <w:rFonts w:ascii="Aptos" w:hAnsi="Aptos" w:cstheme="minorHAnsi"/>
          <w:sz w:val="24"/>
          <w:szCs w:val="24"/>
        </w:rPr>
        <w:t xml:space="preserve">, A. J. Sutton, et al. 2017. </w:t>
      </w:r>
      <w:r w:rsidRPr="00186A21">
        <w:rPr>
          <w:rFonts w:ascii="Aptos" w:hAnsi="Aptos" w:cstheme="minorHAnsi"/>
          <w:sz w:val="24"/>
          <w:szCs w:val="24"/>
          <w:lang w:val="en-US"/>
        </w:rPr>
        <w:t>“Influen</w:t>
      </w:r>
      <w:r w:rsidR="004D51B0">
        <w:rPr>
          <w:rFonts w:ascii="Aptos" w:hAnsi="Aptos" w:cstheme="minorHAnsi"/>
          <w:sz w:val="24"/>
          <w:szCs w:val="24"/>
          <w:lang w:val="en-US"/>
        </w:rPr>
        <w:t>ce of El Niño on Atmospheric CO</w:t>
      </w:r>
      <w:r w:rsidRPr="004D51B0">
        <w:rPr>
          <w:rFonts w:ascii="Aptos" w:hAnsi="Aptos" w:cstheme="minorHAnsi"/>
          <w:sz w:val="24"/>
          <w:szCs w:val="24"/>
          <w:vertAlign w:val="subscript"/>
          <w:lang w:val="en-US"/>
        </w:rPr>
        <w:t>2</w:t>
      </w:r>
      <w:r w:rsidRPr="00186A21">
        <w:rPr>
          <w:rFonts w:ascii="Aptos" w:hAnsi="Aptos" w:cstheme="minorHAnsi"/>
          <w:sz w:val="24"/>
          <w:szCs w:val="24"/>
          <w:lang w:val="en-US"/>
        </w:rPr>
        <w:t xml:space="preserve"> over the Tropical Pacific Ocean: Findings from NASA’s OCO-2 Mission.” Science 358 (6360): eaam5776. </w:t>
      </w:r>
      <w:hyperlink r:id="rId9" w:history="1">
        <w:r w:rsidR="004633EA" w:rsidRPr="007533AE">
          <w:rPr>
            <w:rStyle w:val="Hyperlink"/>
            <w:rFonts w:ascii="Aptos" w:hAnsi="Aptos" w:cstheme="minorHAnsi"/>
            <w:sz w:val="24"/>
            <w:szCs w:val="24"/>
            <w:lang w:val="en-US"/>
          </w:rPr>
          <w:t>https://doi.org/10.1126/science.aam5776</w:t>
        </w:r>
      </w:hyperlink>
      <w:r w:rsidRPr="00186A21">
        <w:rPr>
          <w:rFonts w:ascii="Aptos" w:hAnsi="Aptos" w:cstheme="minorHAnsi"/>
          <w:sz w:val="24"/>
          <w:szCs w:val="24"/>
          <w:lang w:val="en-US"/>
        </w:rPr>
        <w:t>.</w:t>
      </w:r>
    </w:p>
    <w:p w:rsidR="004633EA" w:rsidRPr="00186A21" w:rsidRDefault="004633EA" w:rsidP="00D365E7">
      <w:pPr>
        <w:jc w:val="both"/>
        <w:rPr>
          <w:rFonts w:ascii="Aptos" w:hAnsi="Aptos" w:cstheme="minorHAnsi"/>
          <w:sz w:val="24"/>
          <w:szCs w:val="24"/>
          <w:lang w:val="en-US"/>
        </w:rPr>
      </w:pPr>
      <w:proofErr w:type="spellStart"/>
      <w:r w:rsidRPr="00696D9E">
        <w:rPr>
          <w:rFonts w:ascii="Aptos" w:hAnsi="Aptos" w:cstheme="minorHAnsi"/>
          <w:sz w:val="24"/>
          <w:szCs w:val="24"/>
          <w:lang w:val="en-GB"/>
        </w:rPr>
        <w:t>Friedlingstein</w:t>
      </w:r>
      <w:proofErr w:type="spellEnd"/>
      <w:r w:rsidRPr="00696D9E">
        <w:rPr>
          <w:rFonts w:ascii="Aptos" w:hAnsi="Aptos" w:cstheme="minorHAnsi"/>
          <w:sz w:val="24"/>
          <w:szCs w:val="24"/>
          <w:lang w:val="en-GB"/>
        </w:rPr>
        <w:t xml:space="preserve">, Pierre, Michael O'Sullivan, Matthew W. Jones, et al. 2025. </w:t>
      </w:r>
      <w:r w:rsidRPr="004633EA">
        <w:rPr>
          <w:rFonts w:ascii="Aptos" w:hAnsi="Aptos" w:cstheme="minorHAnsi"/>
          <w:sz w:val="24"/>
          <w:szCs w:val="24"/>
          <w:lang w:val="en-US"/>
        </w:rPr>
        <w:t>“Global Carbon Budget 2024.” Earth System Science Data 17 (2): 965–1039. https://doi.org/10.5194/essd-17-965-2025.</w:t>
      </w:r>
    </w:p>
    <w:p w:rsidR="00B87193" w:rsidRPr="00186A21" w:rsidRDefault="00B87193" w:rsidP="00D365E7">
      <w:pPr>
        <w:jc w:val="both"/>
        <w:rPr>
          <w:rFonts w:ascii="Aptos" w:hAnsi="Aptos" w:cstheme="minorHAnsi"/>
          <w:sz w:val="24"/>
          <w:szCs w:val="24"/>
          <w:lang w:val="en-US"/>
        </w:rPr>
      </w:pPr>
      <w:r w:rsidRPr="00186A21">
        <w:rPr>
          <w:rFonts w:ascii="Aptos" w:hAnsi="Aptos" w:cstheme="minorHAnsi"/>
          <w:sz w:val="24"/>
          <w:szCs w:val="24"/>
          <w:lang w:val="en-US"/>
        </w:rPr>
        <w:t>Scripps Institution of Oce</w:t>
      </w:r>
      <w:r w:rsidR="00186A21">
        <w:rPr>
          <w:rFonts w:ascii="Aptos" w:hAnsi="Aptos" w:cstheme="minorHAnsi"/>
          <w:sz w:val="24"/>
          <w:szCs w:val="24"/>
          <w:lang w:val="en-US"/>
        </w:rPr>
        <w:t>anography. 2024. The Scripps CO</w:t>
      </w:r>
      <w:r w:rsidRPr="00186A21">
        <w:rPr>
          <w:rFonts w:ascii="Aptos" w:hAnsi="Aptos" w:cstheme="minorHAnsi"/>
          <w:sz w:val="24"/>
          <w:szCs w:val="24"/>
          <w:vertAlign w:val="subscript"/>
          <w:lang w:val="en-US"/>
        </w:rPr>
        <w:t>2</w:t>
      </w:r>
      <w:r w:rsidRPr="00186A21">
        <w:rPr>
          <w:rFonts w:ascii="Aptos" w:hAnsi="Aptos" w:cstheme="minorHAnsi"/>
          <w:sz w:val="24"/>
          <w:szCs w:val="24"/>
          <w:lang w:val="en-US"/>
        </w:rPr>
        <w:t xml:space="preserve"> Program. </w:t>
      </w:r>
      <w:hyperlink r:id="rId10" w:history="1">
        <w:r w:rsidRPr="00186A21">
          <w:rPr>
            <w:rStyle w:val="Hyperlink"/>
            <w:rFonts w:ascii="Aptos" w:hAnsi="Aptos" w:cstheme="minorHAnsi"/>
            <w:sz w:val="24"/>
            <w:szCs w:val="24"/>
            <w:lang w:val="en-US"/>
          </w:rPr>
          <w:t>Https://scrippsco2.ucsd.edu</w:t>
        </w:r>
      </w:hyperlink>
      <w:r w:rsidRPr="00186A21">
        <w:rPr>
          <w:rFonts w:ascii="Aptos" w:hAnsi="Aptos" w:cstheme="minorHAnsi"/>
          <w:sz w:val="24"/>
          <w:szCs w:val="24"/>
          <w:lang w:val="en-US"/>
        </w:rPr>
        <w:t>.</w:t>
      </w:r>
    </w:p>
    <w:p w:rsidR="00B87193" w:rsidRPr="00186A21" w:rsidRDefault="00B87193" w:rsidP="00D365E7">
      <w:pPr>
        <w:jc w:val="both"/>
        <w:rPr>
          <w:rFonts w:ascii="Aptos" w:hAnsi="Aptos" w:cstheme="minorHAnsi"/>
          <w:sz w:val="24"/>
          <w:szCs w:val="24"/>
          <w:lang w:val="en-US"/>
        </w:rPr>
      </w:pPr>
      <w:r w:rsidRPr="00186A21">
        <w:rPr>
          <w:rFonts w:ascii="Aptos" w:hAnsi="Aptos" w:cstheme="minorHAnsi"/>
          <w:sz w:val="24"/>
          <w:szCs w:val="24"/>
          <w:lang w:val="en-US"/>
        </w:rPr>
        <w:t xml:space="preserve">Keeling, Charles D., Stephen C. Piper, Robert B. </w:t>
      </w:r>
      <w:proofErr w:type="spellStart"/>
      <w:r w:rsidRPr="00186A21">
        <w:rPr>
          <w:rFonts w:ascii="Aptos" w:hAnsi="Aptos" w:cstheme="minorHAnsi"/>
          <w:sz w:val="24"/>
          <w:szCs w:val="24"/>
          <w:lang w:val="en-US"/>
        </w:rPr>
        <w:t>Bacasto</w:t>
      </w:r>
      <w:r w:rsidR="00186A21">
        <w:rPr>
          <w:rFonts w:ascii="Aptos" w:hAnsi="Aptos" w:cstheme="minorHAnsi"/>
          <w:sz w:val="24"/>
          <w:szCs w:val="24"/>
          <w:lang w:val="en-US"/>
        </w:rPr>
        <w:t>w</w:t>
      </w:r>
      <w:proofErr w:type="spellEnd"/>
      <w:r w:rsidR="00186A21">
        <w:rPr>
          <w:rFonts w:ascii="Aptos" w:hAnsi="Aptos" w:cstheme="minorHAnsi"/>
          <w:sz w:val="24"/>
          <w:szCs w:val="24"/>
          <w:lang w:val="en-US"/>
        </w:rPr>
        <w:t xml:space="preserve">, et al. 2005. “Atmospheric CO2 and </w:t>
      </w:r>
      <w:r w:rsidR="00186A21" w:rsidRPr="00186A21">
        <w:rPr>
          <w:rFonts w:ascii="Aptos" w:hAnsi="Aptos" w:cstheme="minorHAnsi"/>
          <w:sz w:val="24"/>
          <w:szCs w:val="24"/>
          <w:vertAlign w:val="superscript"/>
          <w:lang w:val="en-US"/>
        </w:rPr>
        <w:t>13</w:t>
      </w:r>
      <w:r w:rsidR="00186A21">
        <w:rPr>
          <w:rFonts w:ascii="Aptos" w:hAnsi="Aptos" w:cstheme="minorHAnsi"/>
          <w:sz w:val="24"/>
          <w:szCs w:val="24"/>
          <w:lang w:val="en-US"/>
        </w:rPr>
        <w:t>CO</w:t>
      </w:r>
      <w:r w:rsidRPr="00186A21">
        <w:rPr>
          <w:rFonts w:ascii="Aptos" w:hAnsi="Aptos" w:cstheme="minorHAnsi"/>
          <w:sz w:val="24"/>
          <w:szCs w:val="24"/>
          <w:vertAlign w:val="subscript"/>
          <w:lang w:val="en-US"/>
        </w:rPr>
        <w:t>2</w:t>
      </w:r>
      <w:r w:rsidRPr="00186A21">
        <w:rPr>
          <w:rFonts w:ascii="Aptos" w:hAnsi="Aptos" w:cstheme="minorHAnsi"/>
          <w:sz w:val="24"/>
          <w:szCs w:val="24"/>
          <w:lang w:val="en-US"/>
        </w:rPr>
        <w:t xml:space="preserve"> Exchange with the Terrestrial Biosphere and Oceans from 1978 to 2000: Observations and Carbon Cycle Implications.”</w:t>
      </w:r>
      <w:r w:rsidR="00186A21">
        <w:rPr>
          <w:rFonts w:ascii="Aptos" w:hAnsi="Aptos" w:cstheme="minorHAnsi"/>
          <w:sz w:val="24"/>
          <w:szCs w:val="24"/>
          <w:lang w:val="en-US"/>
        </w:rPr>
        <w:t xml:space="preserve"> In A History of Atmospheric CO</w:t>
      </w:r>
      <w:r w:rsidRPr="00186A21">
        <w:rPr>
          <w:rFonts w:ascii="Aptos" w:hAnsi="Aptos" w:cstheme="minorHAnsi"/>
          <w:sz w:val="24"/>
          <w:szCs w:val="24"/>
          <w:vertAlign w:val="subscript"/>
          <w:lang w:val="en-US"/>
        </w:rPr>
        <w:t xml:space="preserve">2 </w:t>
      </w:r>
      <w:r w:rsidRPr="00186A21">
        <w:rPr>
          <w:rFonts w:ascii="Aptos" w:hAnsi="Aptos" w:cstheme="minorHAnsi"/>
          <w:sz w:val="24"/>
          <w:szCs w:val="24"/>
          <w:lang w:val="en-US"/>
        </w:rPr>
        <w:t xml:space="preserve">and Its Effects on Plants, Animals, and Ecosystems, edited by James R. </w:t>
      </w:r>
      <w:proofErr w:type="spellStart"/>
      <w:r w:rsidRPr="00186A21">
        <w:rPr>
          <w:rFonts w:ascii="Aptos" w:hAnsi="Aptos" w:cstheme="minorHAnsi"/>
          <w:sz w:val="24"/>
          <w:szCs w:val="24"/>
          <w:lang w:val="en-US"/>
        </w:rPr>
        <w:t>Ehleringer</w:t>
      </w:r>
      <w:proofErr w:type="spellEnd"/>
      <w:r w:rsidRPr="00186A21">
        <w:rPr>
          <w:rFonts w:ascii="Aptos" w:hAnsi="Aptos" w:cstheme="minorHAnsi"/>
          <w:sz w:val="24"/>
          <w:szCs w:val="24"/>
          <w:lang w:val="en-US"/>
        </w:rPr>
        <w:t xml:space="preserve">, </w:t>
      </w:r>
      <w:proofErr w:type="spellStart"/>
      <w:r w:rsidRPr="00186A21">
        <w:rPr>
          <w:rFonts w:ascii="Aptos" w:hAnsi="Aptos" w:cstheme="minorHAnsi"/>
          <w:sz w:val="24"/>
          <w:szCs w:val="24"/>
          <w:lang w:val="en-US"/>
        </w:rPr>
        <w:t>Thure</w:t>
      </w:r>
      <w:proofErr w:type="spellEnd"/>
      <w:r w:rsidRPr="00186A21">
        <w:rPr>
          <w:rFonts w:ascii="Aptos" w:hAnsi="Aptos" w:cstheme="minorHAnsi"/>
          <w:sz w:val="24"/>
          <w:szCs w:val="24"/>
          <w:lang w:val="en-US"/>
        </w:rPr>
        <w:t xml:space="preserve"> E. </w:t>
      </w:r>
      <w:proofErr w:type="spellStart"/>
      <w:r w:rsidRPr="00186A21">
        <w:rPr>
          <w:rFonts w:ascii="Aptos" w:hAnsi="Aptos" w:cstheme="minorHAnsi"/>
          <w:sz w:val="24"/>
          <w:szCs w:val="24"/>
          <w:lang w:val="en-US"/>
        </w:rPr>
        <w:t>Cerling</w:t>
      </w:r>
      <w:proofErr w:type="spellEnd"/>
      <w:r w:rsidRPr="00186A21">
        <w:rPr>
          <w:rFonts w:ascii="Aptos" w:hAnsi="Aptos" w:cstheme="minorHAnsi"/>
          <w:sz w:val="24"/>
          <w:szCs w:val="24"/>
          <w:lang w:val="en-US"/>
        </w:rPr>
        <w:t>, and M. Denise Dearing. Springer.</w:t>
      </w:r>
    </w:p>
    <w:sectPr w:rsidR="00B87193" w:rsidRPr="00186A2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Arial"/>
    <w:charset w:val="00"/>
    <w:family w:val="swiss"/>
    <w:pitch w:val="variable"/>
    <w:sig w:usb0="00000001" w:usb1="00000003" w:usb2="00000000" w:usb3="00000000" w:csb0="0000019F" w:csb1="00000000"/>
  </w:font>
  <w:font w:name="等线 Light">
    <w:altName w:val="SimSun"/>
    <w:panose1 w:val="00000000000000000000"/>
    <w:charset w:val="86"/>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771B6C"/>
    <w:multiLevelType w:val="multilevel"/>
    <w:tmpl w:val="4C245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14E158B"/>
    <w:multiLevelType w:val="multilevel"/>
    <w:tmpl w:val="474EC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897"/>
    <w:rsid w:val="000B226E"/>
    <w:rsid w:val="00103AE2"/>
    <w:rsid w:val="00105FC3"/>
    <w:rsid w:val="00166137"/>
    <w:rsid w:val="00185A23"/>
    <w:rsid w:val="00186A21"/>
    <w:rsid w:val="001C4E9B"/>
    <w:rsid w:val="001D4C4F"/>
    <w:rsid w:val="00251DDE"/>
    <w:rsid w:val="002E5E48"/>
    <w:rsid w:val="00336E25"/>
    <w:rsid w:val="003E111F"/>
    <w:rsid w:val="004310A1"/>
    <w:rsid w:val="004633EA"/>
    <w:rsid w:val="004D51B0"/>
    <w:rsid w:val="005030CE"/>
    <w:rsid w:val="005508E5"/>
    <w:rsid w:val="00696D9E"/>
    <w:rsid w:val="006D2FFD"/>
    <w:rsid w:val="006F7780"/>
    <w:rsid w:val="007B13DA"/>
    <w:rsid w:val="00963897"/>
    <w:rsid w:val="00A54DDE"/>
    <w:rsid w:val="00AE1751"/>
    <w:rsid w:val="00B87193"/>
    <w:rsid w:val="00BB7C71"/>
    <w:rsid w:val="00CC31CF"/>
    <w:rsid w:val="00D27A40"/>
    <w:rsid w:val="00D365E7"/>
    <w:rsid w:val="00DA19D6"/>
    <w:rsid w:val="00E464F9"/>
    <w:rsid w:val="00EB4A11"/>
    <w:rsid w:val="00ED44EE"/>
    <w:rsid w:val="00EF00E7"/>
    <w:rsid w:val="00F169E5"/>
    <w:rsid w:val="00FA07FE"/>
    <w:rsid w:val="00FF2A0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439462-8CD1-4B45-9BBC-AB5CF7A5D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Textkrper"/>
    <w:link w:val="berschrift1Zchn"/>
    <w:uiPriority w:val="9"/>
    <w:qFormat/>
    <w:rsid w:val="00186A21"/>
    <w:pPr>
      <w:keepNext/>
      <w:keepLines/>
      <w:spacing w:before="360" w:after="80" w:line="240" w:lineRule="auto"/>
      <w:outlineLvl w:val="0"/>
    </w:pPr>
    <w:rPr>
      <w:rFonts w:asciiTheme="majorHAnsi" w:eastAsiaTheme="majorEastAsia" w:hAnsiTheme="majorHAnsi" w:cstheme="majorBidi"/>
      <w:color w:val="2E74B5" w:themeColor="accent1" w:themeShade="BF"/>
      <w:sz w:val="40"/>
      <w:szCs w:val="40"/>
      <w:lang w:val="en-US"/>
    </w:rPr>
  </w:style>
  <w:style w:type="paragraph" w:styleId="berschrift2">
    <w:name w:val="heading 2"/>
    <w:basedOn w:val="Standard"/>
    <w:link w:val="berschrift2Zchn"/>
    <w:uiPriority w:val="9"/>
    <w:qFormat/>
    <w:rsid w:val="00336E25"/>
    <w:pPr>
      <w:spacing w:before="100" w:beforeAutospacing="1" w:after="100" w:afterAutospacing="1" w:line="240" w:lineRule="auto"/>
      <w:outlineLvl w:val="1"/>
    </w:pPr>
    <w:rPr>
      <w:rFonts w:ascii="Times New Roman" w:eastAsia="Times New Roman" w:hAnsi="Times New Roman" w:cs="Times New Roman"/>
      <w:b/>
      <w:bCs/>
      <w:sz w:val="36"/>
      <w:szCs w:val="36"/>
      <w:lang w:val="en-GB"/>
    </w:rPr>
  </w:style>
  <w:style w:type="paragraph" w:styleId="berschrift3">
    <w:name w:val="heading 3"/>
    <w:basedOn w:val="Standard"/>
    <w:link w:val="berschrift3Zchn"/>
    <w:uiPriority w:val="9"/>
    <w:qFormat/>
    <w:rsid w:val="00336E25"/>
    <w:pPr>
      <w:spacing w:before="100" w:beforeAutospacing="1" w:after="100" w:afterAutospacing="1" w:line="240" w:lineRule="auto"/>
      <w:outlineLvl w:val="2"/>
    </w:pPr>
    <w:rPr>
      <w:rFonts w:ascii="Times New Roman" w:eastAsia="Times New Roman" w:hAnsi="Times New Roman" w:cs="Times New Roman"/>
      <w:b/>
      <w:bCs/>
      <w:sz w:val="27"/>
      <w:szCs w:val="27"/>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thor">
    <w:name w:val="Author"/>
    <w:basedOn w:val="Titel"/>
    <w:next w:val="Textkrper"/>
    <w:qFormat/>
    <w:rsid w:val="00CC31CF"/>
    <w:pPr>
      <w:keepNext/>
      <w:keepLines/>
      <w:spacing w:after="80"/>
      <w:jc w:val="center"/>
    </w:pPr>
    <w:rPr>
      <w:spacing w:val="0"/>
      <w:kern w:val="0"/>
      <w:sz w:val="24"/>
      <w:szCs w:val="24"/>
      <w:lang w:val="en-US"/>
    </w:rPr>
  </w:style>
  <w:style w:type="paragraph" w:styleId="Titel">
    <w:name w:val="Title"/>
    <w:basedOn w:val="Standard"/>
    <w:next w:val="Standard"/>
    <w:link w:val="TitelZchn"/>
    <w:uiPriority w:val="10"/>
    <w:qFormat/>
    <w:rsid w:val="00CC31C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C31CF"/>
    <w:rPr>
      <w:rFonts w:asciiTheme="majorHAnsi" w:eastAsiaTheme="majorEastAsia" w:hAnsiTheme="majorHAnsi" w:cstheme="majorBidi"/>
      <w:spacing w:val="-10"/>
      <w:kern w:val="28"/>
      <w:sz w:val="56"/>
      <w:szCs w:val="56"/>
    </w:rPr>
  </w:style>
  <w:style w:type="paragraph" w:styleId="Textkrper">
    <w:name w:val="Body Text"/>
    <w:basedOn w:val="Standard"/>
    <w:link w:val="TextkrperZchn"/>
    <w:uiPriority w:val="99"/>
    <w:semiHidden/>
    <w:unhideWhenUsed/>
    <w:rsid w:val="00CC31CF"/>
    <w:pPr>
      <w:spacing w:after="120"/>
    </w:pPr>
  </w:style>
  <w:style w:type="character" w:customStyle="1" w:styleId="TextkrperZchn">
    <w:name w:val="Textkörper Zchn"/>
    <w:basedOn w:val="Absatz-Standardschriftart"/>
    <w:link w:val="Textkrper"/>
    <w:uiPriority w:val="99"/>
    <w:semiHidden/>
    <w:rsid w:val="00CC31CF"/>
  </w:style>
  <w:style w:type="paragraph" w:styleId="StandardWeb">
    <w:name w:val="Normal (Web)"/>
    <w:basedOn w:val="Standard"/>
    <w:uiPriority w:val="99"/>
    <w:semiHidden/>
    <w:unhideWhenUsed/>
    <w:rsid w:val="00DA19D6"/>
    <w:rPr>
      <w:rFonts w:ascii="Times New Roman" w:hAnsi="Times New Roman" w:cs="Times New Roman"/>
      <w:sz w:val="24"/>
      <w:szCs w:val="24"/>
    </w:rPr>
  </w:style>
  <w:style w:type="character" w:customStyle="1" w:styleId="berschrift2Zchn">
    <w:name w:val="Überschrift 2 Zchn"/>
    <w:basedOn w:val="Absatz-Standardschriftart"/>
    <w:link w:val="berschrift2"/>
    <w:uiPriority w:val="9"/>
    <w:rsid w:val="00336E25"/>
    <w:rPr>
      <w:rFonts w:ascii="Times New Roman" w:eastAsia="Times New Roman" w:hAnsi="Times New Roman" w:cs="Times New Roman"/>
      <w:b/>
      <w:bCs/>
      <w:sz w:val="36"/>
      <w:szCs w:val="36"/>
      <w:lang w:val="en-GB"/>
    </w:rPr>
  </w:style>
  <w:style w:type="character" w:customStyle="1" w:styleId="berschrift3Zchn">
    <w:name w:val="Überschrift 3 Zchn"/>
    <w:basedOn w:val="Absatz-Standardschriftart"/>
    <w:link w:val="berschrift3"/>
    <w:uiPriority w:val="9"/>
    <w:rsid w:val="00336E25"/>
    <w:rPr>
      <w:rFonts w:ascii="Times New Roman" w:eastAsia="Times New Roman" w:hAnsi="Times New Roman" w:cs="Times New Roman"/>
      <w:b/>
      <w:bCs/>
      <w:sz w:val="27"/>
      <w:szCs w:val="27"/>
      <w:lang w:val="en-GB"/>
    </w:rPr>
  </w:style>
  <w:style w:type="character" w:customStyle="1" w:styleId="math-inline">
    <w:name w:val="math-inline"/>
    <w:basedOn w:val="Absatz-Standardschriftart"/>
    <w:rsid w:val="00336E25"/>
  </w:style>
  <w:style w:type="paragraph" w:styleId="Sprechblasentext">
    <w:name w:val="Balloon Text"/>
    <w:basedOn w:val="Standard"/>
    <w:link w:val="SprechblasentextZchn"/>
    <w:uiPriority w:val="99"/>
    <w:semiHidden/>
    <w:unhideWhenUsed/>
    <w:rsid w:val="00D365E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365E7"/>
    <w:rPr>
      <w:rFonts w:ascii="Segoe UI" w:hAnsi="Segoe UI" w:cs="Segoe UI"/>
      <w:sz w:val="18"/>
      <w:szCs w:val="18"/>
    </w:rPr>
  </w:style>
  <w:style w:type="paragraph" w:customStyle="1" w:styleId="ImageCaption">
    <w:name w:val="Image Caption"/>
    <w:basedOn w:val="Beschriftung"/>
    <w:rsid w:val="00251DDE"/>
    <w:pPr>
      <w:spacing w:after="120"/>
    </w:pPr>
    <w:rPr>
      <w:iCs w:val="0"/>
      <w:color w:val="auto"/>
      <w:sz w:val="24"/>
      <w:szCs w:val="24"/>
      <w:lang w:val="en-US"/>
    </w:rPr>
  </w:style>
  <w:style w:type="paragraph" w:styleId="Beschriftung">
    <w:name w:val="caption"/>
    <w:basedOn w:val="Standard"/>
    <w:next w:val="Standard"/>
    <w:uiPriority w:val="35"/>
    <w:semiHidden/>
    <w:unhideWhenUsed/>
    <w:qFormat/>
    <w:rsid w:val="00251DDE"/>
    <w:pPr>
      <w:spacing w:after="200" w:line="240" w:lineRule="auto"/>
    </w:pPr>
    <w:rPr>
      <w:i/>
      <w:iCs/>
      <w:color w:val="44546A" w:themeColor="text2"/>
      <w:sz w:val="18"/>
      <w:szCs w:val="18"/>
    </w:rPr>
  </w:style>
  <w:style w:type="paragraph" w:customStyle="1" w:styleId="Compact">
    <w:name w:val="Compact"/>
    <w:basedOn w:val="Textkrper"/>
    <w:qFormat/>
    <w:rsid w:val="00251DDE"/>
    <w:pPr>
      <w:spacing w:before="36" w:after="36" w:line="240" w:lineRule="auto"/>
    </w:pPr>
    <w:rPr>
      <w:sz w:val="24"/>
      <w:szCs w:val="24"/>
      <w:lang w:val="en-US"/>
    </w:rPr>
  </w:style>
  <w:style w:type="table" w:customStyle="1" w:styleId="Table">
    <w:name w:val="Table"/>
    <w:semiHidden/>
    <w:unhideWhenUsed/>
    <w:qFormat/>
    <w:rsid w:val="00251DDE"/>
    <w:pPr>
      <w:spacing w:after="200" w:line="240" w:lineRule="auto"/>
    </w:pPr>
    <w:rPr>
      <w:sz w:val="24"/>
      <w:szCs w:val="24"/>
      <w:lang w:val="en-US"/>
    </w:rPr>
    <w:tblPr>
      <w:tblInd w:w="0" w:type="dxa"/>
      <w:tblCellMar>
        <w:top w:w="0" w:type="dxa"/>
        <w:left w:w="108" w:type="dxa"/>
        <w:bottom w:w="0" w:type="dxa"/>
        <w:right w:w="108" w:type="dxa"/>
      </w:tblCellMar>
    </w:tblPr>
    <w:tblStylePr w:type="firstRow">
      <w:tblPr/>
      <w:tcPr>
        <w:tcBorders>
          <w:bottom w:val="single" w:sz="0" w:space="0" w:color="auto"/>
        </w:tcBorders>
        <w:vAlign w:val="bottom"/>
      </w:tcPr>
    </w:tblStylePr>
  </w:style>
  <w:style w:type="character" w:styleId="Hyperlink">
    <w:name w:val="Hyperlink"/>
    <w:basedOn w:val="Absatz-Standardschriftart"/>
    <w:uiPriority w:val="99"/>
    <w:unhideWhenUsed/>
    <w:rsid w:val="00B87193"/>
    <w:rPr>
      <w:color w:val="0563C1" w:themeColor="hyperlink"/>
      <w:u w:val="single"/>
    </w:rPr>
  </w:style>
  <w:style w:type="character" w:customStyle="1" w:styleId="berschrift1Zchn">
    <w:name w:val="Überschrift 1 Zchn"/>
    <w:basedOn w:val="Absatz-Standardschriftart"/>
    <w:link w:val="berschrift1"/>
    <w:uiPriority w:val="9"/>
    <w:rsid w:val="00186A21"/>
    <w:rPr>
      <w:rFonts w:asciiTheme="majorHAnsi" w:eastAsiaTheme="majorEastAsia" w:hAnsiTheme="majorHAnsi" w:cstheme="majorBidi"/>
      <w:color w:val="2E74B5" w:themeColor="accent1" w:themeShade="BF"/>
      <w:sz w:val="40"/>
      <w:szCs w:val="4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404203">
      <w:bodyDiv w:val="1"/>
      <w:marLeft w:val="0"/>
      <w:marRight w:val="0"/>
      <w:marTop w:val="0"/>
      <w:marBottom w:val="0"/>
      <w:divBdr>
        <w:top w:val="none" w:sz="0" w:space="0" w:color="auto"/>
        <w:left w:val="none" w:sz="0" w:space="0" w:color="auto"/>
        <w:bottom w:val="none" w:sz="0" w:space="0" w:color="auto"/>
        <w:right w:val="none" w:sz="0" w:space="0" w:color="auto"/>
      </w:divBdr>
    </w:div>
    <w:div w:id="511342204">
      <w:bodyDiv w:val="1"/>
      <w:marLeft w:val="0"/>
      <w:marRight w:val="0"/>
      <w:marTop w:val="0"/>
      <w:marBottom w:val="0"/>
      <w:divBdr>
        <w:top w:val="none" w:sz="0" w:space="0" w:color="auto"/>
        <w:left w:val="none" w:sz="0" w:space="0" w:color="auto"/>
        <w:bottom w:val="none" w:sz="0" w:space="0" w:color="auto"/>
        <w:right w:val="none" w:sz="0" w:space="0" w:color="auto"/>
      </w:divBdr>
    </w:div>
    <w:div w:id="532766543">
      <w:bodyDiv w:val="1"/>
      <w:marLeft w:val="0"/>
      <w:marRight w:val="0"/>
      <w:marTop w:val="0"/>
      <w:marBottom w:val="0"/>
      <w:divBdr>
        <w:top w:val="none" w:sz="0" w:space="0" w:color="auto"/>
        <w:left w:val="none" w:sz="0" w:space="0" w:color="auto"/>
        <w:bottom w:val="none" w:sz="0" w:space="0" w:color="auto"/>
        <w:right w:val="none" w:sz="0" w:space="0" w:color="auto"/>
      </w:divBdr>
    </w:div>
    <w:div w:id="581986497">
      <w:bodyDiv w:val="1"/>
      <w:marLeft w:val="0"/>
      <w:marRight w:val="0"/>
      <w:marTop w:val="0"/>
      <w:marBottom w:val="0"/>
      <w:divBdr>
        <w:top w:val="none" w:sz="0" w:space="0" w:color="auto"/>
        <w:left w:val="none" w:sz="0" w:space="0" w:color="auto"/>
        <w:bottom w:val="none" w:sz="0" w:space="0" w:color="auto"/>
        <w:right w:val="none" w:sz="0" w:space="0" w:color="auto"/>
      </w:divBdr>
    </w:div>
    <w:div w:id="830290716">
      <w:bodyDiv w:val="1"/>
      <w:marLeft w:val="0"/>
      <w:marRight w:val="0"/>
      <w:marTop w:val="0"/>
      <w:marBottom w:val="0"/>
      <w:divBdr>
        <w:top w:val="none" w:sz="0" w:space="0" w:color="auto"/>
        <w:left w:val="none" w:sz="0" w:space="0" w:color="auto"/>
        <w:bottom w:val="none" w:sz="0" w:space="0" w:color="auto"/>
        <w:right w:val="none" w:sz="0" w:space="0" w:color="auto"/>
      </w:divBdr>
    </w:div>
    <w:div w:id="947783922">
      <w:bodyDiv w:val="1"/>
      <w:marLeft w:val="0"/>
      <w:marRight w:val="0"/>
      <w:marTop w:val="0"/>
      <w:marBottom w:val="0"/>
      <w:divBdr>
        <w:top w:val="none" w:sz="0" w:space="0" w:color="auto"/>
        <w:left w:val="none" w:sz="0" w:space="0" w:color="auto"/>
        <w:bottom w:val="none" w:sz="0" w:space="0" w:color="auto"/>
        <w:right w:val="none" w:sz="0" w:space="0" w:color="auto"/>
      </w:divBdr>
    </w:div>
    <w:div w:id="1198356257">
      <w:bodyDiv w:val="1"/>
      <w:marLeft w:val="0"/>
      <w:marRight w:val="0"/>
      <w:marTop w:val="0"/>
      <w:marBottom w:val="0"/>
      <w:divBdr>
        <w:top w:val="none" w:sz="0" w:space="0" w:color="auto"/>
        <w:left w:val="none" w:sz="0" w:space="0" w:color="auto"/>
        <w:bottom w:val="none" w:sz="0" w:space="0" w:color="auto"/>
        <w:right w:val="none" w:sz="0" w:space="0" w:color="auto"/>
      </w:divBdr>
    </w:div>
    <w:div w:id="1266695325">
      <w:bodyDiv w:val="1"/>
      <w:marLeft w:val="0"/>
      <w:marRight w:val="0"/>
      <w:marTop w:val="0"/>
      <w:marBottom w:val="0"/>
      <w:divBdr>
        <w:top w:val="none" w:sz="0" w:space="0" w:color="auto"/>
        <w:left w:val="none" w:sz="0" w:space="0" w:color="auto"/>
        <w:bottom w:val="none" w:sz="0" w:space="0" w:color="auto"/>
        <w:right w:val="none" w:sz="0" w:space="0" w:color="auto"/>
      </w:divBdr>
      <w:divsChild>
        <w:div w:id="1873692796">
          <w:marLeft w:val="0"/>
          <w:marRight w:val="0"/>
          <w:marTop w:val="0"/>
          <w:marBottom w:val="0"/>
          <w:divBdr>
            <w:top w:val="none" w:sz="0" w:space="0" w:color="auto"/>
            <w:left w:val="none" w:sz="0" w:space="0" w:color="auto"/>
            <w:bottom w:val="none" w:sz="0" w:space="0" w:color="auto"/>
            <w:right w:val="none" w:sz="0" w:space="0" w:color="auto"/>
          </w:divBdr>
          <w:divsChild>
            <w:div w:id="5911485">
              <w:marLeft w:val="0"/>
              <w:marRight w:val="0"/>
              <w:marTop w:val="0"/>
              <w:marBottom w:val="0"/>
              <w:divBdr>
                <w:top w:val="none" w:sz="0" w:space="0" w:color="auto"/>
                <w:left w:val="none" w:sz="0" w:space="0" w:color="auto"/>
                <w:bottom w:val="none" w:sz="0" w:space="0" w:color="auto"/>
                <w:right w:val="none" w:sz="0" w:space="0" w:color="auto"/>
              </w:divBdr>
            </w:div>
          </w:divsChild>
        </w:div>
        <w:div w:id="2130079162">
          <w:marLeft w:val="0"/>
          <w:marRight w:val="0"/>
          <w:marTop w:val="0"/>
          <w:marBottom w:val="0"/>
          <w:divBdr>
            <w:top w:val="none" w:sz="0" w:space="0" w:color="auto"/>
            <w:left w:val="none" w:sz="0" w:space="0" w:color="auto"/>
            <w:bottom w:val="none" w:sz="0" w:space="0" w:color="auto"/>
            <w:right w:val="none" w:sz="0" w:space="0" w:color="auto"/>
          </w:divBdr>
          <w:divsChild>
            <w:div w:id="139743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607899">
      <w:bodyDiv w:val="1"/>
      <w:marLeft w:val="0"/>
      <w:marRight w:val="0"/>
      <w:marTop w:val="0"/>
      <w:marBottom w:val="0"/>
      <w:divBdr>
        <w:top w:val="none" w:sz="0" w:space="0" w:color="auto"/>
        <w:left w:val="none" w:sz="0" w:space="0" w:color="auto"/>
        <w:bottom w:val="none" w:sz="0" w:space="0" w:color="auto"/>
        <w:right w:val="none" w:sz="0" w:space="0" w:color="auto"/>
      </w:divBdr>
    </w:div>
    <w:div w:id="1391617082">
      <w:bodyDiv w:val="1"/>
      <w:marLeft w:val="0"/>
      <w:marRight w:val="0"/>
      <w:marTop w:val="0"/>
      <w:marBottom w:val="0"/>
      <w:divBdr>
        <w:top w:val="none" w:sz="0" w:space="0" w:color="auto"/>
        <w:left w:val="none" w:sz="0" w:space="0" w:color="auto"/>
        <w:bottom w:val="none" w:sz="0" w:space="0" w:color="auto"/>
        <w:right w:val="none" w:sz="0" w:space="0" w:color="auto"/>
      </w:divBdr>
    </w:div>
    <w:div w:id="1514539836">
      <w:bodyDiv w:val="1"/>
      <w:marLeft w:val="0"/>
      <w:marRight w:val="0"/>
      <w:marTop w:val="0"/>
      <w:marBottom w:val="0"/>
      <w:divBdr>
        <w:top w:val="none" w:sz="0" w:space="0" w:color="auto"/>
        <w:left w:val="none" w:sz="0" w:space="0" w:color="auto"/>
        <w:bottom w:val="none" w:sz="0" w:space="0" w:color="auto"/>
        <w:right w:val="none" w:sz="0" w:space="0" w:color="auto"/>
      </w:divBdr>
    </w:div>
    <w:div w:id="1547987507">
      <w:bodyDiv w:val="1"/>
      <w:marLeft w:val="0"/>
      <w:marRight w:val="0"/>
      <w:marTop w:val="0"/>
      <w:marBottom w:val="0"/>
      <w:divBdr>
        <w:top w:val="none" w:sz="0" w:space="0" w:color="auto"/>
        <w:left w:val="none" w:sz="0" w:space="0" w:color="auto"/>
        <w:bottom w:val="none" w:sz="0" w:space="0" w:color="auto"/>
        <w:right w:val="none" w:sz="0" w:space="0" w:color="auto"/>
      </w:divBdr>
    </w:div>
    <w:div w:id="1586256190">
      <w:bodyDiv w:val="1"/>
      <w:marLeft w:val="0"/>
      <w:marRight w:val="0"/>
      <w:marTop w:val="0"/>
      <w:marBottom w:val="0"/>
      <w:divBdr>
        <w:top w:val="none" w:sz="0" w:space="0" w:color="auto"/>
        <w:left w:val="none" w:sz="0" w:space="0" w:color="auto"/>
        <w:bottom w:val="none" w:sz="0" w:space="0" w:color="auto"/>
        <w:right w:val="none" w:sz="0" w:space="0" w:color="auto"/>
      </w:divBdr>
      <w:divsChild>
        <w:div w:id="480661175">
          <w:marLeft w:val="0"/>
          <w:marRight w:val="0"/>
          <w:marTop w:val="0"/>
          <w:marBottom w:val="0"/>
          <w:divBdr>
            <w:top w:val="none" w:sz="0" w:space="0" w:color="auto"/>
            <w:left w:val="none" w:sz="0" w:space="0" w:color="auto"/>
            <w:bottom w:val="none" w:sz="0" w:space="0" w:color="auto"/>
            <w:right w:val="none" w:sz="0" w:space="0" w:color="auto"/>
          </w:divBdr>
          <w:divsChild>
            <w:div w:id="9225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835192">
      <w:bodyDiv w:val="1"/>
      <w:marLeft w:val="0"/>
      <w:marRight w:val="0"/>
      <w:marTop w:val="0"/>
      <w:marBottom w:val="0"/>
      <w:divBdr>
        <w:top w:val="none" w:sz="0" w:space="0" w:color="auto"/>
        <w:left w:val="none" w:sz="0" w:space="0" w:color="auto"/>
        <w:bottom w:val="none" w:sz="0" w:space="0" w:color="auto"/>
        <w:right w:val="none" w:sz="0" w:space="0" w:color="auto"/>
      </w:divBdr>
    </w:div>
    <w:div w:id="173947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8/nclimate3063"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scrippsco2.ucsd.edu" TargetMode="External"/><Relationship Id="rId4" Type="http://schemas.openxmlformats.org/officeDocument/2006/relationships/webSettings" Target="webSettings.xml"/><Relationship Id="rId9" Type="http://schemas.openxmlformats.org/officeDocument/2006/relationships/hyperlink" Target="https://doi.org/10.1126/science.aam577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1584</Words>
  <Characters>9032</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Xiaoyu Sun</dc:creator>
  <cp:keywords/>
  <dc:description/>
  <cp:lastModifiedBy>Xiaoyu Sun</cp:lastModifiedBy>
  <cp:revision>2</cp:revision>
  <dcterms:created xsi:type="dcterms:W3CDTF">2026-02-10T02:12:00Z</dcterms:created>
  <dcterms:modified xsi:type="dcterms:W3CDTF">2026-02-18T03:25:00Z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aa21084e-3c56-45f7-acea-8979ad752112</vt:lpwstr>
  </property>
</Properties>
</file>