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210A2" w14:textId="7AF9C475" w:rsidR="00CA4597" w:rsidRPr="0046473D" w:rsidRDefault="00CA4597" w:rsidP="007046CA">
      <w:pPr>
        <w:spacing w:line="276" w:lineRule="auto"/>
        <w:jc w:val="both"/>
        <w:rPr>
          <w:rFonts w:ascii="Arial" w:hAnsi="Arial" w:cs="Arial"/>
          <w:b/>
          <w:bCs/>
          <w:i/>
          <w:iCs/>
          <w:lang w:val="en-US"/>
        </w:rPr>
      </w:pPr>
      <w:r w:rsidRPr="0046473D">
        <w:rPr>
          <w:rFonts w:ascii="Arial" w:hAnsi="Arial" w:cs="Arial"/>
          <w:b/>
          <w:bCs/>
          <w:i/>
          <w:iCs/>
          <w:lang w:val="en-US"/>
        </w:rPr>
        <w:t>Supplementary Material</w:t>
      </w:r>
    </w:p>
    <w:p w14:paraId="3920B932" w14:textId="1B0D6950" w:rsidR="00CA4597" w:rsidRPr="0046473D" w:rsidRDefault="00CA4597" w:rsidP="007046CA">
      <w:pPr>
        <w:pStyle w:val="ListParagraph"/>
        <w:numPr>
          <w:ilvl w:val="0"/>
          <w:numId w:val="2"/>
        </w:numPr>
        <w:spacing w:line="276" w:lineRule="auto"/>
        <w:jc w:val="both"/>
        <w:rPr>
          <w:rFonts w:ascii="Arial" w:hAnsi="Arial" w:cs="Arial"/>
          <w:b/>
          <w:bCs/>
        </w:rPr>
      </w:pPr>
      <w:proofErr w:type="spellStart"/>
      <w:r w:rsidRPr="0046473D">
        <w:rPr>
          <w:rFonts w:ascii="Arial" w:hAnsi="Arial" w:cs="Arial"/>
          <w:b/>
          <w:bCs/>
        </w:rPr>
        <w:t>Supplementary</w:t>
      </w:r>
      <w:proofErr w:type="spellEnd"/>
      <w:r w:rsidRPr="0046473D">
        <w:rPr>
          <w:rFonts w:ascii="Arial" w:hAnsi="Arial" w:cs="Arial"/>
          <w:b/>
          <w:bCs/>
        </w:rPr>
        <w:t xml:space="preserve"> </w:t>
      </w:r>
      <w:proofErr w:type="spellStart"/>
      <w:r w:rsidRPr="0046473D">
        <w:rPr>
          <w:rFonts w:ascii="Arial" w:hAnsi="Arial" w:cs="Arial"/>
          <w:b/>
          <w:bCs/>
        </w:rPr>
        <w:t>Methods</w:t>
      </w:r>
      <w:proofErr w:type="spellEnd"/>
    </w:p>
    <w:p w14:paraId="237BC32D" w14:textId="412629A9" w:rsidR="00CA4597" w:rsidRPr="0046473D" w:rsidRDefault="00CA4597" w:rsidP="007046CA">
      <w:pPr>
        <w:spacing w:line="276" w:lineRule="auto"/>
        <w:jc w:val="both"/>
        <w:rPr>
          <w:rFonts w:ascii="Arial" w:hAnsi="Arial" w:cs="Arial"/>
          <w:b/>
          <w:bCs/>
        </w:rPr>
      </w:pPr>
      <w:r w:rsidRPr="0046473D">
        <w:rPr>
          <w:rFonts w:ascii="Arial" w:hAnsi="Arial" w:cs="Arial"/>
          <w:b/>
          <w:bCs/>
        </w:rPr>
        <w:t>Bayesian hierarchical beta-binomial regression</w:t>
      </w:r>
    </w:p>
    <w:p w14:paraId="6C328FBA" w14:textId="77777777" w:rsidR="00CA4597" w:rsidRPr="0046473D" w:rsidRDefault="00CA4597" w:rsidP="007046CA">
      <w:pPr>
        <w:pStyle w:val="NormalWeb"/>
        <w:spacing w:before="0" w:beforeAutospacing="0" w:after="120" w:afterAutospacing="0" w:line="276" w:lineRule="auto"/>
        <w:jc w:val="both"/>
        <w:rPr>
          <w:rFonts w:ascii="Arial" w:hAnsi="Arial" w:cs="Arial"/>
        </w:rPr>
      </w:pPr>
      <w:r w:rsidRPr="0046473D">
        <w:rPr>
          <w:rFonts w:ascii="Arial" w:hAnsi="Arial" w:cs="Arial"/>
          <w:b/>
          <w:bCs/>
          <w:color w:val="000000"/>
        </w:rPr>
        <w:t>Prior Specifications </w:t>
      </w:r>
    </w:p>
    <w:p w14:paraId="6AC0C43C" w14:textId="77777777" w:rsidR="00CA4597" w:rsidRPr="0046473D" w:rsidRDefault="00CA4597" w:rsidP="007046CA">
      <w:pPr>
        <w:pStyle w:val="NormalWeb"/>
        <w:spacing w:before="0" w:beforeAutospacing="0" w:after="120" w:afterAutospacing="0" w:line="276" w:lineRule="auto"/>
        <w:jc w:val="both"/>
        <w:rPr>
          <w:rFonts w:ascii="Arial" w:hAnsi="Arial" w:cs="Arial"/>
        </w:rPr>
      </w:pPr>
      <w:r w:rsidRPr="0046473D">
        <w:rPr>
          <w:rFonts w:ascii="Arial" w:hAnsi="Arial" w:cs="Arial"/>
          <w:color w:val="000000"/>
        </w:rPr>
        <w:t xml:space="preserve">Weakly informative zero-centered Gaussian priors were used for regression coefficients in the mean model (fixed effects), used as implemented by default in the </w:t>
      </w:r>
      <w:r w:rsidRPr="0046473D">
        <w:rPr>
          <w:rFonts w:ascii="Arial" w:hAnsi="Arial" w:cs="Arial"/>
          <w:i/>
          <w:iCs/>
          <w:color w:val="000000"/>
        </w:rPr>
        <w:t xml:space="preserve">INLA-R </w:t>
      </w:r>
      <w:r w:rsidRPr="0046473D">
        <w:rPr>
          <w:rFonts w:ascii="Arial" w:hAnsi="Arial" w:cs="Arial"/>
          <w:color w:val="000000"/>
        </w:rPr>
        <w:t>package; while for hierarchical (random-effect) components, we used penalized complexity (PC) priors on precision to favor simpler (lower-variance) models unless the data strongly supported heterogeneity. These choices aimed to estimate data-driven posterior estimates, while also providing principled regularization, improving numerical stability and guarding against overfitting. </w:t>
      </w:r>
    </w:p>
    <w:p w14:paraId="003520C5" w14:textId="77777777" w:rsidR="00CA4597" w:rsidRPr="0046473D" w:rsidRDefault="00CA4597" w:rsidP="007046CA">
      <w:pPr>
        <w:pStyle w:val="NormalWeb"/>
        <w:spacing w:before="0" w:beforeAutospacing="0" w:after="120" w:afterAutospacing="0" w:line="276" w:lineRule="auto"/>
        <w:jc w:val="both"/>
        <w:rPr>
          <w:rFonts w:ascii="Arial" w:hAnsi="Arial" w:cs="Arial"/>
        </w:rPr>
      </w:pPr>
      <w:r w:rsidRPr="0046473D">
        <w:rPr>
          <w:rFonts w:ascii="Arial" w:hAnsi="Arial" w:cs="Arial"/>
          <w:b/>
          <w:bCs/>
          <w:color w:val="000000"/>
        </w:rPr>
        <w:t>Likelihood function (Beta-Binomial for course-level counts)</w:t>
      </w:r>
    </w:p>
    <w:p w14:paraId="003FAC07" w14:textId="523A78E6" w:rsidR="00CA4597" w:rsidRPr="0046473D" w:rsidRDefault="00CA4597" w:rsidP="007046CA">
      <w:pPr>
        <w:pStyle w:val="NormalWeb"/>
        <w:spacing w:before="0" w:beforeAutospacing="0" w:after="120" w:afterAutospacing="0" w:line="276" w:lineRule="auto"/>
        <w:jc w:val="both"/>
        <w:rPr>
          <w:rFonts w:ascii="Arial" w:hAnsi="Arial" w:cs="Arial"/>
          <w:color w:val="000000"/>
          <w:lang w:val="pt-BR"/>
        </w:rPr>
      </w:pPr>
      <w:r w:rsidRPr="0046473D">
        <w:rPr>
          <w:rFonts w:ascii="Arial" w:hAnsi="Arial" w:cs="Arial"/>
          <w:color w:val="000000"/>
        </w:rPr>
        <w:t>The primary outcome was modeled as a count conditional on the number tested using a beta-binomial likelihood:</w:t>
      </w:r>
    </w:p>
    <w:p w14:paraId="2C77B707" w14:textId="01B05D80" w:rsidR="00CA4597" w:rsidRPr="0046473D" w:rsidRDefault="00CA4597" w:rsidP="007046CA">
      <w:pPr>
        <w:pStyle w:val="NormalWeb"/>
        <w:spacing w:before="0" w:beforeAutospacing="0" w:after="120" w:afterAutospacing="0" w:line="276" w:lineRule="auto"/>
        <w:jc w:val="both"/>
        <w:rPr>
          <w:rFonts w:ascii="Arial" w:hAnsi="Arial" w:cs="Arial"/>
          <w:lang w:val="pt-BR"/>
        </w:rPr>
      </w:pPr>
      <m:oMathPara>
        <m:oMath>
          <m:r>
            <w:rPr>
              <w:rFonts w:ascii="Cambria Math" w:hAnsi="Cambria Math" w:cs="Arial"/>
              <w:lang w:val="pt-BR"/>
            </w:rPr>
            <m:t>yi​∣ni​,pi​∼Beta_Binomial(ni,pi​)</m:t>
          </m:r>
        </m:oMath>
      </m:oMathPara>
    </w:p>
    <w:p w14:paraId="25B73555" w14:textId="77777777" w:rsidR="00CA4597" w:rsidRPr="0046473D" w:rsidRDefault="00CA4597" w:rsidP="007046CA">
      <w:pPr>
        <w:pStyle w:val="NormalWeb"/>
        <w:spacing w:before="0" w:beforeAutospacing="0" w:after="120" w:afterAutospacing="0" w:line="276" w:lineRule="auto"/>
        <w:jc w:val="both"/>
        <w:rPr>
          <w:rFonts w:ascii="Arial" w:hAnsi="Arial" w:cs="Arial"/>
        </w:rPr>
      </w:pPr>
      <w:r w:rsidRPr="0046473D">
        <w:rPr>
          <w:rFonts w:ascii="Arial" w:hAnsi="Arial" w:cs="Arial"/>
          <w:color w:val="000000"/>
        </w:rPr>
        <w:t>This choice directly models the number of proficient examinees (</w:t>
      </w:r>
      <w:proofErr w:type="spellStart"/>
      <w:r w:rsidRPr="0046473D">
        <w:rPr>
          <w:rFonts w:ascii="Arial" w:hAnsi="Arial" w:cs="Arial"/>
          <w:color w:val="000000"/>
        </w:rPr>
        <w:t>yi</w:t>
      </w:r>
      <w:proofErr w:type="spellEnd"/>
      <w:r w:rsidRPr="0046473D">
        <w:rPr>
          <w:rFonts w:ascii="Arial" w:hAnsi="Arial" w:cs="Arial"/>
          <w:color w:val="000000"/>
        </w:rPr>
        <w:t>) out of the total examinees per course (</w:t>
      </w:r>
      <w:proofErr w:type="spellStart"/>
      <w:r w:rsidRPr="0046473D">
        <w:rPr>
          <w:rFonts w:ascii="Arial" w:hAnsi="Arial" w:cs="Arial"/>
          <w:color w:val="000000"/>
        </w:rPr>
        <w:t>ni</w:t>
      </w:r>
      <w:proofErr w:type="spellEnd"/>
      <w:r w:rsidRPr="0046473D">
        <w:rPr>
          <w:rFonts w:ascii="Arial" w:hAnsi="Arial" w:cs="Arial"/>
          <w:color w:val="000000"/>
        </w:rPr>
        <w:t xml:space="preserve">), given the latent course-level proficiency probability (pi); while also allowing </w:t>
      </w:r>
      <w:r w:rsidRPr="0046473D">
        <w:rPr>
          <w:rFonts w:ascii="Arial" w:hAnsi="Arial" w:cs="Arial"/>
          <w:i/>
          <w:iCs/>
          <w:color w:val="000000"/>
        </w:rPr>
        <w:t>extra-binomial variability</w:t>
      </w:r>
      <w:r w:rsidRPr="0046473D">
        <w:rPr>
          <w:rFonts w:ascii="Arial" w:hAnsi="Arial" w:cs="Arial"/>
          <w:color w:val="000000"/>
        </w:rPr>
        <w:t xml:space="preserve"> (overdispersion) across courses, an important feature to partially account for unmeasured course-level differences that can induce more variability than a strict binomial model would detect. </w:t>
      </w:r>
    </w:p>
    <w:p w14:paraId="0085D109" w14:textId="77777777" w:rsidR="00CA4597" w:rsidRPr="0046473D" w:rsidRDefault="00CA4597" w:rsidP="007046CA">
      <w:pPr>
        <w:pStyle w:val="NormalWeb"/>
        <w:spacing w:before="0" w:beforeAutospacing="0" w:after="120" w:afterAutospacing="0" w:line="276" w:lineRule="auto"/>
        <w:jc w:val="both"/>
        <w:rPr>
          <w:rFonts w:ascii="Arial" w:hAnsi="Arial" w:cs="Arial"/>
        </w:rPr>
      </w:pPr>
      <w:r w:rsidRPr="0046473D">
        <w:rPr>
          <w:rFonts w:ascii="Arial" w:hAnsi="Arial" w:cs="Arial"/>
          <w:color w:val="000000"/>
        </w:rPr>
        <w:t xml:space="preserve">To estimate the probability of graduating proficient students per course </w:t>
      </w:r>
      <w:r w:rsidRPr="0046473D">
        <w:rPr>
          <w:rFonts w:ascii="Arial" w:hAnsi="Arial" w:cs="Arial"/>
          <w:i/>
          <w:iCs/>
          <w:color w:val="000000"/>
        </w:rPr>
        <w:t>(</w:t>
      </w:r>
      <w:r w:rsidRPr="0046473D">
        <w:rPr>
          <w:rFonts w:ascii="Arial" w:hAnsi="Arial" w:cs="Arial"/>
          <w:color w:val="000000"/>
        </w:rPr>
        <w:t>pi​</w:t>
      </w:r>
      <w:r w:rsidRPr="0046473D">
        <w:rPr>
          <w:rFonts w:ascii="Arial" w:hAnsi="Arial" w:cs="Arial"/>
          <w:i/>
          <w:iCs/>
          <w:color w:val="000000"/>
        </w:rPr>
        <w:t>)</w:t>
      </w:r>
      <w:r w:rsidRPr="0046473D">
        <w:rPr>
          <w:rFonts w:ascii="Arial" w:hAnsi="Arial" w:cs="Arial"/>
          <w:b/>
          <w:bCs/>
          <w:color w:val="000000"/>
        </w:rPr>
        <w:t xml:space="preserve"> </w:t>
      </w:r>
      <w:r w:rsidRPr="0046473D">
        <w:rPr>
          <w:rFonts w:ascii="Arial" w:hAnsi="Arial" w:cs="Arial"/>
          <w:color w:val="000000"/>
        </w:rPr>
        <w:t>we fit a Bayesian hierarchical multivariate model using a logit link: </w:t>
      </w:r>
    </w:p>
    <w:p w14:paraId="7FF3EB6A" w14:textId="56E69B01" w:rsidR="00CA4597" w:rsidRPr="0046473D" w:rsidRDefault="00CA4597" w:rsidP="007046CA">
      <w:pPr>
        <w:pStyle w:val="NormalWeb"/>
        <w:spacing w:before="0" w:beforeAutospacing="0" w:after="120" w:afterAutospacing="0" w:line="276" w:lineRule="auto"/>
        <w:jc w:val="both"/>
        <w:rPr>
          <w:rFonts w:ascii="Arial" w:hAnsi="Arial" w:cs="Arial"/>
          <w:color w:val="000000"/>
        </w:rPr>
      </w:pPr>
      <m:oMathPara>
        <m:oMath>
          <m:r>
            <w:rPr>
              <w:rFonts w:ascii="Cambria Math" w:hAnsi="Cambria Math" w:cs="Arial"/>
              <w:color w:val="000000"/>
            </w:rPr>
            <m:t>logit(pi)=$</m:t>
          </m:r>
          <m:sSub>
            <m:sSubPr>
              <m:ctrlPr>
                <w:rPr>
                  <w:rFonts w:ascii="Cambria Math" w:hAnsi="Cambria Math" w:cs="Arial"/>
                  <w:i/>
                  <w:color w:val="000000"/>
                </w:rPr>
              </m:ctrlPr>
            </m:sSubPr>
            <m:e>
              <m:r>
                <w:rPr>
                  <w:rFonts w:ascii="Cambria Math" w:hAnsi="Cambria Math" w:cs="Arial"/>
                  <w:color w:val="000000"/>
                </w:rPr>
                <m:t>β</m:t>
              </m:r>
            </m:e>
            <m:sub>
              <m:r>
                <w:rPr>
                  <w:rFonts w:ascii="Cambria Math" w:hAnsi="Cambria Math" w:cs="Arial"/>
                  <w:color w:val="000000"/>
                </w:rPr>
                <m:t>0</m:t>
              </m:r>
            </m:sub>
          </m:sSub>
          <m:r>
            <w:rPr>
              <w:rFonts w:ascii="Cambria Math" w:hAnsi="Cambria Math" w:cs="Arial"/>
              <w:color w:val="000000"/>
            </w:rPr>
            <m:t>+$</m:t>
          </m:r>
          <m:sSup>
            <m:sSupPr>
              <m:ctrlPr>
                <w:rPr>
                  <w:rFonts w:ascii="Cambria Math" w:hAnsi="Cambria Math" w:cs="Arial"/>
                  <w:i/>
                  <w:color w:val="000000"/>
                </w:rPr>
              </m:ctrlPr>
            </m:sSupPr>
            <m:e>
              <m:r>
                <w:rPr>
                  <w:rFonts w:ascii="Cambria Math" w:hAnsi="Cambria Math" w:cs="Arial"/>
                  <w:color w:val="000000"/>
                </w:rPr>
                <m:t>β</m:t>
              </m:r>
            </m:e>
            <m:sup>
              <m:r>
                <w:rPr>
                  <w:rFonts w:ascii="Cambria Math" w:hAnsi="Cambria Math" w:cs="Arial"/>
                  <w:color w:val="000000"/>
                </w:rPr>
                <m:t>T</m:t>
              </m:r>
            </m:sup>
          </m:sSup>
          <m:r>
            <w:rPr>
              <w:rFonts w:ascii="Cambria Math" w:hAnsi="Cambria Math" w:cs="Arial"/>
              <w:color w:val="000000"/>
            </w:rPr>
            <m:t>Xi+</m:t>
          </m:r>
          <m:sSub>
            <m:sSubPr>
              <m:ctrlPr>
                <w:rPr>
                  <w:rFonts w:ascii="Cambria Math" w:hAnsi="Cambria Math" w:cs="Arial"/>
                  <w:i/>
                  <w:color w:val="000000"/>
                </w:rPr>
              </m:ctrlPr>
            </m:sSubPr>
            <m:e>
              <m:r>
                <w:rPr>
                  <w:rFonts w:ascii="Cambria Math" w:hAnsi="Cambria Math" w:cs="Arial"/>
                  <w:color w:val="000000"/>
                </w:rPr>
                <m:t>u</m:t>
              </m:r>
            </m:e>
            <m:sub>
              <m:r>
                <w:rPr>
                  <w:rFonts w:ascii="Cambria Math" w:hAnsi="Cambria Math" w:cs="Arial"/>
                  <w:color w:val="000000"/>
                </w:rPr>
                <m:t>state</m:t>
              </m:r>
              <m:d>
                <m:dPr>
                  <m:ctrlPr>
                    <w:rPr>
                      <w:rFonts w:ascii="Cambria Math" w:hAnsi="Cambria Math" w:cs="Arial"/>
                      <w:i/>
                      <w:color w:val="000000"/>
                    </w:rPr>
                  </m:ctrlPr>
                </m:dPr>
                <m:e>
                  <m:r>
                    <w:rPr>
                      <w:rFonts w:ascii="Cambria Math" w:hAnsi="Cambria Math" w:cs="Arial"/>
                      <w:color w:val="000000"/>
                    </w:rPr>
                    <m:t>i</m:t>
                  </m:r>
                </m:e>
              </m:d>
            </m:sub>
          </m:sSub>
          <m:r>
            <w:rPr>
              <w:rFonts w:ascii="Cambria Math" w:hAnsi="Cambria Math" w:cs="Arial"/>
              <w:color w:val="000000"/>
            </w:rPr>
            <m:t>+</m:t>
          </m:r>
          <m:sSub>
            <m:sSubPr>
              <m:ctrlPr>
                <w:rPr>
                  <w:rFonts w:ascii="Cambria Math" w:hAnsi="Cambria Math" w:cs="Arial"/>
                  <w:i/>
                  <w:color w:val="000000"/>
                </w:rPr>
              </m:ctrlPr>
            </m:sSubPr>
            <m:e>
              <m:r>
                <w:rPr>
                  <w:rFonts w:ascii="Cambria Math" w:hAnsi="Cambria Math" w:cs="Arial"/>
                  <w:color w:val="000000"/>
                </w:rPr>
                <m:t>v</m:t>
              </m:r>
            </m:e>
            <m:sub>
              <m:r>
                <w:rPr>
                  <w:rFonts w:ascii="Cambria Math" w:hAnsi="Cambria Math" w:cs="Arial"/>
                  <w:color w:val="000000"/>
                </w:rPr>
                <m:t>city(i)</m:t>
              </m:r>
            </m:sub>
          </m:sSub>
        </m:oMath>
      </m:oMathPara>
    </w:p>
    <w:p w14:paraId="299088CE" w14:textId="4DC7AAE5" w:rsidR="00CA4597" w:rsidRPr="0046473D" w:rsidRDefault="00CA4597" w:rsidP="007046CA">
      <w:pPr>
        <w:pStyle w:val="NormalWeb"/>
        <w:spacing w:before="0" w:beforeAutospacing="0" w:after="120" w:afterAutospacing="0" w:line="276" w:lineRule="auto"/>
        <w:jc w:val="both"/>
        <w:rPr>
          <w:rFonts w:ascii="Arial" w:hAnsi="Arial" w:cs="Arial"/>
        </w:rPr>
      </w:pPr>
      <w:r w:rsidRPr="0046473D">
        <w:rPr>
          <w:rFonts w:ascii="Arial" w:hAnsi="Arial" w:cs="Arial"/>
          <w:color w:val="000000"/>
        </w:rPr>
        <w:t xml:space="preserve">Where 0 is the intercept, </w:t>
      </w:r>
      <w:proofErr w:type="spellStart"/>
      <w:r w:rsidRPr="0046473D">
        <w:rPr>
          <w:rFonts w:ascii="Arial" w:hAnsi="Arial" w:cs="Arial"/>
          <w:color w:val="000000"/>
        </w:rPr>
        <w:t>i</w:t>
      </w:r>
      <w:proofErr w:type="spellEnd"/>
      <w:r w:rsidRPr="0046473D">
        <w:rPr>
          <w:rFonts w:ascii="Arial" w:hAnsi="Arial" w:cs="Arial"/>
          <w:color w:val="000000"/>
        </w:rPr>
        <w:t xml:space="preserve"> are regression (fixed-effect) coefficients and </w:t>
      </w:r>
      <w:proofErr w:type="spellStart"/>
      <w:r w:rsidRPr="0046473D">
        <w:rPr>
          <w:rFonts w:ascii="Arial" w:hAnsi="Arial" w:cs="Arial"/>
          <w:color w:val="000000"/>
        </w:rPr>
        <w:t>Xiis</w:t>
      </w:r>
      <w:proofErr w:type="spellEnd"/>
      <w:r w:rsidRPr="0046473D">
        <w:rPr>
          <w:rFonts w:ascii="Arial" w:hAnsi="Arial" w:cs="Arial"/>
          <w:color w:val="000000"/>
        </w:rPr>
        <w:t xml:space="preserve"> the vector of course-level predictors composed of: (</w:t>
      </w:r>
      <w:proofErr w:type="spellStart"/>
      <w:r w:rsidRPr="0046473D">
        <w:rPr>
          <w:rFonts w:ascii="Arial" w:hAnsi="Arial" w:cs="Arial"/>
          <w:color w:val="000000"/>
        </w:rPr>
        <w:t>i</w:t>
      </w:r>
      <w:proofErr w:type="spellEnd"/>
      <w:r w:rsidRPr="0046473D">
        <w:rPr>
          <w:rFonts w:ascii="Arial" w:hAnsi="Arial" w:cs="Arial"/>
          <w:color w:val="000000"/>
        </w:rPr>
        <w:t>) institutional administrative category, (ii) authorized yearly enrollment slots (per additional 100 slots, mean-centered), (iii) curricular workload (per 1,000 hours, mean-centered), (iv) Prior Grading by MEC using the Preliminary Course Concept (CPC), capital-city status, and a binary indicator for post More-Doctors program establishment (≥2014). Enrollment increases were expressed per an additional 100 slots to improve interpretability and numerical stability; curricular workload was expressed per 1,000 hours to yield policy-interpretable units.</w:t>
      </w:r>
    </w:p>
    <w:p w14:paraId="28DD1823" w14:textId="771E99D2" w:rsidR="00CA4597" w:rsidRPr="0046473D" w:rsidRDefault="00CA4597" w:rsidP="007046CA">
      <w:pPr>
        <w:pStyle w:val="NormalWeb"/>
        <w:spacing w:before="0" w:beforeAutospacing="0" w:after="120" w:afterAutospacing="0" w:line="276" w:lineRule="auto"/>
        <w:jc w:val="both"/>
        <w:rPr>
          <w:rFonts w:ascii="Arial" w:hAnsi="Arial" w:cs="Arial"/>
        </w:rPr>
      </w:pPr>
      <w:r w:rsidRPr="0046473D">
        <w:rPr>
          <w:rFonts w:ascii="Arial" w:hAnsi="Arial" w:cs="Arial"/>
          <w:color w:val="000000"/>
        </w:rPr>
        <w:t>The terms U</w:t>
      </w:r>
      <w:r w:rsidRPr="0046473D">
        <w:rPr>
          <w:rFonts w:ascii="Arial" w:hAnsi="Arial" w:cs="Arial"/>
          <w:color w:val="000000"/>
          <w:sz w:val="32"/>
          <w:szCs w:val="32"/>
          <w:vertAlign w:val="subscript"/>
        </w:rPr>
        <w:t>state(</w:t>
      </w:r>
      <w:proofErr w:type="spellStart"/>
      <w:r w:rsidRPr="0046473D">
        <w:rPr>
          <w:rFonts w:ascii="Arial" w:hAnsi="Arial" w:cs="Arial"/>
          <w:color w:val="000000"/>
          <w:sz w:val="32"/>
          <w:szCs w:val="32"/>
          <w:vertAlign w:val="subscript"/>
        </w:rPr>
        <w:t>i</w:t>
      </w:r>
      <w:proofErr w:type="spellEnd"/>
      <w:r w:rsidRPr="0046473D">
        <w:rPr>
          <w:rFonts w:ascii="Arial" w:hAnsi="Arial" w:cs="Arial"/>
          <w:color w:val="000000"/>
          <w:sz w:val="32"/>
          <w:szCs w:val="32"/>
          <w:vertAlign w:val="subscript"/>
        </w:rPr>
        <w:t xml:space="preserve">) </w:t>
      </w:r>
      <w:r w:rsidRPr="0046473D">
        <w:rPr>
          <w:rFonts w:ascii="Arial" w:hAnsi="Arial" w:cs="Arial"/>
          <w:color w:val="000000"/>
        </w:rPr>
        <w:t xml:space="preserve">and </w:t>
      </w:r>
      <w:proofErr w:type="spellStart"/>
      <w:r w:rsidRPr="0046473D">
        <w:rPr>
          <w:rFonts w:ascii="Arial" w:hAnsi="Arial" w:cs="Arial"/>
          <w:color w:val="000000"/>
        </w:rPr>
        <w:t>V</w:t>
      </w:r>
      <w:r w:rsidRPr="0046473D">
        <w:rPr>
          <w:rFonts w:ascii="Arial" w:hAnsi="Arial" w:cs="Arial"/>
          <w:color w:val="000000"/>
          <w:sz w:val="32"/>
          <w:szCs w:val="32"/>
          <w:vertAlign w:val="subscript"/>
        </w:rPr>
        <w:t>city</w:t>
      </w:r>
      <w:proofErr w:type="spellEnd"/>
      <w:r w:rsidRPr="0046473D">
        <w:rPr>
          <w:rFonts w:ascii="Arial" w:hAnsi="Arial" w:cs="Arial"/>
          <w:color w:val="000000"/>
          <w:sz w:val="32"/>
          <w:szCs w:val="32"/>
          <w:vertAlign w:val="subscript"/>
        </w:rPr>
        <w:t>(</w:t>
      </w:r>
      <w:proofErr w:type="spellStart"/>
      <w:r w:rsidRPr="0046473D">
        <w:rPr>
          <w:rFonts w:ascii="Arial" w:hAnsi="Arial" w:cs="Arial"/>
          <w:color w:val="000000"/>
          <w:sz w:val="32"/>
          <w:szCs w:val="32"/>
          <w:vertAlign w:val="subscript"/>
        </w:rPr>
        <w:t>i</w:t>
      </w:r>
      <w:proofErr w:type="spellEnd"/>
      <w:r w:rsidRPr="0046473D">
        <w:rPr>
          <w:rFonts w:ascii="Arial" w:hAnsi="Arial" w:cs="Arial"/>
          <w:color w:val="000000"/>
          <w:vertAlign w:val="subscript"/>
        </w:rPr>
        <w:t>)</w:t>
      </w:r>
      <w:r w:rsidRPr="0046473D">
        <w:rPr>
          <w:rFonts w:ascii="Arial" w:hAnsi="Arial" w:cs="Arial"/>
          <w:color w:val="000000"/>
        </w:rPr>
        <w:t xml:space="preserve"> are random intercepts that capture residual geographic clustering at the state level U</w:t>
      </w:r>
      <w:r w:rsidRPr="0046473D">
        <w:rPr>
          <w:rFonts w:ascii="Arial" w:hAnsi="Arial" w:cs="Arial"/>
          <w:color w:val="000000"/>
          <w:sz w:val="32"/>
          <w:szCs w:val="32"/>
          <w:vertAlign w:val="subscript"/>
        </w:rPr>
        <w:t>state(</w:t>
      </w:r>
      <w:proofErr w:type="spellStart"/>
      <w:r w:rsidRPr="0046473D">
        <w:rPr>
          <w:rFonts w:ascii="Arial" w:hAnsi="Arial" w:cs="Arial"/>
          <w:color w:val="000000"/>
          <w:sz w:val="32"/>
          <w:szCs w:val="32"/>
          <w:vertAlign w:val="subscript"/>
        </w:rPr>
        <w:t>i</w:t>
      </w:r>
      <w:proofErr w:type="spellEnd"/>
      <w:r w:rsidRPr="0046473D">
        <w:rPr>
          <w:rFonts w:ascii="Arial" w:hAnsi="Arial" w:cs="Arial"/>
          <w:color w:val="000000"/>
          <w:sz w:val="32"/>
          <w:szCs w:val="32"/>
          <w:vertAlign w:val="subscript"/>
        </w:rPr>
        <w:t xml:space="preserve">) </w:t>
      </w:r>
      <w:r w:rsidRPr="0046473D">
        <w:rPr>
          <w:rFonts w:ascii="Arial" w:hAnsi="Arial" w:cs="Arial"/>
          <w:color w:val="000000"/>
        </w:rPr>
        <w:t xml:space="preserve">and the city-within-state level </w:t>
      </w:r>
      <w:proofErr w:type="spellStart"/>
      <w:r w:rsidRPr="0046473D">
        <w:rPr>
          <w:rFonts w:ascii="Arial" w:hAnsi="Arial" w:cs="Arial"/>
          <w:color w:val="000000"/>
        </w:rPr>
        <w:t>V</w:t>
      </w:r>
      <w:r w:rsidRPr="0046473D">
        <w:rPr>
          <w:rFonts w:ascii="Arial" w:hAnsi="Arial" w:cs="Arial"/>
          <w:color w:val="000000"/>
          <w:sz w:val="32"/>
          <w:szCs w:val="32"/>
          <w:vertAlign w:val="subscript"/>
        </w:rPr>
        <w:t>city</w:t>
      </w:r>
      <w:proofErr w:type="spellEnd"/>
      <w:r w:rsidRPr="0046473D">
        <w:rPr>
          <w:rFonts w:ascii="Arial" w:hAnsi="Arial" w:cs="Arial"/>
          <w:color w:val="000000"/>
          <w:sz w:val="32"/>
          <w:szCs w:val="32"/>
          <w:vertAlign w:val="subscript"/>
        </w:rPr>
        <w:t>(</w:t>
      </w:r>
      <w:proofErr w:type="spellStart"/>
      <w:r w:rsidRPr="0046473D">
        <w:rPr>
          <w:rFonts w:ascii="Arial" w:hAnsi="Arial" w:cs="Arial"/>
          <w:color w:val="000000"/>
          <w:sz w:val="32"/>
          <w:szCs w:val="32"/>
          <w:vertAlign w:val="subscript"/>
        </w:rPr>
        <w:t>i</w:t>
      </w:r>
      <w:proofErr w:type="spellEnd"/>
      <w:r w:rsidRPr="0046473D">
        <w:rPr>
          <w:rFonts w:ascii="Arial" w:hAnsi="Arial" w:cs="Arial"/>
          <w:color w:val="000000"/>
          <w:vertAlign w:val="subscript"/>
        </w:rPr>
        <w:t>)</w:t>
      </w:r>
      <w:r w:rsidRPr="0046473D">
        <w:rPr>
          <w:rFonts w:ascii="Arial" w:hAnsi="Arial" w:cs="Arial"/>
          <w:color w:val="000000"/>
        </w:rPr>
        <w:t>, respectively. Both random effects were specified as independent and identically distributed (IID) Gaussian effects centered at zero.</w:t>
      </w:r>
    </w:p>
    <w:p w14:paraId="44F3AD43" w14:textId="77777777" w:rsidR="00CA4597" w:rsidRPr="0046473D" w:rsidRDefault="00CA4597" w:rsidP="007046CA">
      <w:pPr>
        <w:pStyle w:val="NormalWeb"/>
        <w:spacing w:before="0" w:beforeAutospacing="0" w:after="120" w:afterAutospacing="0" w:line="276" w:lineRule="auto"/>
        <w:jc w:val="both"/>
        <w:rPr>
          <w:rFonts w:ascii="Arial" w:hAnsi="Arial" w:cs="Arial"/>
        </w:rPr>
      </w:pPr>
      <w:r w:rsidRPr="0046473D">
        <w:rPr>
          <w:rFonts w:ascii="Arial" w:hAnsi="Arial" w:cs="Arial"/>
          <w:b/>
          <w:bCs/>
          <w:color w:val="000000"/>
        </w:rPr>
        <w:lastRenderedPageBreak/>
        <w:t>Estimation and reporting (posterior-based inference using INLA): </w:t>
      </w:r>
    </w:p>
    <w:p w14:paraId="534AC62B" w14:textId="77777777" w:rsidR="00CA4597" w:rsidRPr="0046473D" w:rsidRDefault="00CA4597" w:rsidP="007046CA">
      <w:pPr>
        <w:pStyle w:val="NormalWeb"/>
        <w:spacing w:before="0" w:beforeAutospacing="0" w:after="120" w:afterAutospacing="0" w:line="276" w:lineRule="auto"/>
        <w:jc w:val="both"/>
        <w:rPr>
          <w:rFonts w:ascii="Arial" w:hAnsi="Arial" w:cs="Arial"/>
        </w:rPr>
      </w:pPr>
      <w:r w:rsidRPr="0046473D">
        <w:rPr>
          <w:rFonts w:ascii="Arial" w:hAnsi="Arial" w:cs="Arial"/>
          <w:color w:val="000000"/>
        </w:rPr>
        <w:t>Model fitting and inference were conducted in R using Integrated Nested Laplace Approximation (INLA). INLA provides accurate deterministic approximations to posterior distributions for latent Gaussian hierarchical models and is computationally efficient for complex multilevel models, enabling full Bayesian uncertainty quantification without the need for Markov chain Monte-Carlo simulation. All reported results were derived from posterior distributions of model parameters and posterior predictive quantities. We report posterior means and 95% credible intervals (</w:t>
      </w:r>
      <w:proofErr w:type="spellStart"/>
      <w:r w:rsidRPr="0046473D">
        <w:rPr>
          <w:rFonts w:ascii="Arial" w:hAnsi="Arial" w:cs="Arial"/>
          <w:color w:val="000000"/>
        </w:rPr>
        <w:t>CrI</w:t>
      </w:r>
      <w:proofErr w:type="spellEnd"/>
      <w:r w:rsidRPr="0046473D">
        <w:rPr>
          <w:rFonts w:ascii="Arial" w:hAnsi="Arial" w:cs="Arial"/>
          <w:color w:val="000000"/>
        </w:rPr>
        <w:t>). </w:t>
      </w:r>
    </w:p>
    <w:p w14:paraId="6623DC73" w14:textId="77777777" w:rsidR="007046CA" w:rsidRPr="0046473D" w:rsidRDefault="00CA4597" w:rsidP="007046CA">
      <w:pPr>
        <w:pStyle w:val="NormalWeb"/>
        <w:spacing w:before="0" w:beforeAutospacing="0" w:after="120" w:afterAutospacing="0" w:line="276" w:lineRule="auto"/>
        <w:jc w:val="both"/>
        <w:rPr>
          <w:rFonts w:ascii="Arial" w:hAnsi="Arial" w:cs="Arial"/>
          <w:color w:val="000000"/>
        </w:rPr>
      </w:pPr>
      <w:r w:rsidRPr="0046473D">
        <w:rPr>
          <w:rFonts w:ascii="Arial" w:hAnsi="Arial" w:cs="Arial"/>
          <w:color w:val="000000"/>
        </w:rPr>
        <w:t xml:space="preserve">A key design decision was to model the full course-level proficiency proportion using </w:t>
      </w:r>
    </w:p>
    <w:p w14:paraId="40476815" w14:textId="454549E4" w:rsidR="007046CA" w:rsidRPr="0046473D" w:rsidRDefault="007046CA" w:rsidP="007046CA">
      <w:pPr>
        <w:pStyle w:val="NormalWeb"/>
        <w:spacing w:before="0" w:beforeAutospacing="0" w:after="120" w:afterAutospacing="0" w:line="276" w:lineRule="auto"/>
        <w:jc w:val="both"/>
        <w:rPr>
          <w:rFonts w:ascii="Arial" w:hAnsi="Arial" w:cs="Arial"/>
          <w:color w:val="000000"/>
        </w:rPr>
      </w:pPr>
      <m:oMathPara>
        <m:oMath>
          <m:r>
            <w:rPr>
              <w:rFonts w:ascii="Cambria Math" w:hAnsi="Cambria Math" w:cs="Arial"/>
              <w:color w:val="000000"/>
              <w:lang w:val="pt-BR"/>
            </w:rPr>
            <m:t>pi</m:t>
          </m:r>
          <m:r>
            <w:rPr>
              <w:rFonts w:ascii="Cambria Math" w:hAnsi="Cambria Math" w:cs="Arial"/>
              <w:color w:val="000000"/>
            </w:rPr>
            <m:t>=</m:t>
          </m:r>
          <m:f>
            <m:fPr>
              <m:ctrlPr>
                <w:rPr>
                  <w:rFonts w:ascii="Cambria Math" w:hAnsi="Cambria Math" w:cs="Arial"/>
                  <w:i/>
                  <w:color w:val="000000"/>
                </w:rPr>
              </m:ctrlPr>
            </m:fPr>
            <m:num>
              <m:r>
                <w:rPr>
                  <w:rFonts w:ascii="Cambria Math" w:hAnsi="Cambria Math" w:cs="Arial"/>
                  <w:color w:val="000000"/>
                  <w:lang w:val="pt-BR"/>
                </w:rPr>
                <m:t>Number</m:t>
              </m:r>
              <m:r>
                <w:rPr>
                  <w:rFonts w:ascii="Cambria Math" w:hAnsi="Cambria Math" w:cs="Arial"/>
                  <w:color w:val="000000"/>
                </w:rPr>
                <m:t xml:space="preserve"> </m:t>
              </m:r>
              <m:r>
                <w:rPr>
                  <w:rFonts w:ascii="Cambria Math" w:hAnsi="Cambria Math" w:cs="Arial"/>
                  <w:color w:val="000000"/>
                  <w:lang w:val="pt-BR"/>
                </w:rPr>
                <m:t>of</m:t>
              </m:r>
              <m:r>
                <w:rPr>
                  <w:rFonts w:ascii="Cambria Math" w:hAnsi="Cambria Math" w:cs="Arial"/>
                  <w:color w:val="000000"/>
                </w:rPr>
                <m:t xml:space="preserve"> </m:t>
              </m:r>
              <m:r>
                <w:rPr>
                  <w:rFonts w:ascii="Cambria Math" w:hAnsi="Cambria Math" w:cs="Arial"/>
                  <w:color w:val="000000"/>
                  <w:lang w:val="pt-BR"/>
                </w:rPr>
                <m:t>Proficient</m:t>
              </m:r>
              <m:r>
                <w:rPr>
                  <w:rFonts w:ascii="Cambria Math" w:hAnsi="Cambria Math" w:cs="Arial"/>
                  <w:color w:val="000000"/>
                </w:rPr>
                <m:t xml:space="preserve"> </m:t>
              </m:r>
              <m:r>
                <w:rPr>
                  <w:rFonts w:ascii="Cambria Math" w:hAnsi="Cambria Math" w:cs="Arial"/>
                  <w:color w:val="000000"/>
                  <w:lang w:val="pt-BR"/>
                </w:rPr>
                <m:t>Medical</m:t>
              </m:r>
              <m:r>
                <w:rPr>
                  <w:rFonts w:ascii="Cambria Math" w:hAnsi="Cambria Math" w:cs="Arial"/>
                  <w:color w:val="000000"/>
                </w:rPr>
                <m:t xml:space="preserve"> </m:t>
              </m:r>
              <m:r>
                <w:rPr>
                  <w:rFonts w:ascii="Cambria Math" w:hAnsi="Cambria Math" w:cs="Arial"/>
                  <w:color w:val="000000"/>
                  <w:lang w:val="pt-BR"/>
                </w:rPr>
                <m:t>Graduates (yi)</m:t>
              </m:r>
              <m:ctrlPr>
                <w:rPr>
                  <w:rFonts w:ascii="Cambria Math" w:hAnsi="Cambria Math" w:cs="Arial"/>
                  <w:i/>
                  <w:color w:val="000000"/>
                  <w:lang w:val="pt-BR"/>
                </w:rPr>
              </m:ctrlPr>
            </m:num>
            <m:den>
              <m:r>
                <w:rPr>
                  <w:rFonts w:ascii="Cambria Math" w:hAnsi="Cambria Math" w:cs="Arial"/>
                  <w:color w:val="000000"/>
                  <w:lang w:val="pt-BR"/>
                </w:rPr>
                <m:t>Total</m:t>
              </m:r>
              <m:r>
                <w:rPr>
                  <w:rFonts w:ascii="Cambria Math" w:hAnsi="Cambria Math" w:cs="Arial"/>
                  <w:color w:val="000000"/>
                </w:rPr>
                <m:t xml:space="preserve"> </m:t>
              </m:r>
              <m:r>
                <w:rPr>
                  <w:rFonts w:ascii="Cambria Math" w:hAnsi="Cambria Math" w:cs="Arial"/>
                  <w:color w:val="000000"/>
                  <w:lang w:val="pt-BR"/>
                </w:rPr>
                <m:t>graduating</m:t>
              </m:r>
              <m:r>
                <w:rPr>
                  <w:rFonts w:ascii="Cambria Math" w:hAnsi="Cambria Math" w:cs="Arial"/>
                  <w:color w:val="000000"/>
                </w:rPr>
                <m:t xml:space="preserve"> </m:t>
              </m:r>
              <m:r>
                <w:rPr>
                  <w:rFonts w:ascii="Cambria Math" w:hAnsi="Cambria Math" w:cs="Arial"/>
                  <w:color w:val="000000"/>
                  <w:lang w:val="pt-BR"/>
                </w:rPr>
                <m:t>examinees (ni)</m:t>
              </m:r>
            </m:den>
          </m:f>
        </m:oMath>
      </m:oMathPara>
    </w:p>
    <w:p w14:paraId="76A14FDC" w14:textId="20225657" w:rsidR="00CA4597" w:rsidRPr="0046473D" w:rsidRDefault="00CA4597" w:rsidP="007046CA">
      <w:pPr>
        <w:pStyle w:val="NormalWeb"/>
        <w:spacing w:before="0" w:beforeAutospacing="0" w:after="120" w:afterAutospacing="0" w:line="276" w:lineRule="auto"/>
        <w:jc w:val="both"/>
        <w:rPr>
          <w:rFonts w:ascii="Arial" w:hAnsi="Arial" w:cs="Arial"/>
        </w:rPr>
      </w:pPr>
      <w:r w:rsidRPr="0046473D">
        <w:rPr>
          <w:rFonts w:ascii="Arial" w:hAnsi="Arial" w:cs="Arial"/>
          <w:color w:val="000000"/>
        </w:rPr>
        <w:t>rather than converting outcomes into categories (e.g., ordinal grading groupings) or a binary indicator (≥60% vs &lt;60%). This avoids information loss (e.g., courses substantially different proficiency levels are not treated as identically in the same stratum) and preserves the role of the denominator (courses with fewer examinees appropriately carry more uncertainty). </w:t>
      </w:r>
    </w:p>
    <w:p w14:paraId="2581AEDF" w14:textId="77777777" w:rsidR="00CA4597" w:rsidRPr="0046473D" w:rsidRDefault="00CA4597" w:rsidP="007046CA">
      <w:pPr>
        <w:pStyle w:val="NormalWeb"/>
        <w:spacing w:before="0" w:beforeAutospacing="0" w:after="120" w:afterAutospacing="0" w:line="276" w:lineRule="auto"/>
        <w:jc w:val="both"/>
        <w:rPr>
          <w:rFonts w:ascii="Arial" w:hAnsi="Arial" w:cs="Arial"/>
        </w:rPr>
      </w:pPr>
      <w:r w:rsidRPr="0046473D">
        <w:rPr>
          <w:rFonts w:ascii="Arial" w:hAnsi="Arial" w:cs="Arial"/>
          <w:color w:val="000000"/>
        </w:rPr>
        <w:t>Of note, it also enables direct translation of model outputs into policy-relevant quantities by allowing us to the posterior probability that a course meets the INEP standard targets and summarized system-level assurance within each institutional category as the expected proportion of courses whose modeled probability exceeds the 60% threshold, conditional on its covariate profile and geographic context.</w:t>
      </w:r>
    </w:p>
    <w:p w14:paraId="08DC71F4" w14:textId="77777777" w:rsidR="007046CA" w:rsidRPr="007046CA" w:rsidRDefault="007046CA" w:rsidP="007046CA">
      <w:pPr>
        <w:spacing w:before="200" w:after="0" w:line="276" w:lineRule="auto"/>
        <w:jc w:val="both"/>
        <w:outlineLvl w:val="1"/>
        <w:rPr>
          <w:rFonts w:ascii="Arial" w:eastAsia="Times New Roman" w:hAnsi="Arial" w:cs="Arial"/>
          <w:b/>
          <w:bCs/>
          <w:color w:val="000000"/>
          <w:kern w:val="0"/>
          <w:lang w:val="en-US"/>
          <w14:ligatures w14:val="none"/>
        </w:rPr>
      </w:pPr>
      <w:r w:rsidRPr="007046CA">
        <w:rPr>
          <w:rFonts w:ascii="Arial" w:eastAsia="Times New Roman" w:hAnsi="Arial" w:cs="Arial"/>
          <w:b/>
          <w:bCs/>
          <w:color w:val="000000"/>
          <w:kern w:val="0"/>
          <w:lang w:val="en-US"/>
          <w14:ligatures w14:val="none"/>
        </w:rPr>
        <w:t>Sensitivity Analysis and Model Diagnostics </w:t>
      </w:r>
    </w:p>
    <w:p w14:paraId="0C0C5311" w14:textId="77777777" w:rsidR="007046CA" w:rsidRPr="007046CA" w:rsidRDefault="007046CA" w:rsidP="007046CA">
      <w:pPr>
        <w:spacing w:after="200" w:line="276" w:lineRule="auto"/>
        <w:jc w:val="both"/>
        <w:rPr>
          <w:rFonts w:ascii="Arial" w:eastAsia="Times New Roman" w:hAnsi="Arial" w:cs="Arial"/>
          <w:color w:val="000000"/>
          <w:kern w:val="0"/>
          <w:lang w:val="en-US"/>
          <w14:ligatures w14:val="none"/>
        </w:rPr>
      </w:pPr>
      <w:r w:rsidRPr="007046CA">
        <w:rPr>
          <w:rFonts w:ascii="Arial" w:eastAsia="Times New Roman" w:hAnsi="Arial" w:cs="Arial"/>
          <w:color w:val="000000"/>
          <w:kern w:val="0"/>
          <w:lang w:val="en-US"/>
          <w14:ligatures w14:val="none"/>
        </w:rPr>
        <w:t>Model adequacy was evaluated using INLA’s leave-one-out predictive diagnostics and calibration checks. We examined conditional predictive ordinates (CPO) and probability integral transform (PIT) summaries to assess predictive consistency, and we assessed calibration by comparing observed course proficiency proportions to model-predicted probabilities across bins of fitted values. These diagnostics were used to confirm that the model was not systematically miscalibrated and that posterior uncertainty appropriately reflected the variability observed in the data.</w:t>
      </w:r>
    </w:p>
    <w:p w14:paraId="4E75C111" w14:textId="4FDB7A35" w:rsidR="00CA4597" w:rsidRPr="0046473D" w:rsidRDefault="007046CA" w:rsidP="007046CA">
      <w:pPr>
        <w:spacing w:line="276" w:lineRule="auto"/>
        <w:jc w:val="both"/>
        <w:rPr>
          <w:rFonts w:ascii="Arial" w:eastAsia="Times New Roman" w:hAnsi="Arial" w:cs="Arial"/>
          <w:b/>
          <w:bCs/>
          <w:color w:val="000000"/>
          <w:kern w:val="0"/>
          <w:lang w:val="en-US"/>
          <w14:ligatures w14:val="none"/>
        </w:rPr>
      </w:pPr>
      <w:r w:rsidRPr="0046473D">
        <w:rPr>
          <w:rFonts w:ascii="Arial" w:eastAsia="Times New Roman" w:hAnsi="Arial" w:cs="Arial"/>
          <w:color w:val="000000"/>
          <w:kern w:val="0"/>
          <w:lang w:val="en-US"/>
          <w14:ligatures w14:val="none"/>
        </w:rPr>
        <w:t>Furthermore, as the relationship between enrollment slots and course-level ENAMED performance is policy-relevant and not guaranteed to be linear, we evaluated multiple plausible model specifications and selected the best-supported model using information criteria. Specifically, we compared: (</w:t>
      </w:r>
      <w:proofErr w:type="spellStart"/>
      <w:r w:rsidRPr="0046473D">
        <w:rPr>
          <w:rFonts w:ascii="Arial" w:eastAsia="Times New Roman" w:hAnsi="Arial" w:cs="Arial"/>
          <w:color w:val="000000"/>
          <w:kern w:val="0"/>
          <w:lang w:val="en-US"/>
          <w14:ligatures w14:val="none"/>
        </w:rPr>
        <w:t>i</w:t>
      </w:r>
      <w:proofErr w:type="spellEnd"/>
      <w:r w:rsidRPr="0046473D">
        <w:rPr>
          <w:rFonts w:ascii="Arial" w:eastAsia="Times New Roman" w:hAnsi="Arial" w:cs="Arial"/>
          <w:color w:val="000000"/>
          <w:kern w:val="0"/>
          <w:lang w:val="en-US"/>
          <w14:ligatures w14:val="none"/>
        </w:rPr>
        <w:t xml:space="preserve">) a model with a linear main effect of +100 enrollment slots; (ii) a model with a </w:t>
      </w:r>
      <w:proofErr w:type="gramStart"/>
      <w:r w:rsidRPr="0046473D">
        <w:rPr>
          <w:rFonts w:ascii="Arial" w:eastAsia="Times New Roman" w:hAnsi="Arial" w:cs="Arial"/>
          <w:color w:val="000000"/>
          <w:kern w:val="0"/>
          <w:lang w:val="en-US"/>
          <w14:ligatures w14:val="none"/>
        </w:rPr>
        <w:t>slots</w:t>
      </w:r>
      <w:proofErr w:type="gramEnd"/>
      <w:r w:rsidRPr="0046473D">
        <w:rPr>
          <w:rFonts w:ascii="Arial" w:eastAsia="Times New Roman" w:hAnsi="Arial" w:cs="Arial"/>
          <w:color w:val="000000"/>
          <w:kern w:val="0"/>
          <w:lang w:val="en-US"/>
          <w14:ligatures w14:val="none"/>
        </w:rPr>
        <w:t xml:space="preserve"> × institutional category interaction; and (iii) a model allowing a non-linear smooth effect of slots using a second-order random walk (RW2). Models were compared using WAIC and DIC, where lower values indicate better expected out-of-sample predictive performance after accounting for model complexity. The final </w:t>
      </w:r>
      <w:r w:rsidRPr="0046473D">
        <w:rPr>
          <w:rFonts w:ascii="Arial" w:eastAsia="Times New Roman" w:hAnsi="Arial" w:cs="Arial"/>
          <w:color w:val="000000"/>
          <w:kern w:val="0"/>
          <w:lang w:val="en-US"/>
          <w14:ligatures w14:val="none"/>
        </w:rPr>
        <w:lastRenderedPageBreak/>
        <w:t xml:space="preserve">specification was chosen as the model with the lowest WAIC, assuming a linear main effect of +100 enrollment slots and numerical stability was verified using CPO diagnostics. All diagnostics are present in </w:t>
      </w:r>
      <w:r w:rsidRPr="0046473D">
        <w:rPr>
          <w:rFonts w:ascii="Arial" w:eastAsia="Times New Roman" w:hAnsi="Arial" w:cs="Arial"/>
          <w:b/>
          <w:bCs/>
          <w:color w:val="000000"/>
          <w:kern w:val="0"/>
          <w:lang w:val="en-US"/>
          <w14:ligatures w14:val="none"/>
        </w:rPr>
        <w:t>Supplementary Figure 1 and Supplementary Table 1.</w:t>
      </w:r>
    </w:p>
    <w:p w14:paraId="65DA7013" w14:textId="5E798C86" w:rsidR="007046CA" w:rsidRPr="0046473D" w:rsidRDefault="007046CA" w:rsidP="007046CA">
      <w:pPr>
        <w:spacing w:line="276" w:lineRule="auto"/>
        <w:jc w:val="both"/>
        <w:rPr>
          <w:rFonts w:ascii="Arial" w:eastAsia="Times New Roman" w:hAnsi="Arial" w:cs="Arial"/>
          <w:color w:val="000000"/>
          <w:kern w:val="0"/>
          <w:lang w:val="en-US"/>
          <w14:ligatures w14:val="none"/>
        </w:rPr>
      </w:pPr>
      <w:r w:rsidRPr="0046473D">
        <w:rPr>
          <w:rFonts w:ascii="Arial" w:eastAsia="Times New Roman" w:hAnsi="Arial" w:cs="Arial"/>
          <w:color w:val="000000"/>
          <w:kern w:val="0"/>
          <w:lang w:val="en-US"/>
          <w14:ligatures w14:val="none"/>
        </w:rPr>
        <w:t>Model comparison results supported a parsimonious linear specification for enrollment slots (</w:t>
      </w:r>
      <w:r w:rsidRPr="0046473D">
        <w:rPr>
          <w:rFonts w:ascii="Arial" w:eastAsia="Times New Roman" w:hAnsi="Arial" w:cs="Arial"/>
          <w:b/>
          <w:bCs/>
          <w:color w:val="000000"/>
          <w:kern w:val="0"/>
          <w:lang w:val="en-US"/>
          <w14:ligatures w14:val="none"/>
        </w:rPr>
        <w:t>Supplementary Table S2</w:t>
      </w:r>
      <w:r w:rsidRPr="0046473D">
        <w:rPr>
          <w:rFonts w:ascii="Arial" w:eastAsia="Times New Roman" w:hAnsi="Arial" w:cs="Arial"/>
          <w:color w:val="000000"/>
          <w:kern w:val="0"/>
          <w:lang w:val="en-US"/>
          <w14:ligatures w14:val="none"/>
        </w:rPr>
        <w:t>). The linear main-effect model achieved the lowest WAIC (2,615.6) and competitive DIC (2,612.2), with no CPO failures. A non-linear RW2 smooth yielded nearly identical fit (WAIC 2,616.7; DIC 2,612.1), indicating limited evidence that a more complex functional form substantially improves predictive performance over the evaluated range. A linear interaction between slots and institutional category performed worse (WAIC 2,619.7; DIC 2,615.9), supporting the use of a single interpretable slot effect for the main analysis.</w:t>
      </w:r>
    </w:p>
    <w:p w14:paraId="7810DA8D" w14:textId="77777777" w:rsidR="007046CA" w:rsidRPr="0046473D" w:rsidRDefault="007046CA">
      <w:pPr>
        <w:rPr>
          <w:rFonts w:ascii="Arial" w:eastAsia="Times New Roman" w:hAnsi="Arial" w:cs="Arial"/>
          <w:color w:val="000000"/>
          <w:kern w:val="0"/>
          <w:lang w:val="en-US"/>
          <w14:ligatures w14:val="none"/>
        </w:rPr>
      </w:pPr>
      <w:r w:rsidRPr="0046473D">
        <w:rPr>
          <w:rFonts w:ascii="Arial" w:eastAsia="Times New Roman" w:hAnsi="Arial" w:cs="Arial"/>
          <w:color w:val="000000"/>
          <w:kern w:val="0"/>
          <w:lang w:val="en-US"/>
          <w14:ligatures w14:val="none"/>
        </w:rPr>
        <w:br w:type="page"/>
      </w:r>
    </w:p>
    <w:p w14:paraId="726D1989" w14:textId="2D0BE256" w:rsidR="007046CA" w:rsidRPr="0046473D" w:rsidRDefault="007046CA" w:rsidP="007046CA">
      <w:pPr>
        <w:pStyle w:val="ListParagraph"/>
        <w:numPr>
          <w:ilvl w:val="0"/>
          <w:numId w:val="2"/>
        </w:numPr>
        <w:spacing w:line="276" w:lineRule="auto"/>
        <w:jc w:val="both"/>
        <w:rPr>
          <w:rFonts w:ascii="Arial" w:eastAsia="Times New Roman" w:hAnsi="Arial" w:cs="Arial"/>
          <w:b/>
          <w:bCs/>
          <w:color w:val="000000"/>
          <w:kern w:val="0"/>
          <w:sz w:val="28"/>
          <w:szCs w:val="28"/>
          <w:lang w:val="en-US"/>
          <w14:ligatures w14:val="none"/>
        </w:rPr>
      </w:pPr>
      <w:r w:rsidRPr="0046473D">
        <w:rPr>
          <w:rFonts w:ascii="Arial" w:eastAsia="Times New Roman" w:hAnsi="Arial" w:cs="Arial"/>
          <w:b/>
          <w:bCs/>
          <w:color w:val="000000"/>
          <w:kern w:val="0"/>
          <w:sz w:val="28"/>
          <w:szCs w:val="28"/>
          <w:lang w:val="en-US"/>
          <w14:ligatures w14:val="none"/>
        </w:rPr>
        <w:lastRenderedPageBreak/>
        <w:t>Supplementary Tables</w:t>
      </w:r>
    </w:p>
    <w:p w14:paraId="0FEDC765" w14:textId="77777777" w:rsidR="007046CA" w:rsidRPr="0046473D" w:rsidRDefault="007046CA" w:rsidP="0046473D">
      <w:pPr>
        <w:widowControl w:val="0"/>
        <w:spacing w:after="60"/>
        <w:rPr>
          <w:rFonts w:ascii="Arial" w:hAnsi="Arial" w:cs="Arial"/>
          <w:b/>
          <w:bCs/>
          <w:lang w:val="en-US"/>
        </w:rPr>
      </w:pPr>
      <w:r w:rsidRPr="0046473D">
        <w:rPr>
          <w:rFonts w:ascii="Arial" w:hAnsi="Arial" w:cs="Arial"/>
          <w:b/>
          <w:bCs/>
          <w:lang w:val="en-US"/>
        </w:rPr>
        <w:t>Supplementary Table S1:</w:t>
      </w:r>
      <w:r w:rsidRPr="0046473D">
        <w:rPr>
          <w:rFonts w:ascii="Arial" w:hAnsi="Arial" w:cs="Arial"/>
          <w:lang w:val="en-US"/>
        </w:rPr>
        <w:t xml:space="preserve"> </w:t>
      </w:r>
      <w:r w:rsidRPr="0046473D">
        <w:rPr>
          <w:rFonts w:ascii="Arial" w:hAnsi="Arial" w:cs="Arial"/>
          <w:b/>
          <w:bCs/>
          <w:lang w:val="en-US"/>
        </w:rPr>
        <w:t>Proficiency by Institutional Category</w:t>
      </w:r>
    </w:p>
    <w:tbl>
      <w:tblPr>
        <w:tblW w:w="8596" w:type="dxa"/>
        <w:tblLayout w:type="fixed"/>
        <w:tblLook w:val="0000" w:firstRow="0" w:lastRow="0" w:firstColumn="0" w:lastColumn="0" w:noHBand="0" w:noVBand="0"/>
      </w:tblPr>
      <w:tblGrid>
        <w:gridCol w:w="2552"/>
        <w:gridCol w:w="1129"/>
        <w:gridCol w:w="2082"/>
        <w:gridCol w:w="990"/>
        <w:gridCol w:w="1843"/>
      </w:tblGrid>
      <w:tr w:rsidR="007046CA" w:rsidRPr="0046473D" w14:paraId="30E87DA4" w14:textId="77777777" w:rsidTr="00C15A79">
        <w:trPr>
          <w:cantSplit/>
          <w:tblHeader/>
        </w:trPr>
        <w:tc>
          <w:tcPr>
            <w:tcW w:w="2552" w:type="dxa"/>
            <w:tcBorders>
              <w:top w:val="single" w:sz="4" w:space="0" w:color="auto"/>
              <w:bottom w:val="single" w:sz="4" w:space="0" w:color="auto"/>
            </w:tcBorders>
            <w:vAlign w:val="center"/>
          </w:tcPr>
          <w:p w14:paraId="3007261D" w14:textId="77777777" w:rsidR="007046CA" w:rsidRPr="0046473D" w:rsidRDefault="007046CA" w:rsidP="00C15A79">
            <w:pPr>
              <w:widowControl w:val="0"/>
              <w:spacing w:after="60"/>
              <w:rPr>
                <w:rFonts w:ascii="Arial" w:hAnsi="Arial" w:cs="Arial"/>
                <w:b/>
                <w:bCs/>
                <w:sz w:val="20"/>
                <w:szCs w:val="20"/>
                <w:lang w:val="en-US"/>
              </w:rPr>
            </w:pPr>
            <w:r w:rsidRPr="0046473D">
              <w:rPr>
                <w:rFonts w:ascii="Arial" w:hAnsi="Arial" w:cs="Arial"/>
                <w:b/>
                <w:bCs/>
                <w:sz w:val="20"/>
                <w:szCs w:val="20"/>
                <w:lang w:val="en-US"/>
              </w:rPr>
              <w:t>Institutional category</w:t>
            </w:r>
          </w:p>
        </w:tc>
        <w:tc>
          <w:tcPr>
            <w:tcW w:w="1129" w:type="dxa"/>
            <w:tcBorders>
              <w:top w:val="single" w:sz="4" w:space="0" w:color="auto"/>
              <w:bottom w:val="single" w:sz="4" w:space="0" w:color="auto"/>
            </w:tcBorders>
            <w:vAlign w:val="center"/>
          </w:tcPr>
          <w:p w14:paraId="1D4DF7C3" w14:textId="77777777" w:rsidR="007046CA" w:rsidRPr="0046473D" w:rsidRDefault="007046CA" w:rsidP="00C15A79">
            <w:pPr>
              <w:widowControl w:val="0"/>
              <w:spacing w:after="60"/>
              <w:jc w:val="center"/>
              <w:rPr>
                <w:rFonts w:ascii="Arial" w:hAnsi="Arial" w:cs="Arial"/>
                <w:b/>
                <w:bCs/>
                <w:sz w:val="20"/>
                <w:szCs w:val="20"/>
                <w:lang w:val="en-US"/>
              </w:rPr>
            </w:pPr>
            <w:r w:rsidRPr="0046473D">
              <w:rPr>
                <w:rFonts w:ascii="Arial" w:hAnsi="Arial" w:cs="Arial"/>
                <w:b/>
                <w:bCs/>
                <w:sz w:val="20"/>
                <w:szCs w:val="20"/>
                <w:lang w:val="en-US"/>
              </w:rPr>
              <w:t>Mean Grade</w:t>
            </w:r>
          </w:p>
        </w:tc>
        <w:tc>
          <w:tcPr>
            <w:tcW w:w="2082" w:type="dxa"/>
            <w:tcBorders>
              <w:top w:val="single" w:sz="4" w:space="0" w:color="auto"/>
              <w:bottom w:val="single" w:sz="4" w:space="0" w:color="auto"/>
            </w:tcBorders>
            <w:vAlign w:val="center"/>
          </w:tcPr>
          <w:p w14:paraId="5326A36B" w14:textId="77777777" w:rsidR="007046CA" w:rsidRPr="0046473D" w:rsidRDefault="007046CA" w:rsidP="00C15A79">
            <w:pPr>
              <w:widowControl w:val="0"/>
              <w:spacing w:after="60"/>
              <w:jc w:val="center"/>
              <w:rPr>
                <w:rFonts w:ascii="Arial" w:hAnsi="Arial" w:cs="Arial"/>
                <w:b/>
                <w:bCs/>
                <w:sz w:val="20"/>
                <w:szCs w:val="20"/>
                <w:lang w:val="en-US"/>
              </w:rPr>
            </w:pPr>
            <w:r w:rsidRPr="0046473D">
              <w:rPr>
                <w:rFonts w:ascii="Arial" w:hAnsi="Arial" w:cs="Arial"/>
                <w:b/>
                <w:bCs/>
                <w:sz w:val="20"/>
                <w:szCs w:val="20"/>
                <w:lang w:val="en-US"/>
              </w:rPr>
              <w:t>Courses with low proficiency</w:t>
            </w:r>
          </w:p>
        </w:tc>
        <w:tc>
          <w:tcPr>
            <w:tcW w:w="990" w:type="dxa"/>
            <w:tcBorders>
              <w:top w:val="single" w:sz="4" w:space="0" w:color="auto"/>
              <w:bottom w:val="single" w:sz="4" w:space="0" w:color="auto"/>
            </w:tcBorders>
            <w:vAlign w:val="center"/>
          </w:tcPr>
          <w:p w14:paraId="0C5826D3" w14:textId="77777777" w:rsidR="007046CA" w:rsidRPr="0046473D" w:rsidRDefault="007046CA" w:rsidP="00C15A79">
            <w:pPr>
              <w:widowControl w:val="0"/>
              <w:spacing w:after="60"/>
              <w:jc w:val="center"/>
              <w:rPr>
                <w:rFonts w:ascii="Arial" w:hAnsi="Arial" w:cs="Arial"/>
                <w:b/>
                <w:bCs/>
                <w:sz w:val="20"/>
                <w:szCs w:val="20"/>
                <w:lang w:val="en-US"/>
              </w:rPr>
            </w:pPr>
            <w:r w:rsidRPr="0046473D">
              <w:rPr>
                <w:rFonts w:ascii="Arial" w:hAnsi="Arial" w:cs="Arial"/>
                <w:b/>
                <w:bCs/>
                <w:sz w:val="20"/>
                <w:szCs w:val="20"/>
                <w:lang w:val="en-US"/>
              </w:rPr>
              <w:t>Total courses</w:t>
            </w:r>
          </w:p>
        </w:tc>
        <w:tc>
          <w:tcPr>
            <w:tcW w:w="1843" w:type="dxa"/>
            <w:tcBorders>
              <w:top w:val="single" w:sz="4" w:space="0" w:color="auto"/>
              <w:bottom w:val="single" w:sz="4" w:space="0" w:color="auto"/>
            </w:tcBorders>
            <w:vAlign w:val="center"/>
          </w:tcPr>
          <w:p w14:paraId="2CD63629" w14:textId="77777777" w:rsidR="007046CA" w:rsidRPr="0046473D" w:rsidRDefault="007046CA" w:rsidP="00C15A79">
            <w:pPr>
              <w:widowControl w:val="0"/>
              <w:spacing w:after="60"/>
              <w:jc w:val="center"/>
              <w:rPr>
                <w:rFonts w:ascii="Arial" w:hAnsi="Arial" w:cs="Arial"/>
                <w:b/>
                <w:bCs/>
                <w:sz w:val="20"/>
                <w:szCs w:val="20"/>
                <w:lang w:val="en-US"/>
              </w:rPr>
            </w:pPr>
            <w:r w:rsidRPr="0046473D">
              <w:rPr>
                <w:rFonts w:ascii="Arial" w:hAnsi="Arial" w:cs="Arial"/>
                <w:b/>
                <w:bCs/>
                <w:sz w:val="20"/>
                <w:szCs w:val="20"/>
                <w:lang w:val="en-US"/>
              </w:rPr>
              <w:t>% Below proficiency threshold</w:t>
            </w:r>
          </w:p>
        </w:tc>
      </w:tr>
      <w:tr w:rsidR="007046CA" w:rsidRPr="0046473D" w14:paraId="28EB9695" w14:textId="77777777" w:rsidTr="00C15A79">
        <w:trPr>
          <w:cantSplit/>
        </w:trPr>
        <w:tc>
          <w:tcPr>
            <w:tcW w:w="2552" w:type="dxa"/>
            <w:tcBorders>
              <w:top w:val="single" w:sz="4" w:space="0" w:color="auto"/>
            </w:tcBorders>
            <w:vAlign w:val="center"/>
          </w:tcPr>
          <w:p w14:paraId="6228BFA3" w14:textId="77777777" w:rsidR="007046CA" w:rsidRPr="0046473D" w:rsidRDefault="007046CA" w:rsidP="00C15A79">
            <w:pPr>
              <w:widowControl w:val="0"/>
              <w:spacing w:after="60"/>
              <w:rPr>
                <w:rFonts w:ascii="Arial" w:hAnsi="Arial" w:cs="Arial"/>
                <w:sz w:val="20"/>
                <w:szCs w:val="20"/>
                <w:lang w:val="en-US"/>
              </w:rPr>
            </w:pPr>
            <w:r w:rsidRPr="0046473D">
              <w:rPr>
                <w:rFonts w:ascii="Arial" w:hAnsi="Arial" w:cs="Arial"/>
                <w:sz w:val="20"/>
                <w:szCs w:val="20"/>
                <w:lang w:val="en-US"/>
              </w:rPr>
              <w:t>Public (State)</w:t>
            </w:r>
          </w:p>
        </w:tc>
        <w:tc>
          <w:tcPr>
            <w:tcW w:w="1129" w:type="dxa"/>
            <w:tcBorders>
              <w:top w:val="single" w:sz="4" w:space="0" w:color="auto"/>
            </w:tcBorders>
            <w:vAlign w:val="center"/>
          </w:tcPr>
          <w:p w14:paraId="504CBFDB" w14:textId="77777777" w:rsidR="007046CA" w:rsidRPr="0046473D" w:rsidRDefault="007046CA" w:rsidP="00C15A79">
            <w:pPr>
              <w:widowControl w:val="0"/>
              <w:spacing w:after="60"/>
              <w:jc w:val="center"/>
              <w:rPr>
                <w:rFonts w:ascii="Arial" w:hAnsi="Arial" w:cs="Arial"/>
                <w:sz w:val="20"/>
                <w:szCs w:val="20"/>
                <w:lang w:val="en-US"/>
              </w:rPr>
            </w:pPr>
            <w:r w:rsidRPr="0046473D">
              <w:rPr>
                <w:rFonts w:ascii="Arial" w:hAnsi="Arial" w:cs="Arial"/>
                <w:sz w:val="20"/>
                <w:szCs w:val="20"/>
                <w:lang w:val="en-US"/>
              </w:rPr>
              <w:t>70.9</w:t>
            </w:r>
          </w:p>
        </w:tc>
        <w:tc>
          <w:tcPr>
            <w:tcW w:w="2082" w:type="dxa"/>
            <w:tcBorders>
              <w:top w:val="single" w:sz="4" w:space="0" w:color="auto"/>
            </w:tcBorders>
            <w:vAlign w:val="center"/>
          </w:tcPr>
          <w:p w14:paraId="2B692720" w14:textId="77777777" w:rsidR="007046CA" w:rsidRPr="0046473D" w:rsidRDefault="007046CA" w:rsidP="00C15A79">
            <w:pPr>
              <w:widowControl w:val="0"/>
              <w:spacing w:after="60"/>
              <w:jc w:val="center"/>
              <w:rPr>
                <w:rFonts w:ascii="Arial" w:hAnsi="Arial" w:cs="Arial"/>
                <w:sz w:val="20"/>
                <w:szCs w:val="20"/>
                <w:lang w:val="en-US"/>
              </w:rPr>
            </w:pPr>
            <w:r w:rsidRPr="0046473D">
              <w:rPr>
                <w:rFonts w:ascii="Arial" w:hAnsi="Arial" w:cs="Arial"/>
                <w:sz w:val="20"/>
                <w:szCs w:val="20"/>
                <w:lang w:val="en-US"/>
              </w:rPr>
              <w:t>1</w:t>
            </w:r>
          </w:p>
        </w:tc>
        <w:tc>
          <w:tcPr>
            <w:tcW w:w="990" w:type="dxa"/>
            <w:tcBorders>
              <w:top w:val="single" w:sz="4" w:space="0" w:color="auto"/>
            </w:tcBorders>
            <w:vAlign w:val="center"/>
          </w:tcPr>
          <w:p w14:paraId="7C0EC60C" w14:textId="77777777" w:rsidR="007046CA" w:rsidRPr="0046473D" w:rsidRDefault="007046CA" w:rsidP="00C15A79">
            <w:pPr>
              <w:widowControl w:val="0"/>
              <w:spacing w:after="60"/>
              <w:jc w:val="center"/>
              <w:rPr>
                <w:rFonts w:ascii="Arial" w:hAnsi="Arial" w:cs="Arial"/>
                <w:sz w:val="20"/>
                <w:szCs w:val="20"/>
                <w:lang w:val="en-US"/>
              </w:rPr>
            </w:pPr>
            <w:r w:rsidRPr="0046473D">
              <w:rPr>
                <w:rFonts w:ascii="Arial" w:hAnsi="Arial" w:cs="Arial"/>
                <w:sz w:val="20"/>
                <w:szCs w:val="20"/>
                <w:lang w:val="en-US"/>
              </w:rPr>
              <w:t>38</w:t>
            </w:r>
          </w:p>
        </w:tc>
        <w:tc>
          <w:tcPr>
            <w:tcW w:w="1843" w:type="dxa"/>
            <w:tcBorders>
              <w:top w:val="single" w:sz="4" w:space="0" w:color="auto"/>
            </w:tcBorders>
            <w:vAlign w:val="center"/>
          </w:tcPr>
          <w:p w14:paraId="5DD0A8E1" w14:textId="77777777" w:rsidR="007046CA" w:rsidRPr="0046473D" w:rsidRDefault="007046CA" w:rsidP="00C15A79">
            <w:pPr>
              <w:widowControl w:val="0"/>
              <w:spacing w:after="60"/>
              <w:jc w:val="center"/>
              <w:rPr>
                <w:rFonts w:ascii="Arial" w:hAnsi="Arial" w:cs="Arial"/>
                <w:sz w:val="20"/>
                <w:szCs w:val="20"/>
                <w:lang w:val="en-US"/>
              </w:rPr>
            </w:pPr>
            <w:r w:rsidRPr="0046473D">
              <w:rPr>
                <w:rFonts w:ascii="Arial" w:hAnsi="Arial" w:cs="Arial"/>
                <w:sz w:val="20"/>
                <w:szCs w:val="20"/>
                <w:lang w:val="en-US"/>
              </w:rPr>
              <w:t>3%</w:t>
            </w:r>
          </w:p>
        </w:tc>
      </w:tr>
      <w:tr w:rsidR="007046CA" w:rsidRPr="0046473D" w14:paraId="198F91BA" w14:textId="77777777" w:rsidTr="00C15A79">
        <w:trPr>
          <w:cantSplit/>
        </w:trPr>
        <w:tc>
          <w:tcPr>
            <w:tcW w:w="2552" w:type="dxa"/>
            <w:vAlign w:val="center"/>
          </w:tcPr>
          <w:p w14:paraId="70FC999C" w14:textId="77777777" w:rsidR="007046CA" w:rsidRPr="0046473D" w:rsidRDefault="007046CA" w:rsidP="00C15A79">
            <w:pPr>
              <w:widowControl w:val="0"/>
              <w:spacing w:after="60"/>
              <w:rPr>
                <w:rFonts w:ascii="Arial" w:hAnsi="Arial" w:cs="Arial"/>
                <w:sz w:val="20"/>
                <w:szCs w:val="20"/>
                <w:lang w:val="en-US"/>
              </w:rPr>
            </w:pPr>
            <w:r w:rsidRPr="0046473D">
              <w:rPr>
                <w:rFonts w:ascii="Arial" w:hAnsi="Arial" w:cs="Arial"/>
                <w:sz w:val="20"/>
                <w:szCs w:val="20"/>
                <w:lang w:val="en-US"/>
              </w:rPr>
              <w:t>Public (Federal)</w:t>
            </w:r>
          </w:p>
        </w:tc>
        <w:tc>
          <w:tcPr>
            <w:tcW w:w="1129" w:type="dxa"/>
            <w:vAlign w:val="center"/>
          </w:tcPr>
          <w:p w14:paraId="259DDA74" w14:textId="77777777" w:rsidR="007046CA" w:rsidRPr="0046473D" w:rsidRDefault="007046CA" w:rsidP="00C15A79">
            <w:pPr>
              <w:widowControl w:val="0"/>
              <w:spacing w:after="60"/>
              <w:jc w:val="center"/>
              <w:rPr>
                <w:rFonts w:ascii="Arial" w:hAnsi="Arial" w:cs="Arial"/>
                <w:sz w:val="20"/>
                <w:szCs w:val="20"/>
                <w:lang w:val="en-US"/>
              </w:rPr>
            </w:pPr>
            <w:r w:rsidRPr="0046473D">
              <w:rPr>
                <w:rFonts w:ascii="Arial" w:hAnsi="Arial" w:cs="Arial"/>
                <w:sz w:val="20"/>
                <w:szCs w:val="20"/>
                <w:lang w:val="en-US"/>
              </w:rPr>
              <w:t>68.7</w:t>
            </w:r>
          </w:p>
        </w:tc>
        <w:tc>
          <w:tcPr>
            <w:tcW w:w="2082" w:type="dxa"/>
            <w:vAlign w:val="center"/>
          </w:tcPr>
          <w:p w14:paraId="33D25375" w14:textId="77777777" w:rsidR="007046CA" w:rsidRPr="0046473D" w:rsidRDefault="007046CA" w:rsidP="00C15A79">
            <w:pPr>
              <w:widowControl w:val="0"/>
              <w:spacing w:after="60"/>
              <w:jc w:val="center"/>
              <w:rPr>
                <w:rFonts w:ascii="Arial" w:hAnsi="Arial" w:cs="Arial"/>
                <w:sz w:val="20"/>
                <w:szCs w:val="20"/>
                <w:lang w:val="en-US"/>
              </w:rPr>
            </w:pPr>
            <w:r w:rsidRPr="0046473D">
              <w:rPr>
                <w:rFonts w:ascii="Arial" w:hAnsi="Arial" w:cs="Arial"/>
                <w:sz w:val="20"/>
                <w:szCs w:val="20"/>
                <w:lang w:val="en-US"/>
              </w:rPr>
              <w:t>4</w:t>
            </w:r>
          </w:p>
        </w:tc>
        <w:tc>
          <w:tcPr>
            <w:tcW w:w="990" w:type="dxa"/>
            <w:vAlign w:val="center"/>
          </w:tcPr>
          <w:p w14:paraId="26D875A3" w14:textId="77777777" w:rsidR="007046CA" w:rsidRPr="0046473D" w:rsidRDefault="007046CA" w:rsidP="00C15A79">
            <w:pPr>
              <w:widowControl w:val="0"/>
              <w:spacing w:after="60"/>
              <w:jc w:val="center"/>
              <w:rPr>
                <w:rFonts w:ascii="Arial" w:hAnsi="Arial" w:cs="Arial"/>
                <w:sz w:val="20"/>
                <w:szCs w:val="20"/>
                <w:lang w:val="en-US"/>
              </w:rPr>
            </w:pPr>
            <w:r w:rsidRPr="0046473D">
              <w:rPr>
                <w:rFonts w:ascii="Arial" w:hAnsi="Arial" w:cs="Arial"/>
                <w:sz w:val="20"/>
                <w:szCs w:val="20"/>
                <w:lang w:val="en-US"/>
              </w:rPr>
              <w:t>78</w:t>
            </w:r>
          </w:p>
        </w:tc>
        <w:tc>
          <w:tcPr>
            <w:tcW w:w="1843" w:type="dxa"/>
            <w:vAlign w:val="center"/>
          </w:tcPr>
          <w:p w14:paraId="5925C8A7" w14:textId="77777777" w:rsidR="007046CA" w:rsidRPr="0046473D" w:rsidRDefault="007046CA" w:rsidP="00C15A79">
            <w:pPr>
              <w:widowControl w:val="0"/>
              <w:spacing w:after="60"/>
              <w:jc w:val="center"/>
              <w:rPr>
                <w:rFonts w:ascii="Arial" w:hAnsi="Arial" w:cs="Arial"/>
                <w:sz w:val="20"/>
                <w:szCs w:val="20"/>
                <w:lang w:val="en-US"/>
              </w:rPr>
            </w:pPr>
            <w:r w:rsidRPr="0046473D">
              <w:rPr>
                <w:rFonts w:ascii="Arial" w:hAnsi="Arial" w:cs="Arial"/>
                <w:sz w:val="20"/>
                <w:szCs w:val="20"/>
                <w:lang w:val="en-US"/>
              </w:rPr>
              <w:t>5%</w:t>
            </w:r>
          </w:p>
        </w:tc>
      </w:tr>
      <w:tr w:rsidR="007046CA" w:rsidRPr="0046473D" w14:paraId="70435003" w14:textId="77777777" w:rsidTr="00C15A79">
        <w:trPr>
          <w:cantSplit/>
        </w:trPr>
        <w:tc>
          <w:tcPr>
            <w:tcW w:w="2552" w:type="dxa"/>
            <w:vAlign w:val="center"/>
          </w:tcPr>
          <w:p w14:paraId="33D644FE" w14:textId="77777777" w:rsidR="007046CA" w:rsidRPr="0046473D" w:rsidRDefault="007046CA" w:rsidP="00C15A79">
            <w:pPr>
              <w:widowControl w:val="0"/>
              <w:spacing w:after="60"/>
              <w:rPr>
                <w:rFonts w:ascii="Arial" w:hAnsi="Arial" w:cs="Arial"/>
                <w:sz w:val="20"/>
                <w:szCs w:val="20"/>
                <w:lang w:val="en-US"/>
              </w:rPr>
            </w:pPr>
            <w:r w:rsidRPr="0046473D">
              <w:rPr>
                <w:rFonts w:ascii="Arial" w:hAnsi="Arial" w:cs="Arial"/>
                <w:sz w:val="20"/>
                <w:szCs w:val="20"/>
                <w:lang w:val="en-US"/>
              </w:rPr>
              <w:t>Community/Confessional</w:t>
            </w:r>
          </w:p>
        </w:tc>
        <w:tc>
          <w:tcPr>
            <w:tcW w:w="1129" w:type="dxa"/>
            <w:vAlign w:val="center"/>
          </w:tcPr>
          <w:p w14:paraId="3E21957F" w14:textId="77777777" w:rsidR="007046CA" w:rsidRPr="0046473D" w:rsidRDefault="007046CA" w:rsidP="00C15A79">
            <w:pPr>
              <w:widowControl w:val="0"/>
              <w:spacing w:after="60"/>
              <w:jc w:val="center"/>
              <w:rPr>
                <w:rFonts w:ascii="Arial" w:hAnsi="Arial" w:cs="Arial"/>
                <w:sz w:val="20"/>
                <w:szCs w:val="20"/>
                <w:lang w:val="en-US"/>
              </w:rPr>
            </w:pPr>
            <w:r w:rsidRPr="0046473D">
              <w:rPr>
                <w:rFonts w:ascii="Arial" w:hAnsi="Arial" w:cs="Arial"/>
                <w:sz w:val="20"/>
                <w:szCs w:val="20"/>
                <w:lang w:val="en-US"/>
              </w:rPr>
              <w:t>66.9</w:t>
            </w:r>
          </w:p>
        </w:tc>
        <w:tc>
          <w:tcPr>
            <w:tcW w:w="2082" w:type="dxa"/>
            <w:vAlign w:val="center"/>
          </w:tcPr>
          <w:p w14:paraId="2970FF15" w14:textId="77777777" w:rsidR="007046CA" w:rsidRPr="0046473D" w:rsidRDefault="007046CA" w:rsidP="00C15A79">
            <w:pPr>
              <w:widowControl w:val="0"/>
              <w:spacing w:after="60"/>
              <w:jc w:val="center"/>
              <w:rPr>
                <w:rFonts w:ascii="Arial" w:hAnsi="Arial" w:cs="Arial"/>
                <w:sz w:val="20"/>
                <w:szCs w:val="20"/>
                <w:lang w:val="en-US"/>
              </w:rPr>
            </w:pPr>
            <w:r w:rsidRPr="0046473D">
              <w:rPr>
                <w:rFonts w:ascii="Arial" w:hAnsi="Arial" w:cs="Arial"/>
                <w:sz w:val="20"/>
                <w:szCs w:val="20"/>
                <w:lang w:val="en-US"/>
              </w:rPr>
              <w:t>2</w:t>
            </w:r>
          </w:p>
        </w:tc>
        <w:tc>
          <w:tcPr>
            <w:tcW w:w="990" w:type="dxa"/>
            <w:vAlign w:val="center"/>
          </w:tcPr>
          <w:p w14:paraId="6EF68937" w14:textId="77777777" w:rsidR="007046CA" w:rsidRPr="0046473D" w:rsidRDefault="007046CA" w:rsidP="00C15A79">
            <w:pPr>
              <w:widowControl w:val="0"/>
              <w:spacing w:after="60"/>
              <w:jc w:val="center"/>
              <w:rPr>
                <w:rFonts w:ascii="Arial" w:hAnsi="Arial" w:cs="Arial"/>
                <w:sz w:val="20"/>
                <w:szCs w:val="20"/>
                <w:lang w:val="en-US"/>
              </w:rPr>
            </w:pPr>
            <w:r w:rsidRPr="0046473D">
              <w:rPr>
                <w:rFonts w:ascii="Arial" w:hAnsi="Arial" w:cs="Arial"/>
                <w:sz w:val="20"/>
                <w:szCs w:val="20"/>
                <w:lang w:val="en-US"/>
              </w:rPr>
              <w:t>36</w:t>
            </w:r>
          </w:p>
        </w:tc>
        <w:tc>
          <w:tcPr>
            <w:tcW w:w="1843" w:type="dxa"/>
            <w:vAlign w:val="center"/>
          </w:tcPr>
          <w:p w14:paraId="02FAF2DA" w14:textId="77777777" w:rsidR="007046CA" w:rsidRPr="0046473D" w:rsidRDefault="007046CA" w:rsidP="00C15A79">
            <w:pPr>
              <w:widowControl w:val="0"/>
              <w:spacing w:after="60"/>
              <w:jc w:val="center"/>
              <w:rPr>
                <w:rFonts w:ascii="Arial" w:hAnsi="Arial" w:cs="Arial"/>
                <w:sz w:val="20"/>
                <w:szCs w:val="20"/>
                <w:lang w:val="en-US"/>
              </w:rPr>
            </w:pPr>
            <w:r w:rsidRPr="0046473D">
              <w:rPr>
                <w:rFonts w:ascii="Arial" w:hAnsi="Arial" w:cs="Arial"/>
                <w:sz w:val="20"/>
                <w:szCs w:val="20"/>
                <w:lang w:val="en-US"/>
              </w:rPr>
              <w:t>6%</w:t>
            </w:r>
          </w:p>
        </w:tc>
      </w:tr>
      <w:tr w:rsidR="007046CA" w:rsidRPr="0046473D" w14:paraId="12CE619D" w14:textId="77777777" w:rsidTr="00C15A79">
        <w:trPr>
          <w:cantSplit/>
        </w:trPr>
        <w:tc>
          <w:tcPr>
            <w:tcW w:w="2552" w:type="dxa"/>
            <w:vAlign w:val="center"/>
          </w:tcPr>
          <w:p w14:paraId="6161737C" w14:textId="77777777" w:rsidR="007046CA" w:rsidRPr="0046473D" w:rsidRDefault="007046CA" w:rsidP="00C15A79">
            <w:pPr>
              <w:widowControl w:val="0"/>
              <w:spacing w:after="60"/>
              <w:rPr>
                <w:rFonts w:ascii="Arial" w:hAnsi="Arial" w:cs="Arial"/>
                <w:sz w:val="20"/>
                <w:szCs w:val="20"/>
                <w:lang w:val="en-US"/>
              </w:rPr>
            </w:pPr>
            <w:r w:rsidRPr="0046473D">
              <w:rPr>
                <w:rFonts w:ascii="Arial" w:hAnsi="Arial" w:cs="Arial"/>
                <w:sz w:val="20"/>
                <w:szCs w:val="20"/>
                <w:lang w:val="en-US"/>
              </w:rPr>
              <w:t>Private (Non-profit)</w:t>
            </w:r>
          </w:p>
        </w:tc>
        <w:tc>
          <w:tcPr>
            <w:tcW w:w="1129" w:type="dxa"/>
            <w:vAlign w:val="center"/>
          </w:tcPr>
          <w:p w14:paraId="72983848" w14:textId="77777777" w:rsidR="007046CA" w:rsidRPr="0046473D" w:rsidRDefault="007046CA" w:rsidP="00C15A79">
            <w:pPr>
              <w:widowControl w:val="0"/>
              <w:spacing w:after="60"/>
              <w:jc w:val="center"/>
              <w:rPr>
                <w:rFonts w:ascii="Arial" w:hAnsi="Arial" w:cs="Arial"/>
                <w:sz w:val="20"/>
                <w:szCs w:val="20"/>
                <w:lang w:val="en-US"/>
              </w:rPr>
            </w:pPr>
            <w:r w:rsidRPr="0046473D">
              <w:rPr>
                <w:rFonts w:ascii="Arial" w:hAnsi="Arial" w:cs="Arial"/>
                <w:sz w:val="20"/>
                <w:szCs w:val="20"/>
                <w:lang w:val="en-US"/>
              </w:rPr>
              <w:t>65.0</w:t>
            </w:r>
          </w:p>
        </w:tc>
        <w:tc>
          <w:tcPr>
            <w:tcW w:w="2082" w:type="dxa"/>
            <w:vAlign w:val="center"/>
          </w:tcPr>
          <w:p w14:paraId="54B412FF" w14:textId="77777777" w:rsidR="007046CA" w:rsidRPr="0046473D" w:rsidRDefault="007046CA" w:rsidP="00C15A79">
            <w:pPr>
              <w:widowControl w:val="0"/>
              <w:spacing w:after="60"/>
              <w:jc w:val="center"/>
              <w:rPr>
                <w:rFonts w:ascii="Arial" w:hAnsi="Arial" w:cs="Arial"/>
                <w:sz w:val="20"/>
                <w:szCs w:val="20"/>
                <w:lang w:val="en-US"/>
              </w:rPr>
            </w:pPr>
            <w:r w:rsidRPr="0046473D">
              <w:rPr>
                <w:rFonts w:ascii="Arial" w:hAnsi="Arial" w:cs="Arial"/>
                <w:sz w:val="20"/>
                <w:szCs w:val="20"/>
                <w:lang w:val="en-US"/>
              </w:rPr>
              <w:t>21</w:t>
            </w:r>
          </w:p>
        </w:tc>
        <w:tc>
          <w:tcPr>
            <w:tcW w:w="990" w:type="dxa"/>
            <w:vAlign w:val="center"/>
          </w:tcPr>
          <w:p w14:paraId="1B49AFC2" w14:textId="77777777" w:rsidR="007046CA" w:rsidRPr="0046473D" w:rsidRDefault="007046CA" w:rsidP="00C15A79">
            <w:pPr>
              <w:widowControl w:val="0"/>
              <w:spacing w:after="60"/>
              <w:jc w:val="center"/>
              <w:rPr>
                <w:rFonts w:ascii="Arial" w:hAnsi="Arial" w:cs="Arial"/>
                <w:sz w:val="20"/>
                <w:szCs w:val="20"/>
                <w:lang w:val="en-US"/>
              </w:rPr>
            </w:pPr>
            <w:r w:rsidRPr="0046473D">
              <w:rPr>
                <w:rFonts w:ascii="Arial" w:hAnsi="Arial" w:cs="Arial"/>
                <w:sz w:val="20"/>
                <w:szCs w:val="20"/>
                <w:lang w:val="en-US"/>
              </w:rPr>
              <w:t>63</w:t>
            </w:r>
          </w:p>
        </w:tc>
        <w:tc>
          <w:tcPr>
            <w:tcW w:w="1843" w:type="dxa"/>
            <w:vAlign w:val="center"/>
          </w:tcPr>
          <w:p w14:paraId="74E86743" w14:textId="77777777" w:rsidR="007046CA" w:rsidRPr="0046473D" w:rsidRDefault="007046CA" w:rsidP="00C15A79">
            <w:pPr>
              <w:widowControl w:val="0"/>
              <w:spacing w:after="60"/>
              <w:jc w:val="center"/>
              <w:rPr>
                <w:rFonts w:ascii="Arial" w:hAnsi="Arial" w:cs="Arial"/>
                <w:sz w:val="20"/>
                <w:szCs w:val="20"/>
                <w:lang w:val="en-US"/>
              </w:rPr>
            </w:pPr>
            <w:r w:rsidRPr="0046473D">
              <w:rPr>
                <w:rFonts w:ascii="Arial" w:hAnsi="Arial" w:cs="Arial"/>
                <w:sz w:val="20"/>
                <w:szCs w:val="20"/>
                <w:lang w:val="en-US"/>
              </w:rPr>
              <w:t>33%</w:t>
            </w:r>
          </w:p>
        </w:tc>
      </w:tr>
      <w:tr w:rsidR="007046CA" w:rsidRPr="0046473D" w14:paraId="7B8B0CA3" w14:textId="77777777" w:rsidTr="00C15A79">
        <w:trPr>
          <w:cantSplit/>
        </w:trPr>
        <w:tc>
          <w:tcPr>
            <w:tcW w:w="2552" w:type="dxa"/>
            <w:vAlign w:val="center"/>
          </w:tcPr>
          <w:p w14:paraId="128389A6" w14:textId="77777777" w:rsidR="007046CA" w:rsidRPr="0046473D" w:rsidRDefault="007046CA" w:rsidP="00C15A79">
            <w:pPr>
              <w:widowControl w:val="0"/>
              <w:spacing w:after="60"/>
              <w:rPr>
                <w:rFonts w:ascii="Arial" w:hAnsi="Arial" w:cs="Arial"/>
                <w:sz w:val="20"/>
                <w:szCs w:val="20"/>
                <w:lang w:val="en-US"/>
              </w:rPr>
            </w:pPr>
            <w:r w:rsidRPr="0046473D">
              <w:rPr>
                <w:rFonts w:ascii="Arial" w:hAnsi="Arial" w:cs="Arial"/>
                <w:sz w:val="20"/>
                <w:szCs w:val="20"/>
                <w:lang w:val="en-US"/>
              </w:rPr>
              <w:t>Special Schools</w:t>
            </w:r>
          </w:p>
        </w:tc>
        <w:tc>
          <w:tcPr>
            <w:tcW w:w="1129" w:type="dxa"/>
            <w:vAlign w:val="center"/>
          </w:tcPr>
          <w:p w14:paraId="5B444EF7" w14:textId="77777777" w:rsidR="007046CA" w:rsidRPr="0046473D" w:rsidRDefault="007046CA" w:rsidP="00C15A79">
            <w:pPr>
              <w:widowControl w:val="0"/>
              <w:spacing w:after="60"/>
              <w:jc w:val="center"/>
              <w:rPr>
                <w:rFonts w:ascii="Arial" w:hAnsi="Arial" w:cs="Arial"/>
                <w:sz w:val="20"/>
                <w:szCs w:val="20"/>
                <w:lang w:val="en-US"/>
              </w:rPr>
            </w:pPr>
            <w:r w:rsidRPr="0046473D">
              <w:rPr>
                <w:rFonts w:ascii="Arial" w:hAnsi="Arial" w:cs="Arial"/>
                <w:sz w:val="20"/>
                <w:szCs w:val="20"/>
                <w:lang w:val="en-US"/>
              </w:rPr>
              <w:t>62.2</w:t>
            </w:r>
          </w:p>
        </w:tc>
        <w:tc>
          <w:tcPr>
            <w:tcW w:w="2082" w:type="dxa"/>
            <w:vAlign w:val="center"/>
          </w:tcPr>
          <w:p w14:paraId="66963345" w14:textId="77777777" w:rsidR="007046CA" w:rsidRPr="0046473D" w:rsidRDefault="007046CA" w:rsidP="00C15A79">
            <w:pPr>
              <w:widowControl w:val="0"/>
              <w:spacing w:after="60"/>
              <w:jc w:val="center"/>
              <w:rPr>
                <w:rFonts w:ascii="Arial" w:hAnsi="Arial" w:cs="Arial"/>
                <w:sz w:val="20"/>
                <w:szCs w:val="20"/>
                <w:lang w:val="en-US"/>
              </w:rPr>
            </w:pPr>
            <w:r w:rsidRPr="0046473D">
              <w:rPr>
                <w:rFonts w:ascii="Arial" w:hAnsi="Arial" w:cs="Arial"/>
                <w:sz w:val="20"/>
                <w:szCs w:val="20"/>
                <w:lang w:val="en-US"/>
              </w:rPr>
              <w:t>6</w:t>
            </w:r>
          </w:p>
        </w:tc>
        <w:tc>
          <w:tcPr>
            <w:tcW w:w="990" w:type="dxa"/>
            <w:vAlign w:val="center"/>
          </w:tcPr>
          <w:p w14:paraId="2B39BA3B" w14:textId="77777777" w:rsidR="007046CA" w:rsidRPr="0046473D" w:rsidRDefault="007046CA" w:rsidP="00C15A79">
            <w:pPr>
              <w:widowControl w:val="0"/>
              <w:spacing w:after="60"/>
              <w:jc w:val="center"/>
              <w:rPr>
                <w:rFonts w:ascii="Arial" w:hAnsi="Arial" w:cs="Arial"/>
                <w:sz w:val="20"/>
                <w:szCs w:val="20"/>
                <w:lang w:val="en-US"/>
              </w:rPr>
            </w:pPr>
            <w:r w:rsidRPr="0046473D">
              <w:rPr>
                <w:rFonts w:ascii="Arial" w:hAnsi="Arial" w:cs="Arial"/>
                <w:sz w:val="20"/>
                <w:szCs w:val="20"/>
                <w:lang w:val="en-US"/>
              </w:rPr>
              <w:t>11</w:t>
            </w:r>
          </w:p>
        </w:tc>
        <w:tc>
          <w:tcPr>
            <w:tcW w:w="1843" w:type="dxa"/>
            <w:vAlign w:val="center"/>
          </w:tcPr>
          <w:p w14:paraId="60AA2CF1" w14:textId="77777777" w:rsidR="007046CA" w:rsidRPr="0046473D" w:rsidRDefault="007046CA" w:rsidP="00C15A79">
            <w:pPr>
              <w:widowControl w:val="0"/>
              <w:spacing w:after="60"/>
              <w:jc w:val="center"/>
              <w:rPr>
                <w:rFonts w:ascii="Arial" w:hAnsi="Arial" w:cs="Arial"/>
                <w:sz w:val="20"/>
                <w:szCs w:val="20"/>
                <w:lang w:val="en-US"/>
              </w:rPr>
            </w:pPr>
            <w:r w:rsidRPr="0046473D">
              <w:rPr>
                <w:rFonts w:ascii="Arial" w:hAnsi="Arial" w:cs="Arial"/>
                <w:sz w:val="20"/>
                <w:szCs w:val="20"/>
                <w:lang w:val="en-US"/>
              </w:rPr>
              <w:t>55%</w:t>
            </w:r>
          </w:p>
        </w:tc>
      </w:tr>
      <w:tr w:rsidR="007046CA" w:rsidRPr="0046473D" w14:paraId="520EB84D" w14:textId="77777777" w:rsidTr="00C15A79">
        <w:trPr>
          <w:cantSplit/>
        </w:trPr>
        <w:tc>
          <w:tcPr>
            <w:tcW w:w="2552" w:type="dxa"/>
            <w:vAlign w:val="center"/>
          </w:tcPr>
          <w:p w14:paraId="2070C96B" w14:textId="77777777" w:rsidR="007046CA" w:rsidRPr="0046473D" w:rsidRDefault="007046CA" w:rsidP="00C15A79">
            <w:pPr>
              <w:widowControl w:val="0"/>
              <w:spacing w:after="60"/>
              <w:rPr>
                <w:rFonts w:ascii="Arial" w:hAnsi="Arial" w:cs="Arial"/>
                <w:sz w:val="20"/>
                <w:szCs w:val="20"/>
                <w:lang w:val="en-US"/>
              </w:rPr>
            </w:pPr>
            <w:r w:rsidRPr="0046473D">
              <w:rPr>
                <w:rFonts w:ascii="Arial" w:hAnsi="Arial" w:cs="Arial"/>
                <w:sz w:val="20"/>
                <w:szCs w:val="20"/>
                <w:lang w:val="en-US"/>
              </w:rPr>
              <w:t>Private (For-profit)</w:t>
            </w:r>
          </w:p>
        </w:tc>
        <w:tc>
          <w:tcPr>
            <w:tcW w:w="1129" w:type="dxa"/>
            <w:vAlign w:val="center"/>
          </w:tcPr>
          <w:p w14:paraId="21EBDF9F" w14:textId="77777777" w:rsidR="007046CA" w:rsidRPr="0046473D" w:rsidRDefault="007046CA" w:rsidP="00C15A79">
            <w:pPr>
              <w:widowControl w:val="0"/>
              <w:spacing w:after="60"/>
              <w:jc w:val="center"/>
              <w:rPr>
                <w:rFonts w:ascii="Arial" w:hAnsi="Arial" w:cs="Arial"/>
                <w:sz w:val="20"/>
                <w:szCs w:val="20"/>
                <w:lang w:val="en-US"/>
              </w:rPr>
            </w:pPr>
            <w:r w:rsidRPr="0046473D">
              <w:rPr>
                <w:rFonts w:ascii="Arial" w:hAnsi="Arial" w:cs="Arial"/>
                <w:sz w:val="20"/>
                <w:szCs w:val="20"/>
                <w:lang w:val="en-US"/>
              </w:rPr>
              <w:t>61.9</w:t>
            </w:r>
          </w:p>
        </w:tc>
        <w:tc>
          <w:tcPr>
            <w:tcW w:w="2082" w:type="dxa"/>
            <w:vAlign w:val="center"/>
          </w:tcPr>
          <w:p w14:paraId="70EE90C1" w14:textId="77777777" w:rsidR="007046CA" w:rsidRPr="0046473D" w:rsidRDefault="007046CA" w:rsidP="00C15A79">
            <w:pPr>
              <w:widowControl w:val="0"/>
              <w:spacing w:after="60"/>
              <w:jc w:val="center"/>
              <w:rPr>
                <w:rFonts w:ascii="Arial" w:hAnsi="Arial" w:cs="Arial"/>
                <w:sz w:val="20"/>
                <w:szCs w:val="20"/>
                <w:lang w:val="en-US"/>
              </w:rPr>
            </w:pPr>
            <w:r w:rsidRPr="0046473D">
              <w:rPr>
                <w:rFonts w:ascii="Arial" w:hAnsi="Arial" w:cs="Arial"/>
                <w:sz w:val="20"/>
                <w:szCs w:val="20"/>
                <w:lang w:val="en-US"/>
              </w:rPr>
              <w:t>65</w:t>
            </w:r>
          </w:p>
        </w:tc>
        <w:tc>
          <w:tcPr>
            <w:tcW w:w="990" w:type="dxa"/>
            <w:vAlign w:val="center"/>
          </w:tcPr>
          <w:p w14:paraId="0B342C96" w14:textId="77777777" w:rsidR="007046CA" w:rsidRPr="0046473D" w:rsidRDefault="007046CA" w:rsidP="00C15A79">
            <w:pPr>
              <w:widowControl w:val="0"/>
              <w:spacing w:after="60"/>
              <w:jc w:val="center"/>
              <w:rPr>
                <w:rFonts w:ascii="Arial" w:hAnsi="Arial" w:cs="Arial"/>
                <w:sz w:val="20"/>
                <w:szCs w:val="20"/>
                <w:lang w:val="en-US"/>
              </w:rPr>
            </w:pPr>
            <w:r w:rsidRPr="0046473D">
              <w:rPr>
                <w:rFonts w:ascii="Arial" w:hAnsi="Arial" w:cs="Arial"/>
                <w:sz w:val="20"/>
                <w:szCs w:val="20"/>
                <w:lang w:val="en-US"/>
              </w:rPr>
              <w:t>112</w:t>
            </w:r>
          </w:p>
        </w:tc>
        <w:tc>
          <w:tcPr>
            <w:tcW w:w="1843" w:type="dxa"/>
            <w:vAlign w:val="center"/>
          </w:tcPr>
          <w:p w14:paraId="6B9F1C54" w14:textId="77777777" w:rsidR="007046CA" w:rsidRPr="0046473D" w:rsidRDefault="007046CA" w:rsidP="00C15A79">
            <w:pPr>
              <w:widowControl w:val="0"/>
              <w:spacing w:after="60"/>
              <w:jc w:val="center"/>
              <w:rPr>
                <w:rFonts w:ascii="Arial" w:hAnsi="Arial" w:cs="Arial"/>
                <w:sz w:val="20"/>
                <w:szCs w:val="20"/>
                <w:lang w:val="en-US"/>
              </w:rPr>
            </w:pPr>
            <w:r w:rsidRPr="0046473D">
              <w:rPr>
                <w:rFonts w:ascii="Arial" w:hAnsi="Arial" w:cs="Arial"/>
                <w:sz w:val="20"/>
                <w:szCs w:val="20"/>
                <w:lang w:val="en-US"/>
              </w:rPr>
              <w:t>58%</w:t>
            </w:r>
          </w:p>
        </w:tc>
      </w:tr>
      <w:tr w:rsidR="007046CA" w:rsidRPr="0046473D" w14:paraId="22CD36BF" w14:textId="77777777" w:rsidTr="00C15A79">
        <w:trPr>
          <w:cantSplit/>
        </w:trPr>
        <w:tc>
          <w:tcPr>
            <w:tcW w:w="2552" w:type="dxa"/>
            <w:tcBorders>
              <w:bottom w:val="single" w:sz="4" w:space="0" w:color="auto"/>
            </w:tcBorders>
            <w:vAlign w:val="center"/>
          </w:tcPr>
          <w:p w14:paraId="19C1507F" w14:textId="77777777" w:rsidR="007046CA" w:rsidRPr="0046473D" w:rsidRDefault="007046CA" w:rsidP="00C15A79">
            <w:pPr>
              <w:widowControl w:val="0"/>
              <w:spacing w:after="60"/>
              <w:rPr>
                <w:rFonts w:ascii="Arial" w:hAnsi="Arial" w:cs="Arial"/>
                <w:sz w:val="20"/>
                <w:szCs w:val="20"/>
                <w:lang w:val="en-US"/>
              </w:rPr>
            </w:pPr>
            <w:r w:rsidRPr="0046473D">
              <w:rPr>
                <w:rFonts w:ascii="Arial" w:hAnsi="Arial" w:cs="Arial"/>
                <w:sz w:val="20"/>
                <w:szCs w:val="20"/>
                <w:lang w:val="en-US"/>
              </w:rPr>
              <w:t>Public (Municipal)</w:t>
            </w:r>
          </w:p>
        </w:tc>
        <w:tc>
          <w:tcPr>
            <w:tcW w:w="1129" w:type="dxa"/>
            <w:tcBorders>
              <w:bottom w:val="single" w:sz="4" w:space="0" w:color="auto"/>
            </w:tcBorders>
            <w:vAlign w:val="center"/>
          </w:tcPr>
          <w:p w14:paraId="2839C88B" w14:textId="77777777" w:rsidR="007046CA" w:rsidRPr="0046473D" w:rsidRDefault="007046CA" w:rsidP="00C15A79">
            <w:pPr>
              <w:widowControl w:val="0"/>
              <w:spacing w:after="60"/>
              <w:jc w:val="center"/>
              <w:rPr>
                <w:rFonts w:ascii="Arial" w:hAnsi="Arial" w:cs="Arial"/>
                <w:sz w:val="20"/>
                <w:szCs w:val="20"/>
                <w:lang w:val="en-US"/>
              </w:rPr>
            </w:pPr>
            <w:r w:rsidRPr="0046473D">
              <w:rPr>
                <w:rFonts w:ascii="Arial" w:hAnsi="Arial" w:cs="Arial"/>
                <w:sz w:val="20"/>
                <w:szCs w:val="20"/>
                <w:lang w:val="en-US"/>
              </w:rPr>
              <w:t>60.4</w:t>
            </w:r>
          </w:p>
        </w:tc>
        <w:tc>
          <w:tcPr>
            <w:tcW w:w="2082" w:type="dxa"/>
            <w:tcBorders>
              <w:bottom w:val="single" w:sz="4" w:space="0" w:color="auto"/>
            </w:tcBorders>
            <w:vAlign w:val="center"/>
          </w:tcPr>
          <w:p w14:paraId="4BCF3D02" w14:textId="77777777" w:rsidR="007046CA" w:rsidRPr="0046473D" w:rsidRDefault="007046CA" w:rsidP="00C15A79">
            <w:pPr>
              <w:widowControl w:val="0"/>
              <w:spacing w:after="60"/>
              <w:jc w:val="center"/>
              <w:rPr>
                <w:rFonts w:ascii="Arial" w:hAnsi="Arial" w:cs="Arial"/>
                <w:sz w:val="20"/>
                <w:szCs w:val="20"/>
                <w:lang w:val="en-US"/>
              </w:rPr>
            </w:pPr>
            <w:r w:rsidRPr="0046473D">
              <w:rPr>
                <w:rFonts w:ascii="Arial" w:hAnsi="Arial" w:cs="Arial"/>
                <w:sz w:val="20"/>
                <w:szCs w:val="20"/>
                <w:lang w:val="en-US"/>
              </w:rPr>
              <w:t>7</w:t>
            </w:r>
          </w:p>
        </w:tc>
        <w:tc>
          <w:tcPr>
            <w:tcW w:w="990" w:type="dxa"/>
            <w:tcBorders>
              <w:bottom w:val="single" w:sz="4" w:space="0" w:color="auto"/>
            </w:tcBorders>
            <w:vAlign w:val="center"/>
          </w:tcPr>
          <w:p w14:paraId="68645EA0" w14:textId="77777777" w:rsidR="007046CA" w:rsidRPr="0046473D" w:rsidRDefault="007046CA" w:rsidP="00C15A79">
            <w:pPr>
              <w:widowControl w:val="0"/>
              <w:spacing w:after="60"/>
              <w:jc w:val="center"/>
              <w:rPr>
                <w:rFonts w:ascii="Arial" w:hAnsi="Arial" w:cs="Arial"/>
                <w:sz w:val="20"/>
                <w:szCs w:val="20"/>
                <w:lang w:val="en-US"/>
              </w:rPr>
            </w:pPr>
            <w:r w:rsidRPr="0046473D">
              <w:rPr>
                <w:rFonts w:ascii="Arial" w:hAnsi="Arial" w:cs="Arial"/>
                <w:sz w:val="20"/>
                <w:szCs w:val="20"/>
                <w:lang w:val="en-US"/>
              </w:rPr>
              <w:t>8</w:t>
            </w:r>
          </w:p>
        </w:tc>
        <w:tc>
          <w:tcPr>
            <w:tcW w:w="1843" w:type="dxa"/>
            <w:tcBorders>
              <w:bottom w:val="single" w:sz="4" w:space="0" w:color="auto"/>
            </w:tcBorders>
            <w:vAlign w:val="center"/>
          </w:tcPr>
          <w:p w14:paraId="6D8F055A" w14:textId="77777777" w:rsidR="007046CA" w:rsidRPr="0046473D" w:rsidRDefault="007046CA" w:rsidP="00C15A79">
            <w:pPr>
              <w:widowControl w:val="0"/>
              <w:spacing w:after="60"/>
              <w:jc w:val="center"/>
              <w:rPr>
                <w:rFonts w:ascii="Arial" w:hAnsi="Arial" w:cs="Arial"/>
                <w:sz w:val="20"/>
                <w:szCs w:val="20"/>
                <w:lang w:val="en-US"/>
              </w:rPr>
            </w:pPr>
            <w:r w:rsidRPr="0046473D">
              <w:rPr>
                <w:rFonts w:ascii="Arial" w:hAnsi="Arial" w:cs="Arial"/>
                <w:sz w:val="20"/>
                <w:szCs w:val="20"/>
                <w:lang w:val="en-US"/>
              </w:rPr>
              <w:t>88%</w:t>
            </w:r>
          </w:p>
        </w:tc>
      </w:tr>
    </w:tbl>
    <w:p w14:paraId="35BA0A57" w14:textId="77777777" w:rsidR="007046CA" w:rsidRPr="0046473D" w:rsidRDefault="007046CA" w:rsidP="007046CA">
      <w:pPr>
        <w:pStyle w:val="ListParagraph"/>
        <w:widowControl w:val="0"/>
        <w:spacing w:after="120" w:line="360" w:lineRule="auto"/>
        <w:jc w:val="both"/>
        <w:rPr>
          <w:rFonts w:ascii="Arial" w:hAnsi="Arial" w:cs="Arial"/>
          <w:b/>
          <w:bCs/>
          <w:lang w:val="en-US"/>
        </w:rPr>
      </w:pPr>
    </w:p>
    <w:p w14:paraId="3D2B73FD" w14:textId="77777777" w:rsidR="007046CA" w:rsidRPr="0046473D" w:rsidRDefault="007046CA" w:rsidP="0046473D">
      <w:pPr>
        <w:widowControl w:val="0"/>
        <w:spacing w:after="120" w:line="360" w:lineRule="auto"/>
        <w:jc w:val="both"/>
        <w:rPr>
          <w:rFonts w:ascii="Arial" w:hAnsi="Arial" w:cs="Arial"/>
          <w:b/>
          <w:bCs/>
          <w:lang w:val="en-US"/>
        </w:rPr>
      </w:pPr>
      <w:r w:rsidRPr="0046473D">
        <w:rPr>
          <w:rFonts w:ascii="Arial" w:hAnsi="Arial" w:cs="Arial"/>
          <w:b/>
          <w:bCs/>
          <w:lang w:val="en-US"/>
        </w:rPr>
        <w:t>Supplementary Table S2: Model Comparison for Enrollment Effect (WAIC/DIC)</w:t>
      </w:r>
    </w:p>
    <w:tbl>
      <w:tblPr>
        <w:tblW w:w="8222" w:type="dxa"/>
        <w:tblLayout w:type="fixed"/>
        <w:tblLook w:val="0000" w:firstRow="0" w:lastRow="0" w:firstColumn="0" w:lastColumn="0" w:noHBand="0" w:noVBand="0"/>
      </w:tblPr>
      <w:tblGrid>
        <w:gridCol w:w="3686"/>
        <w:gridCol w:w="1129"/>
        <w:gridCol w:w="2082"/>
        <w:gridCol w:w="1325"/>
      </w:tblGrid>
      <w:tr w:rsidR="007046CA" w:rsidRPr="0046473D" w14:paraId="226919CB" w14:textId="77777777" w:rsidTr="00C15A79">
        <w:trPr>
          <w:cantSplit/>
          <w:tblHeader/>
        </w:trPr>
        <w:tc>
          <w:tcPr>
            <w:tcW w:w="3686" w:type="dxa"/>
            <w:vMerge w:val="restart"/>
            <w:tcBorders>
              <w:top w:val="single" w:sz="4" w:space="0" w:color="auto"/>
            </w:tcBorders>
            <w:vAlign w:val="center"/>
          </w:tcPr>
          <w:p w14:paraId="470D7638" w14:textId="77777777" w:rsidR="007046CA" w:rsidRPr="0046473D" w:rsidRDefault="007046CA" w:rsidP="00C15A79">
            <w:pPr>
              <w:widowControl w:val="0"/>
              <w:spacing w:after="60"/>
              <w:rPr>
                <w:rFonts w:ascii="Arial" w:hAnsi="Arial" w:cs="Arial"/>
                <w:b/>
                <w:bCs/>
                <w:sz w:val="20"/>
                <w:szCs w:val="20"/>
                <w:lang w:val="en-US"/>
              </w:rPr>
            </w:pPr>
            <w:r w:rsidRPr="0046473D">
              <w:rPr>
                <w:rFonts w:ascii="Arial" w:hAnsi="Arial" w:cs="Arial"/>
                <w:b/>
                <w:bCs/>
                <w:sz w:val="20"/>
                <w:szCs w:val="20"/>
                <w:lang w:val="en-US"/>
              </w:rPr>
              <w:t>Candidate model</w:t>
            </w:r>
          </w:p>
        </w:tc>
        <w:tc>
          <w:tcPr>
            <w:tcW w:w="3211" w:type="dxa"/>
            <w:gridSpan w:val="2"/>
            <w:tcBorders>
              <w:top w:val="single" w:sz="4" w:space="0" w:color="auto"/>
              <w:bottom w:val="single" w:sz="4" w:space="0" w:color="auto"/>
            </w:tcBorders>
            <w:vAlign w:val="center"/>
          </w:tcPr>
          <w:p w14:paraId="6A7D1CDB" w14:textId="77777777" w:rsidR="007046CA" w:rsidRPr="0046473D" w:rsidRDefault="007046CA" w:rsidP="00C15A79">
            <w:pPr>
              <w:widowControl w:val="0"/>
              <w:spacing w:after="0"/>
              <w:jc w:val="center"/>
              <w:rPr>
                <w:rFonts w:ascii="Arial" w:hAnsi="Arial" w:cs="Arial"/>
                <w:b/>
                <w:bCs/>
                <w:color w:val="000000"/>
                <w:sz w:val="20"/>
                <w:szCs w:val="20"/>
                <w:lang w:val="en-US"/>
              </w:rPr>
            </w:pPr>
            <w:r w:rsidRPr="0046473D">
              <w:rPr>
                <w:rFonts w:ascii="Arial" w:hAnsi="Arial" w:cs="Arial"/>
                <w:b/>
                <w:bCs/>
                <w:color w:val="000000"/>
                <w:sz w:val="20"/>
                <w:szCs w:val="20"/>
                <w:lang w:val="en-US"/>
              </w:rPr>
              <w:t>Information criteria</w:t>
            </w:r>
          </w:p>
        </w:tc>
        <w:tc>
          <w:tcPr>
            <w:tcW w:w="1325" w:type="dxa"/>
            <w:vMerge w:val="restart"/>
            <w:tcBorders>
              <w:top w:val="single" w:sz="4" w:space="0" w:color="auto"/>
            </w:tcBorders>
            <w:vAlign w:val="center"/>
          </w:tcPr>
          <w:p w14:paraId="5CC8E795" w14:textId="77777777" w:rsidR="007046CA" w:rsidRPr="0046473D" w:rsidRDefault="007046CA" w:rsidP="00C15A79">
            <w:pPr>
              <w:widowControl w:val="0"/>
              <w:spacing w:after="60"/>
              <w:jc w:val="center"/>
              <w:rPr>
                <w:rFonts w:ascii="Arial" w:hAnsi="Arial" w:cs="Arial"/>
                <w:b/>
                <w:bCs/>
                <w:sz w:val="20"/>
                <w:szCs w:val="20"/>
                <w:lang w:val="en-US"/>
              </w:rPr>
            </w:pPr>
            <w:r w:rsidRPr="0046473D">
              <w:rPr>
                <w:rFonts w:ascii="Arial" w:hAnsi="Arial" w:cs="Arial"/>
                <w:b/>
                <w:bCs/>
                <w:color w:val="000000"/>
                <w:sz w:val="20"/>
                <w:szCs w:val="20"/>
                <w:lang w:val="en-US"/>
              </w:rPr>
              <w:t>CPO failure rate</w:t>
            </w:r>
          </w:p>
        </w:tc>
      </w:tr>
      <w:tr w:rsidR="007046CA" w:rsidRPr="0046473D" w14:paraId="73F312B7" w14:textId="77777777" w:rsidTr="00C15A79">
        <w:trPr>
          <w:cantSplit/>
          <w:tblHeader/>
        </w:trPr>
        <w:tc>
          <w:tcPr>
            <w:tcW w:w="3686" w:type="dxa"/>
            <w:vMerge/>
            <w:tcBorders>
              <w:bottom w:val="single" w:sz="4" w:space="0" w:color="auto"/>
            </w:tcBorders>
            <w:vAlign w:val="center"/>
          </w:tcPr>
          <w:p w14:paraId="350F5258" w14:textId="77777777" w:rsidR="007046CA" w:rsidRPr="0046473D" w:rsidRDefault="007046CA" w:rsidP="00C15A79">
            <w:pPr>
              <w:widowControl w:val="0"/>
              <w:spacing w:after="60"/>
              <w:rPr>
                <w:rFonts w:ascii="Arial" w:hAnsi="Arial" w:cs="Arial"/>
                <w:b/>
                <w:bCs/>
                <w:sz w:val="20"/>
                <w:szCs w:val="20"/>
                <w:lang w:val="en-US"/>
              </w:rPr>
            </w:pPr>
          </w:p>
        </w:tc>
        <w:tc>
          <w:tcPr>
            <w:tcW w:w="1129" w:type="dxa"/>
            <w:tcBorders>
              <w:top w:val="single" w:sz="4" w:space="0" w:color="auto"/>
              <w:bottom w:val="single" w:sz="4" w:space="0" w:color="auto"/>
            </w:tcBorders>
            <w:vAlign w:val="center"/>
          </w:tcPr>
          <w:p w14:paraId="27D6CC64" w14:textId="77777777" w:rsidR="007046CA" w:rsidRPr="0046473D" w:rsidRDefault="007046CA" w:rsidP="00C15A79">
            <w:pPr>
              <w:widowControl w:val="0"/>
              <w:spacing w:after="60"/>
              <w:jc w:val="center"/>
              <w:rPr>
                <w:rFonts w:ascii="Arial" w:hAnsi="Arial" w:cs="Arial"/>
                <w:b/>
                <w:bCs/>
                <w:sz w:val="20"/>
                <w:szCs w:val="20"/>
                <w:lang w:val="en-US"/>
              </w:rPr>
            </w:pPr>
            <w:r w:rsidRPr="0046473D">
              <w:rPr>
                <w:rFonts w:ascii="Arial" w:hAnsi="Arial" w:cs="Arial"/>
                <w:b/>
                <w:bCs/>
                <w:color w:val="000000"/>
                <w:sz w:val="20"/>
                <w:szCs w:val="20"/>
                <w:lang w:val="en-US"/>
              </w:rPr>
              <w:t>WAIC</w:t>
            </w:r>
          </w:p>
        </w:tc>
        <w:tc>
          <w:tcPr>
            <w:tcW w:w="2082" w:type="dxa"/>
            <w:tcBorders>
              <w:top w:val="single" w:sz="4" w:space="0" w:color="auto"/>
              <w:bottom w:val="single" w:sz="4" w:space="0" w:color="auto"/>
            </w:tcBorders>
            <w:vAlign w:val="center"/>
          </w:tcPr>
          <w:p w14:paraId="766BEAAC" w14:textId="77777777" w:rsidR="007046CA" w:rsidRPr="0046473D" w:rsidRDefault="007046CA" w:rsidP="00C15A79">
            <w:pPr>
              <w:widowControl w:val="0"/>
              <w:spacing w:after="60"/>
              <w:jc w:val="center"/>
              <w:rPr>
                <w:rFonts w:ascii="Arial" w:hAnsi="Arial" w:cs="Arial"/>
                <w:b/>
                <w:bCs/>
                <w:sz w:val="20"/>
                <w:szCs w:val="20"/>
                <w:lang w:val="en-US"/>
              </w:rPr>
            </w:pPr>
            <w:r w:rsidRPr="0046473D">
              <w:rPr>
                <w:rFonts w:ascii="Arial" w:hAnsi="Arial" w:cs="Arial"/>
                <w:b/>
                <w:bCs/>
                <w:color w:val="000000"/>
                <w:sz w:val="20"/>
                <w:szCs w:val="20"/>
                <w:lang w:val="en-US"/>
              </w:rPr>
              <w:t>DIC</w:t>
            </w:r>
          </w:p>
        </w:tc>
        <w:tc>
          <w:tcPr>
            <w:tcW w:w="1325" w:type="dxa"/>
            <w:vMerge/>
            <w:tcBorders>
              <w:bottom w:val="single" w:sz="4" w:space="0" w:color="auto"/>
            </w:tcBorders>
            <w:vAlign w:val="center"/>
          </w:tcPr>
          <w:p w14:paraId="2516BA3A" w14:textId="77777777" w:rsidR="007046CA" w:rsidRPr="0046473D" w:rsidRDefault="007046CA" w:rsidP="00C15A79">
            <w:pPr>
              <w:widowControl w:val="0"/>
              <w:spacing w:after="60"/>
              <w:jc w:val="center"/>
              <w:rPr>
                <w:rFonts w:ascii="Arial" w:hAnsi="Arial" w:cs="Arial"/>
                <w:b/>
                <w:bCs/>
                <w:sz w:val="20"/>
                <w:szCs w:val="20"/>
                <w:lang w:val="en-US"/>
              </w:rPr>
            </w:pPr>
          </w:p>
        </w:tc>
      </w:tr>
      <w:tr w:rsidR="007046CA" w:rsidRPr="0046473D" w14:paraId="1E4BE9D8" w14:textId="77777777" w:rsidTr="00C15A79">
        <w:trPr>
          <w:cantSplit/>
        </w:trPr>
        <w:tc>
          <w:tcPr>
            <w:tcW w:w="3686" w:type="dxa"/>
            <w:vAlign w:val="center"/>
          </w:tcPr>
          <w:p w14:paraId="4F21F9E7" w14:textId="77777777" w:rsidR="007046CA" w:rsidRPr="0046473D" w:rsidRDefault="007046CA" w:rsidP="00C15A79">
            <w:pPr>
              <w:widowControl w:val="0"/>
              <w:spacing w:after="60"/>
              <w:rPr>
                <w:rFonts w:ascii="Arial" w:hAnsi="Arial" w:cs="Arial"/>
                <w:sz w:val="20"/>
                <w:szCs w:val="20"/>
                <w:lang w:val="en-US"/>
              </w:rPr>
            </w:pPr>
            <w:r w:rsidRPr="0046473D">
              <w:rPr>
                <w:rFonts w:ascii="Arial" w:hAnsi="Arial" w:cs="Arial"/>
                <w:sz w:val="20"/>
                <w:szCs w:val="20"/>
                <w:lang w:val="en-US"/>
              </w:rPr>
              <w:t>Linear: Slots (main effect)</w:t>
            </w:r>
          </w:p>
        </w:tc>
        <w:tc>
          <w:tcPr>
            <w:tcW w:w="1129" w:type="dxa"/>
            <w:vAlign w:val="center"/>
          </w:tcPr>
          <w:p w14:paraId="657D03D5" w14:textId="77777777" w:rsidR="007046CA" w:rsidRPr="0046473D" w:rsidRDefault="007046CA" w:rsidP="00C15A79">
            <w:pPr>
              <w:widowControl w:val="0"/>
              <w:spacing w:after="60"/>
              <w:jc w:val="center"/>
              <w:rPr>
                <w:rFonts w:ascii="Arial" w:hAnsi="Arial" w:cs="Arial"/>
                <w:sz w:val="20"/>
                <w:szCs w:val="20"/>
                <w:lang w:val="en-US"/>
              </w:rPr>
            </w:pPr>
            <w:r w:rsidRPr="0046473D">
              <w:rPr>
                <w:rFonts w:ascii="Arial" w:hAnsi="Arial" w:cs="Arial"/>
                <w:color w:val="000000"/>
                <w:sz w:val="20"/>
                <w:szCs w:val="20"/>
                <w:lang w:val="en-US"/>
              </w:rPr>
              <w:t>2,615.60</w:t>
            </w:r>
          </w:p>
        </w:tc>
        <w:tc>
          <w:tcPr>
            <w:tcW w:w="2082" w:type="dxa"/>
            <w:vAlign w:val="center"/>
          </w:tcPr>
          <w:p w14:paraId="0808F852" w14:textId="77777777" w:rsidR="007046CA" w:rsidRPr="0046473D" w:rsidRDefault="007046CA" w:rsidP="00C15A79">
            <w:pPr>
              <w:widowControl w:val="0"/>
              <w:spacing w:after="60"/>
              <w:jc w:val="center"/>
              <w:rPr>
                <w:rFonts w:ascii="Arial" w:hAnsi="Arial" w:cs="Arial"/>
                <w:sz w:val="20"/>
                <w:szCs w:val="20"/>
                <w:lang w:val="en-US"/>
              </w:rPr>
            </w:pPr>
            <w:r w:rsidRPr="0046473D">
              <w:rPr>
                <w:rFonts w:ascii="Arial" w:hAnsi="Arial" w:cs="Arial"/>
                <w:color w:val="000000"/>
                <w:sz w:val="20"/>
                <w:szCs w:val="20"/>
                <w:lang w:val="en-US"/>
              </w:rPr>
              <w:t>2,612.20</w:t>
            </w:r>
          </w:p>
        </w:tc>
        <w:tc>
          <w:tcPr>
            <w:tcW w:w="1325" w:type="dxa"/>
            <w:vAlign w:val="center"/>
          </w:tcPr>
          <w:p w14:paraId="5B2B1184" w14:textId="77777777" w:rsidR="007046CA" w:rsidRPr="0046473D" w:rsidRDefault="007046CA" w:rsidP="00C15A79">
            <w:pPr>
              <w:widowControl w:val="0"/>
              <w:spacing w:after="60"/>
              <w:jc w:val="center"/>
              <w:rPr>
                <w:rFonts w:ascii="Arial" w:hAnsi="Arial" w:cs="Arial"/>
                <w:sz w:val="20"/>
                <w:szCs w:val="20"/>
                <w:lang w:val="en-US"/>
              </w:rPr>
            </w:pPr>
            <w:r w:rsidRPr="0046473D">
              <w:rPr>
                <w:rFonts w:ascii="Arial" w:hAnsi="Arial" w:cs="Arial"/>
                <w:sz w:val="20"/>
                <w:szCs w:val="20"/>
                <w:lang w:val="en-US"/>
              </w:rPr>
              <w:t>0.00%</w:t>
            </w:r>
          </w:p>
        </w:tc>
      </w:tr>
      <w:tr w:rsidR="007046CA" w:rsidRPr="0046473D" w14:paraId="4695D42A" w14:textId="77777777" w:rsidTr="00C15A79">
        <w:trPr>
          <w:cantSplit/>
        </w:trPr>
        <w:tc>
          <w:tcPr>
            <w:tcW w:w="3686" w:type="dxa"/>
            <w:vAlign w:val="center"/>
          </w:tcPr>
          <w:p w14:paraId="6156C4BB" w14:textId="77777777" w:rsidR="007046CA" w:rsidRPr="0046473D" w:rsidRDefault="007046CA" w:rsidP="00C15A79">
            <w:pPr>
              <w:widowControl w:val="0"/>
              <w:spacing w:after="60"/>
              <w:rPr>
                <w:rFonts w:ascii="Arial" w:hAnsi="Arial" w:cs="Arial"/>
                <w:sz w:val="20"/>
                <w:szCs w:val="20"/>
                <w:lang w:val="en-US"/>
              </w:rPr>
            </w:pPr>
            <w:r w:rsidRPr="0046473D">
              <w:rPr>
                <w:rFonts w:ascii="Arial" w:hAnsi="Arial" w:cs="Arial"/>
                <w:sz w:val="20"/>
                <w:szCs w:val="20"/>
                <w:lang w:val="en-US"/>
              </w:rPr>
              <w:t>Non-linear: RW2 smooth of Slots</w:t>
            </w:r>
          </w:p>
        </w:tc>
        <w:tc>
          <w:tcPr>
            <w:tcW w:w="1129" w:type="dxa"/>
            <w:vAlign w:val="center"/>
          </w:tcPr>
          <w:p w14:paraId="58C61BCA" w14:textId="77777777" w:rsidR="007046CA" w:rsidRPr="0046473D" w:rsidRDefault="007046CA" w:rsidP="00C15A79">
            <w:pPr>
              <w:widowControl w:val="0"/>
              <w:spacing w:after="60"/>
              <w:jc w:val="center"/>
              <w:rPr>
                <w:rFonts w:ascii="Arial" w:hAnsi="Arial" w:cs="Arial"/>
                <w:sz w:val="20"/>
                <w:szCs w:val="20"/>
                <w:lang w:val="en-US"/>
              </w:rPr>
            </w:pPr>
            <w:r w:rsidRPr="0046473D">
              <w:rPr>
                <w:rFonts w:ascii="Arial" w:hAnsi="Arial" w:cs="Arial"/>
                <w:color w:val="000000"/>
                <w:sz w:val="20"/>
                <w:szCs w:val="20"/>
                <w:lang w:val="en-US"/>
              </w:rPr>
              <w:t>2,616.70</w:t>
            </w:r>
          </w:p>
        </w:tc>
        <w:tc>
          <w:tcPr>
            <w:tcW w:w="2082" w:type="dxa"/>
            <w:vAlign w:val="center"/>
          </w:tcPr>
          <w:p w14:paraId="4324F6C4" w14:textId="77777777" w:rsidR="007046CA" w:rsidRPr="0046473D" w:rsidRDefault="007046CA" w:rsidP="00C15A79">
            <w:pPr>
              <w:widowControl w:val="0"/>
              <w:spacing w:after="60"/>
              <w:jc w:val="center"/>
              <w:rPr>
                <w:rFonts w:ascii="Arial" w:hAnsi="Arial" w:cs="Arial"/>
                <w:sz w:val="20"/>
                <w:szCs w:val="20"/>
                <w:lang w:val="en-US"/>
              </w:rPr>
            </w:pPr>
            <w:r w:rsidRPr="0046473D">
              <w:rPr>
                <w:rFonts w:ascii="Arial" w:hAnsi="Arial" w:cs="Arial"/>
                <w:color w:val="000000"/>
                <w:sz w:val="20"/>
                <w:szCs w:val="20"/>
                <w:lang w:val="en-US"/>
              </w:rPr>
              <w:t>2,612.10</w:t>
            </w:r>
          </w:p>
        </w:tc>
        <w:tc>
          <w:tcPr>
            <w:tcW w:w="1325" w:type="dxa"/>
            <w:vAlign w:val="center"/>
          </w:tcPr>
          <w:p w14:paraId="7C1B83A2" w14:textId="77777777" w:rsidR="007046CA" w:rsidRPr="0046473D" w:rsidRDefault="007046CA" w:rsidP="00C15A79">
            <w:pPr>
              <w:widowControl w:val="0"/>
              <w:spacing w:after="60"/>
              <w:jc w:val="center"/>
              <w:rPr>
                <w:rFonts w:ascii="Arial" w:hAnsi="Arial" w:cs="Arial"/>
                <w:sz w:val="20"/>
                <w:szCs w:val="20"/>
                <w:lang w:val="en-US"/>
              </w:rPr>
            </w:pPr>
            <w:r w:rsidRPr="0046473D">
              <w:rPr>
                <w:rFonts w:ascii="Arial" w:hAnsi="Arial" w:cs="Arial"/>
                <w:sz w:val="20"/>
                <w:szCs w:val="20"/>
                <w:lang w:val="en-US"/>
              </w:rPr>
              <w:t>0.00%</w:t>
            </w:r>
          </w:p>
        </w:tc>
      </w:tr>
      <w:tr w:rsidR="007046CA" w:rsidRPr="0046473D" w14:paraId="4F26DB56" w14:textId="77777777" w:rsidTr="00C15A79">
        <w:trPr>
          <w:cantSplit/>
        </w:trPr>
        <w:tc>
          <w:tcPr>
            <w:tcW w:w="3686" w:type="dxa"/>
            <w:tcBorders>
              <w:bottom w:val="single" w:sz="4" w:space="0" w:color="auto"/>
            </w:tcBorders>
            <w:vAlign w:val="center"/>
          </w:tcPr>
          <w:p w14:paraId="7CF921E6" w14:textId="77777777" w:rsidR="007046CA" w:rsidRPr="0046473D" w:rsidRDefault="007046CA" w:rsidP="00C15A79">
            <w:pPr>
              <w:widowControl w:val="0"/>
              <w:spacing w:after="60"/>
              <w:rPr>
                <w:rFonts w:ascii="Arial" w:hAnsi="Arial" w:cs="Arial"/>
                <w:sz w:val="20"/>
                <w:szCs w:val="20"/>
                <w:lang w:val="en-US"/>
              </w:rPr>
            </w:pPr>
            <w:r w:rsidRPr="0046473D">
              <w:rPr>
                <w:rFonts w:ascii="Arial" w:hAnsi="Arial" w:cs="Arial"/>
                <w:sz w:val="20"/>
                <w:szCs w:val="20"/>
                <w:lang w:val="en-US"/>
              </w:rPr>
              <w:t>Linear: Slots × Institutional Category</w:t>
            </w:r>
          </w:p>
        </w:tc>
        <w:tc>
          <w:tcPr>
            <w:tcW w:w="1129" w:type="dxa"/>
            <w:tcBorders>
              <w:bottom w:val="single" w:sz="4" w:space="0" w:color="auto"/>
            </w:tcBorders>
            <w:vAlign w:val="center"/>
          </w:tcPr>
          <w:p w14:paraId="7C96822A" w14:textId="77777777" w:rsidR="007046CA" w:rsidRPr="0046473D" w:rsidRDefault="007046CA" w:rsidP="00C15A79">
            <w:pPr>
              <w:widowControl w:val="0"/>
              <w:spacing w:after="60"/>
              <w:jc w:val="center"/>
              <w:rPr>
                <w:rFonts w:ascii="Arial" w:hAnsi="Arial" w:cs="Arial"/>
                <w:sz w:val="20"/>
                <w:szCs w:val="20"/>
                <w:lang w:val="en-US"/>
              </w:rPr>
            </w:pPr>
            <w:r w:rsidRPr="0046473D">
              <w:rPr>
                <w:rFonts w:ascii="Arial" w:hAnsi="Arial" w:cs="Arial"/>
                <w:color w:val="000000"/>
                <w:sz w:val="20"/>
                <w:szCs w:val="20"/>
                <w:lang w:val="en-US"/>
              </w:rPr>
              <w:t>2,619.70</w:t>
            </w:r>
          </w:p>
        </w:tc>
        <w:tc>
          <w:tcPr>
            <w:tcW w:w="2082" w:type="dxa"/>
            <w:tcBorders>
              <w:bottom w:val="single" w:sz="4" w:space="0" w:color="auto"/>
            </w:tcBorders>
            <w:vAlign w:val="center"/>
          </w:tcPr>
          <w:p w14:paraId="350C9126" w14:textId="77777777" w:rsidR="007046CA" w:rsidRPr="0046473D" w:rsidRDefault="007046CA" w:rsidP="00C15A79">
            <w:pPr>
              <w:widowControl w:val="0"/>
              <w:spacing w:after="60"/>
              <w:jc w:val="center"/>
              <w:rPr>
                <w:rFonts w:ascii="Arial" w:hAnsi="Arial" w:cs="Arial"/>
                <w:sz w:val="20"/>
                <w:szCs w:val="20"/>
                <w:lang w:val="en-US"/>
              </w:rPr>
            </w:pPr>
            <w:r w:rsidRPr="0046473D">
              <w:rPr>
                <w:rFonts w:ascii="Arial" w:hAnsi="Arial" w:cs="Arial"/>
                <w:color w:val="000000"/>
                <w:sz w:val="20"/>
                <w:szCs w:val="20"/>
                <w:lang w:val="en-US"/>
              </w:rPr>
              <w:t>2,615.90</w:t>
            </w:r>
          </w:p>
        </w:tc>
        <w:tc>
          <w:tcPr>
            <w:tcW w:w="1325" w:type="dxa"/>
            <w:tcBorders>
              <w:bottom w:val="single" w:sz="4" w:space="0" w:color="auto"/>
            </w:tcBorders>
            <w:vAlign w:val="center"/>
          </w:tcPr>
          <w:p w14:paraId="3E293D71" w14:textId="77777777" w:rsidR="007046CA" w:rsidRPr="0046473D" w:rsidRDefault="007046CA" w:rsidP="00C15A79">
            <w:pPr>
              <w:widowControl w:val="0"/>
              <w:spacing w:after="60"/>
              <w:jc w:val="center"/>
              <w:rPr>
                <w:rFonts w:ascii="Arial" w:hAnsi="Arial" w:cs="Arial"/>
                <w:sz w:val="20"/>
                <w:szCs w:val="20"/>
                <w:lang w:val="en-US"/>
              </w:rPr>
            </w:pPr>
            <w:r w:rsidRPr="0046473D">
              <w:rPr>
                <w:rFonts w:ascii="Arial" w:hAnsi="Arial" w:cs="Arial"/>
                <w:sz w:val="20"/>
                <w:szCs w:val="20"/>
                <w:lang w:val="en-US"/>
              </w:rPr>
              <w:t>0.00%</w:t>
            </w:r>
          </w:p>
        </w:tc>
      </w:tr>
    </w:tbl>
    <w:p w14:paraId="20B9506E" w14:textId="77777777" w:rsidR="007046CA" w:rsidRPr="0046473D" w:rsidRDefault="007046CA" w:rsidP="0046473D">
      <w:pPr>
        <w:widowControl w:val="0"/>
        <w:spacing w:after="120" w:line="360" w:lineRule="auto"/>
        <w:jc w:val="both"/>
        <w:rPr>
          <w:rFonts w:ascii="Arial" w:hAnsi="Arial" w:cs="Arial"/>
          <w:b/>
          <w:bCs/>
          <w:i/>
          <w:iCs/>
          <w:sz w:val="20"/>
          <w:szCs w:val="20"/>
          <w:lang w:val="en-US"/>
        </w:rPr>
      </w:pPr>
      <w:r w:rsidRPr="0046473D">
        <w:rPr>
          <w:rFonts w:ascii="Arial" w:hAnsi="Arial" w:cs="Arial"/>
          <w:b/>
          <w:bCs/>
          <w:i/>
          <w:iCs/>
          <w:sz w:val="20"/>
          <w:szCs w:val="20"/>
          <w:lang w:val="en-US"/>
        </w:rPr>
        <w:t>Supplementary Table 2 Legend:</w:t>
      </w:r>
    </w:p>
    <w:p w14:paraId="004F4BCE" w14:textId="77777777" w:rsidR="007046CA" w:rsidRPr="0046473D" w:rsidRDefault="007046CA" w:rsidP="0046473D">
      <w:pPr>
        <w:widowControl w:val="0"/>
        <w:spacing w:after="120" w:line="360" w:lineRule="auto"/>
        <w:jc w:val="both"/>
        <w:rPr>
          <w:rFonts w:ascii="Arial" w:hAnsi="Arial" w:cs="Arial"/>
          <w:sz w:val="20"/>
          <w:szCs w:val="20"/>
          <w:lang w:val="en-US"/>
        </w:rPr>
      </w:pPr>
      <w:r w:rsidRPr="0046473D">
        <w:rPr>
          <w:rFonts w:ascii="Arial" w:hAnsi="Arial" w:cs="Arial"/>
          <w:sz w:val="20"/>
          <w:szCs w:val="20"/>
          <w:lang w:val="en-US"/>
        </w:rPr>
        <w:t>Supplementary Table S1 represents a comparison of models using WAIC and DIC from INLA fits; while CPO failure rate indicates numerical stability Linear = linear fixed-effect of enrollment slots; RW2 = non-linear effect of enrollment slots modeled with a second-order random walk (RW2); LIN-INT = linear interaction between enrollment slots and institutional category.</w:t>
      </w:r>
    </w:p>
    <w:p w14:paraId="7D1BC804" w14:textId="77777777" w:rsidR="007046CA" w:rsidRDefault="007046CA" w:rsidP="007046CA">
      <w:pPr>
        <w:pStyle w:val="ListParagraph"/>
        <w:widowControl w:val="0"/>
        <w:spacing w:after="120" w:line="360" w:lineRule="auto"/>
        <w:jc w:val="both"/>
        <w:rPr>
          <w:rFonts w:ascii="Arial" w:hAnsi="Arial" w:cs="Arial"/>
          <w:sz w:val="20"/>
          <w:szCs w:val="20"/>
          <w:lang w:val="en-US"/>
        </w:rPr>
      </w:pPr>
    </w:p>
    <w:p w14:paraId="4EA4EF94" w14:textId="77777777" w:rsidR="0044169B" w:rsidRDefault="0044169B" w:rsidP="007046CA">
      <w:pPr>
        <w:pStyle w:val="ListParagraph"/>
        <w:widowControl w:val="0"/>
        <w:spacing w:after="120" w:line="360" w:lineRule="auto"/>
        <w:jc w:val="both"/>
        <w:rPr>
          <w:rFonts w:ascii="Arial" w:hAnsi="Arial" w:cs="Arial"/>
          <w:sz w:val="20"/>
          <w:szCs w:val="20"/>
          <w:lang w:val="en-US"/>
        </w:rPr>
      </w:pPr>
    </w:p>
    <w:p w14:paraId="7EFF9C4C" w14:textId="77777777" w:rsidR="0044169B" w:rsidRDefault="0044169B" w:rsidP="007046CA">
      <w:pPr>
        <w:pStyle w:val="ListParagraph"/>
        <w:widowControl w:val="0"/>
        <w:spacing w:after="120" w:line="360" w:lineRule="auto"/>
        <w:jc w:val="both"/>
        <w:rPr>
          <w:rFonts w:ascii="Arial" w:hAnsi="Arial" w:cs="Arial"/>
          <w:sz w:val="20"/>
          <w:szCs w:val="20"/>
          <w:lang w:val="en-US"/>
        </w:rPr>
      </w:pPr>
    </w:p>
    <w:p w14:paraId="603EAB43" w14:textId="77777777" w:rsidR="0044169B" w:rsidRDefault="0044169B" w:rsidP="007046CA">
      <w:pPr>
        <w:pStyle w:val="ListParagraph"/>
        <w:widowControl w:val="0"/>
        <w:spacing w:after="120" w:line="360" w:lineRule="auto"/>
        <w:jc w:val="both"/>
        <w:rPr>
          <w:rFonts w:ascii="Arial" w:hAnsi="Arial" w:cs="Arial"/>
          <w:sz w:val="20"/>
          <w:szCs w:val="20"/>
          <w:lang w:val="en-US"/>
        </w:rPr>
      </w:pPr>
    </w:p>
    <w:p w14:paraId="45369049" w14:textId="77777777" w:rsidR="0044169B" w:rsidRDefault="0044169B" w:rsidP="007046CA">
      <w:pPr>
        <w:pStyle w:val="ListParagraph"/>
        <w:widowControl w:val="0"/>
        <w:spacing w:after="120" w:line="360" w:lineRule="auto"/>
        <w:jc w:val="both"/>
        <w:rPr>
          <w:rFonts w:ascii="Arial" w:hAnsi="Arial" w:cs="Arial"/>
          <w:sz w:val="20"/>
          <w:szCs w:val="20"/>
          <w:lang w:val="en-US"/>
        </w:rPr>
      </w:pPr>
    </w:p>
    <w:p w14:paraId="09D6B920" w14:textId="77777777" w:rsidR="0044169B" w:rsidRDefault="0044169B" w:rsidP="007046CA">
      <w:pPr>
        <w:pStyle w:val="ListParagraph"/>
        <w:widowControl w:val="0"/>
        <w:spacing w:after="120" w:line="360" w:lineRule="auto"/>
        <w:jc w:val="both"/>
        <w:rPr>
          <w:rFonts w:ascii="Arial" w:hAnsi="Arial" w:cs="Arial"/>
          <w:sz w:val="20"/>
          <w:szCs w:val="20"/>
          <w:lang w:val="en-US"/>
        </w:rPr>
      </w:pPr>
    </w:p>
    <w:p w14:paraId="50527C8A" w14:textId="77777777" w:rsidR="0044169B" w:rsidRDefault="0044169B" w:rsidP="007046CA">
      <w:pPr>
        <w:pStyle w:val="ListParagraph"/>
        <w:widowControl w:val="0"/>
        <w:spacing w:after="120" w:line="360" w:lineRule="auto"/>
        <w:jc w:val="both"/>
        <w:rPr>
          <w:rFonts w:ascii="Arial" w:hAnsi="Arial" w:cs="Arial"/>
          <w:sz w:val="20"/>
          <w:szCs w:val="20"/>
          <w:lang w:val="en-US"/>
        </w:rPr>
      </w:pPr>
    </w:p>
    <w:p w14:paraId="6BB39DE0" w14:textId="77777777" w:rsidR="0044169B" w:rsidRDefault="0044169B" w:rsidP="007046CA">
      <w:pPr>
        <w:pStyle w:val="ListParagraph"/>
        <w:widowControl w:val="0"/>
        <w:spacing w:after="120" w:line="360" w:lineRule="auto"/>
        <w:jc w:val="both"/>
        <w:rPr>
          <w:rFonts w:ascii="Arial" w:hAnsi="Arial" w:cs="Arial"/>
          <w:sz w:val="20"/>
          <w:szCs w:val="20"/>
          <w:lang w:val="en-US"/>
        </w:rPr>
      </w:pPr>
    </w:p>
    <w:p w14:paraId="3074E91B" w14:textId="77777777" w:rsidR="0044169B" w:rsidRDefault="0044169B" w:rsidP="007046CA">
      <w:pPr>
        <w:pStyle w:val="ListParagraph"/>
        <w:widowControl w:val="0"/>
        <w:spacing w:after="120" w:line="360" w:lineRule="auto"/>
        <w:jc w:val="both"/>
        <w:rPr>
          <w:rFonts w:ascii="Arial" w:hAnsi="Arial" w:cs="Arial"/>
          <w:sz w:val="20"/>
          <w:szCs w:val="20"/>
          <w:lang w:val="en-US"/>
        </w:rPr>
      </w:pPr>
    </w:p>
    <w:p w14:paraId="230E8B63" w14:textId="77777777" w:rsidR="0044169B" w:rsidRDefault="0044169B" w:rsidP="007046CA">
      <w:pPr>
        <w:pStyle w:val="ListParagraph"/>
        <w:widowControl w:val="0"/>
        <w:spacing w:after="120" w:line="360" w:lineRule="auto"/>
        <w:jc w:val="both"/>
        <w:rPr>
          <w:rFonts w:ascii="Arial" w:hAnsi="Arial" w:cs="Arial"/>
          <w:sz w:val="20"/>
          <w:szCs w:val="20"/>
          <w:lang w:val="en-US"/>
        </w:rPr>
      </w:pPr>
    </w:p>
    <w:p w14:paraId="04F9EC25" w14:textId="77777777" w:rsidR="0044169B" w:rsidRPr="0046473D" w:rsidRDefault="0044169B" w:rsidP="007046CA">
      <w:pPr>
        <w:pStyle w:val="ListParagraph"/>
        <w:widowControl w:val="0"/>
        <w:spacing w:after="120" w:line="360" w:lineRule="auto"/>
        <w:jc w:val="both"/>
        <w:rPr>
          <w:rFonts w:ascii="Arial" w:hAnsi="Arial" w:cs="Arial"/>
          <w:sz w:val="20"/>
          <w:szCs w:val="20"/>
          <w:lang w:val="en-US"/>
        </w:rPr>
      </w:pPr>
    </w:p>
    <w:p w14:paraId="2DD54BC6" w14:textId="77777777" w:rsidR="007046CA" w:rsidRPr="0046473D" w:rsidRDefault="007046CA" w:rsidP="0046473D">
      <w:pPr>
        <w:widowControl w:val="0"/>
        <w:spacing w:before="240" w:after="0" w:line="360" w:lineRule="auto"/>
        <w:jc w:val="both"/>
        <w:rPr>
          <w:rFonts w:ascii="Arial" w:hAnsi="Arial" w:cs="Arial"/>
          <w:b/>
          <w:bCs/>
          <w:lang w:val="en-US"/>
        </w:rPr>
      </w:pPr>
      <w:r w:rsidRPr="0046473D">
        <w:rPr>
          <w:rFonts w:ascii="Arial" w:hAnsi="Arial" w:cs="Arial"/>
          <w:b/>
          <w:bCs/>
          <w:lang w:val="en-US"/>
        </w:rPr>
        <w:lastRenderedPageBreak/>
        <w:t>Supplementary Table S3: For-Profit Private Fixed Effects (Hierarchical Beta-Binomial)</w:t>
      </w:r>
    </w:p>
    <w:tbl>
      <w:tblPr>
        <w:tblW w:w="8647" w:type="dxa"/>
        <w:tblLayout w:type="fixed"/>
        <w:tblLook w:val="0000" w:firstRow="0" w:lastRow="0" w:firstColumn="0" w:lastColumn="0" w:noHBand="0" w:noVBand="0"/>
      </w:tblPr>
      <w:tblGrid>
        <w:gridCol w:w="4111"/>
        <w:gridCol w:w="2410"/>
        <w:gridCol w:w="2126"/>
      </w:tblGrid>
      <w:tr w:rsidR="007046CA" w:rsidRPr="0046473D" w14:paraId="19E73A9A" w14:textId="77777777" w:rsidTr="00C15A79">
        <w:trPr>
          <w:cantSplit/>
          <w:tblHeader/>
        </w:trPr>
        <w:tc>
          <w:tcPr>
            <w:tcW w:w="4111" w:type="dxa"/>
            <w:tcBorders>
              <w:top w:val="single" w:sz="4" w:space="0" w:color="auto"/>
              <w:bottom w:val="single" w:sz="4" w:space="0" w:color="auto"/>
            </w:tcBorders>
            <w:vAlign w:val="center"/>
          </w:tcPr>
          <w:p w14:paraId="6AC8B8A1" w14:textId="77777777" w:rsidR="007046CA" w:rsidRPr="0046473D" w:rsidRDefault="007046CA" w:rsidP="00C15A79">
            <w:pPr>
              <w:widowControl w:val="0"/>
              <w:spacing w:after="0" w:line="240" w:lineRule="auto"/>
              <w:rPr>
                <w:rFonts w:ascii="Arial" w:hAnsi="Arial" w:cs="Arial"/>
                <w:b/>
                <w:bCs/>
                <w:sz w:val="20"/>
                <w:szCs w:val="20"/>
                <w:lang w:val="en-US"/>
              </w:rPr>
            </w:pPr>
            <w:r w:rsidRPr="0046473D">
              <w:rPr>
                <w:rFonts w:ascii="Arial" w:hAnsi="Arial" w:cs="Arial"/>
                <w:b/>
                <w:bCs/>
                <w:color w:val="000000"/>
                <w:sz w:val="20"/>
                <w:szCs w:val="20"/>
                <w:lang w:val="en-US"/>
              </w:rPr>
              <w:t>Institution Characteristics:</w:t>
            </w:r>
          </w:p>
        </w:tc>
        <w:tc>
          <w:tcPr>
            <w:tcW w:w="2410" w:type="dxa"/>
            <w:tcBorders>
              <w:top w:val="single" w:sz="4" w:space="0" w:color="auto"/>
              <w:bottom w:val="single" w:sz="4" w:space="0" w:color="auto"/>
            </w:tcBorders>
            <w:vAlign w:val="center"/>
          </w:tcPr>
          <w:p w14:paraId="315FE031" w14:textId="77777777" w:rsidR="007046CA" w:rsidRPr="0046473D" w:rsidRDefault="007046CA" w:rsidP="00C15A79">
            <w:pPr>
              <w:widowControl w:val="0"/>
              <w:spacing w:after="0" w:line="240" w:lineRule="auto"/>
              <w:jc w:val="center"/>
              <w:rPr>
                <w:rFonts w:ascii="Arial" w:hAnsi="Arial" w:cs="Arial"/>
                <w:b/>
                <w:bCs/>
                <w:sz w:val="20"/>
                <w:szCs w:val="20"/>
                <w:lang w:val="en-US"/>
              </w:rPr>
            </w:pPr>
            <w:r w:rsidRPr="0046473D">
              <w:rPr>
                <w:rFonts w:ascii="Arial" w:hAnsi="Arial" w:cs="Arial"/>
                <w:b/>
                <w:bCs/>
                <w:color w:val="000000"/>
                <w:sz w:val="20"/>
                <w:szCs w:val="20"/>
                <w:lang w:val="en-US"/>
              </w:rPr>
              <w:t>Posterior Coefficient</w:t>
            </w:r>
            <w:r w:rsidRPr="0046473D">
              <w:rPr>
                <w:rFonts w:ascii="Arial" w:hAnsi="Arial" w:cs="Arial"/>
                <w:b/>
                <w:bCs/>
                <w:color w:val="000000"/>
                <w:sz w:val="20"/>
                <w:szCs w:val="20"/>
                <w:lang w:val="en-US"/>
              </w:rPr>
              <w:br/>
              <w:t xml:space="preserve"> Mean [95CrI]</w:t>
            </w:r>
          </w:p>
        </w:tc>
        <w:tc>
          <w:tcPr>
            <w:tcW w:w="2126" w:type="dxa"/>
            <w:tcBorders>
              <w:top w:val="single" w:sz="4" w:space="0" w:color="auto"/>
              <w:bottom w:val="single" w:sz="4" w:space="0" w:color="auto"/>
            </w:tcBorders>
            <w:vAlign w:val="center"/>
          </w:tcPr>
          <w:p w14:paraId="46287A43" w14:textId="77777777" w:rsidR="007046CA" w:rsidRPr="0046473D" w:rsidRDefault="007046CA" w:rsidP="00C15A79">
            <w:pPr>
              <w:widowControl w:val="0"/>
              <w:spacing w:after="0" w:line="240" w:lineRule="auto"/>
              <w:jc w:val="center"/>
              <w:rPr>
                <w:rFonts w:ascii="Arial" w:hAnsi="Arial" w:cs="Arial"/>
                <w:b/>
                <w:bCs/>
                <w:sz w:val="20"/>
                <w:szCs w:val="20"/>
                <w:lang w:val="en-US"/>
              </w:rPr>
            </w:pPr>
            <w:r w:rsidRPr="0046473D">
              <w:rPr>
                <w:rFonts w:ascii="Arial" w:hAnsi="Arial" w:cs="Arial"/>
                <w:b/>
                <w:bCs/>
                <w:color w:val="000000"/>
                <w:sz w:val="20"/>
                <w:szCs w:val="20"/>
                <w:lang w:val="en-US"/>
              </w:rPr>
              <w:t>Odds ratio (OR)</w:t>
            </w:r>
            <w:r w:rsidRPr="0046473D">
              <w:rPr>
                <w:rFonts w:ascii="Arial" w:hAnsi="Arial" w:cs="Arial"/>
                <w:b/>
                <w:bCs/>
                <w:color w:val="000000"/>
                <w:sz w:val="20"/>
                <w:szCs w:val="20"/>
                <w:lang w:val="en-US"/>
              </w:rPr>
              <w:br/>
              <w:t xml:space="preserve">Mean [95 </w:t>
            </w:r>
            <w:proofErr w:type="spellStart"/>
            <w:r w:rsidRPr="0046473D">
              <w:rPr>
                <w:rFonts w:ascii="Arial" w:hAnsi="Arial" w:cs="Arial"/>
                <w:b/>
                <w:bCs/>
                <w:color w:val="000000"/>
                <w:sz w:val="20"/>
                <w:szCs w:val="20"/>
                <w:lang w:val="en-US"/>
              </w:rPr>
              <w:t>CrI</w:t>
            </w:r>
            <w:proofErr w:type="spellEnd"/>
            <w:r w:rsidRPr="0046473D">
              <w:rPr>
                <w:rFonts w:ascii="Arial" w:hAnsi="Arial" w:cs="Arial"/>
                <w:b/>
                <w:bCs/>
                <w:color w:val="000000"/>
                <w:sz w:val="20"/>
                <w:szCs w:val="20"/>
                <w:lang w:val="en-US"/>
              </w:rPr>
              <w:t>]</w:t>
            </w:r>
          </w:p>
        </w:tc>
      </w:tr>
      <w:tr w:rsidR="007046CA" w:rsidRPr="0046473D" w14:paraId="00B5AF07" w14:textId="77777777" w:rsidTr="00C15A79">
        <w:trPr>
          <w:cantSplit/>
        </w:trPr>
        <w:tc>
          <w:tcPr>
            <w:tcW w:w="4111" w:type="dxa"/>
            <w:tcBorders>
              <w:top w:val="single" w:sz="4" w:space="0" w:color="auto"/>
            </w:tcBorders>
            <w:vAlign w:val="center"/>
          </w:tcPr>
          <w:p w14:paraId="56BFECC0" w14:textId="77777777" w:rsidR="007046CA" w:rsidRPr="0046473D" w:rsidRDefault="007046CA" w:rsidP="00C15A79">
            <w:pPr>
              <w:widowControl w:val="0"/>
              <w:spacing w:after="0" w:line="240" w:lineRule="auto"/>
              <w:rPr>
                <w:rFonts w:ascii="Arial" w:hAnsi="Arial" w:cs="Arial"/>
                <w:sz w:val="20"/>
                <w:szCs w:val="20"/>
                <w:lang w:val="en-US"/>
              </w:rPr>
            </w:pPr>
            <w:r w:rsidRPr="0046473D">
              <w:rPr>
                <w:rFonts w:ascii="Arial" w:hAnsi="Arial" w:cs="Arial"/>
                <w:color w:val="000000"/>
                <w:sz w:val="20"/>
                <w:szCs w:val="20"/>
                <w:lang w:val="en-US"/>
              </w:rPr>
              <w:t>Enrollment slots (per +100 slots)</w:t>
            </w:r>
          </w:p>
        </w:tc>
        <w:tc>
          <w:tcPr>
            <w:tcW w:w="2410" w:type="dxa"/>
            <w:tcBorders>
              <w:top w:val="single" w:sz="4" w:space="0" w:color="auto"/>
            </w:tcBorders>
            <w:vAlign w:val="center"/>
          </w:tcPr>
          <w:p w14:paraId="1BEA748B" w14:textId="77777777" w:rsidR="007046CA" w:rsidRPr="0046473D" w:rsidRDefault="007046CA" w:rsidP="00C15A79">
            <w:pPr>
              <w:widowControl w:val="0"/>
              <w:spacing w:after="0" w:line="240" w:lineRule="auto"/>
              <w:jc w:val="center"/>
              <w:rPr>
                <w:rFonts w:ascii="Arial" w:hAnsi="Arial" w:cs="Arial"/>
                <w:sz w:val="20"/>
                <w:szCs w:val="20"/>
                <w:lang w:val="en-US"/>
              </w:rPr>
            </w:pPr>
            <w:r w:rsidRPr="0046473D">
              <w:rPr>
                <w:rFonts w:ascii="Arial" w:hAnsi="Arial" w:cs="Arial"/>
                <w:color w:val="000000"/>
                <w:sz w:val="20"/>
                <w:szCs w:val="20"/>
                <w:lang w:val="en-US"/>
              </w:rPr>
              <w:t>-0.089 [-0.322, 0.141]</w:t>
            </w:r>
          </w:p>
        </w:tc>
        <w:tc>
          <w:tcPr>
            <w:tcW w:w="2126" w:type="dxa"/>
            <w:tcBorders>
              <w:top w:val="single" w:sz="4" w:space="0" w:color="auto"/>
            </w:tcBorders>
            <w:vAlign w:val="center"/>
          </w:tcPr>
          <w:p w14:paraId="0C85B677" w14:textId="77777777" w:rsidR="007046CA" w:rsidRPr="0046473D" w:rsidRDefault="007046CA" w:rsidP="00C15A79">
            <w:pPr>
              <w:widowControl w:val="0"/>
              <w:spacing w:after="0" w:line="240" w:lineRule="auto"/>
              <w:jc w:val="center"/>
              <w:rPr>
                <w:rFonts w:ascii="Arial" w:hAnsi="Arial" w:cs="Arial"/>
                <w:sz w:val="20"/>
                <w:szCs w:val="20"/>
                <w:lang w:val="en-US"/>
              </w:rPr>
            </w:pPr>
            <w:r w:rsidRPr="0046473D">
              <w:rPr>
                <w:rFonts w:ascii="Arial" w:hAnsi="Arial" w:cs="Arial"/>
                <w:color w:val="000000"/>
                <w:sz w:val="20"/>
                <w:szCs w:val="20"/>
                <w:lang w:val="en-US"/>
              </w:rPr>
              <w:t>0.915 [0.73, 1.15]</w:t>
            </w:r>
          </w:p>
        </w:tc>
      </w:tr>
      <w:tr w:rsidR="007046CA" w:rsidRPr="0046473D" w14:paraId="554969A3" w14:textId="77777777" w:rsidTr="00C15A79">
        <w:trPr>
          <w:cantSplit/>
        </w:trPr>
        <w:tc>
          <w:tcPr>
            <w:tcW w:w="4111" w:type="dxa"/>
            <w:vAlign w:val="center"/>
          </w:tcPr>
          <w:p w14:paraId="55085112" w14:textId="77777777" w:rsidR="007046CA" w:rsidRPr="0046473D" w:rsidRDefault="007046CA" w:rsidP="00C15A79">
            <w:pPr>
              <w:widowControl w:val="0"/>
              <w:spacing w:after="0" w:line="240" w:lineRule="auto"/>
              <w:rPr>
                <w:rFonts w:ascii="Arial" w:hAnsi="Arial" w:cs="Arial"/>
                <w:sz w:val="20"/>
                <w:szCs w:val="20"/>
                <w:lang w:val="en-US"/>
              </w:rPr>
            </w:pPr>
            <w:r w:rsidRPr="0046473D">
              <w:rPr>
                <w:rFonts w:ascii="Arial" w:hAnsi="Arial" w:cs="Arial"/>
                <w:color w:val="000000"/>
                <w:sz w:val="20"/>
                <w:szCs w:val="20"/>
                <w:lang w:val="en-US"/>
              </w:rPr>
              <w:t>Curricular workload (per 1,000 hours)</w:t>
            </w:r>
          </w:p>
        </w:tc>
        <w:tc>
          <w:tcPr>
            <w:tcW w:w="2410" w:type="dxa"/>
            <w:vAlign w:val="center"/>
          </w:tcPr>
          <w:p w14:paraId="3B1AFBDA" w14:textId="77777777" w:rsidR="007046CA" w:rsidRPr="0046473D" w:rsidRDefault="007046CA" w:rsidP="00C15A79">
            <w:pPr>
              <w:widowControl w:val="0"/>
              <w:spacing w:after="0" w:line="240" w:lineRule="auto"/>
              <w:jc w:val="center"/>
              <w:rPr>
                <w:rFonts w:ascii="Arial" w:hAnsi="Arial" w:cs="Arial"/>
                <w:sz w:val="20"/>
                <w:szCs w:val="20"/>
                <w:lang w:val="en-US"/>
              </w:rPr>
            </w:pPr>
            <w:r w:rsidRPr="0046473D">
              <w:rPr>
                <w:rFonts w:ascii="Arial" w:hAnsi="Arial" w:cs="Arial"/>
                <w:b/>
                <w:bCs/>
                <w:color w:val="000000"/>
                <w:sz w:val="20"/>
                <w:szCs w:val="20"/>
                <w:lang w:val="en-US"/>
              </w:rPr>
              <w:t>-0.233 [-0.444, -0.023]</w:t>
            </w:r>
          </w:p>
        </w:tc>
        <w:tc>
          <w:tcPr>
            <w:tcW w:w="2126" w:type="dxa"/>
            <w:vAlign w:val="center"/>
          </w:tcPr>
          <w:p w14:paraId="153CB71C" w14:textId="77777777" w:rsidR="007046CA" w:rsidRPr="0046473D" w:rsidRDefault="007046CA" w:rsidP="00C15A79">
            <w:pPr>
              <w:widowControl w:val="0"/>
              <w:spacing w:after="0" w:line="240" w:lineRule="auto"/>
              <w:jc w:val="center"/>
              <w:rPr>
                <w:rFonts w:ascii="Arial" w:hAnsi="Arial" w:cs="Arial"/>
                <w:sz w:val="20"/>
                <w:szCs w:val="20"/>
                <w:lang w:val="en-US"/>
              </w:rPr>
            </w:pPr>
            <w:r w:rsidRPr="0046473D">
              <w:rPr>
                <w:rFonts w:ascii="Arial" w:hAnsi="Arial" w:cs="Arial"/>
                <w:b/>
                <w:bCs/>
                <w:color w:val="000000"/>
                <w:sz w:val="20"/>
                <w:szCs w:val="20"/>
                <w:lang w:val="en-US"/>
              </w:rPr>
              <w:t>0.792 [0.64, 0.98]</w:t>
            </w:r>
          </w:p>
        </w:tc>
      </w:tr>
      <w:tr w:rsidR="007046CA" w:rsidRPr="0046473D" w14:paraId="5A46D45F" w14:textId="77777777" w:rsidTr="00C15A79">
        <w:trPr>
          <w:cantSplit/>
        </w:trPr>
        <w:tc>
          <w:tcPr>
            <w:tcW w:w="4111" w:type="dxa"/>
            <w:vAlign w:val="center"/>
          </w:tcPr>
          <w:p w14:paraId="7C668274" w14:textId="77777777" w:rsidR="007046CA" w:rsidRPr="0046473D" w:rsidRDefault="007046CA" w:rsidP="00C15A79">
            <w:pPr>
              <w:widowControl w:val="0"/>
              <w:spacing w:after="0" w:line="240" w:lineRule="auto"/>
              <w:rPr>
                <w:rFonts w:ascii="Arial" w:hAnsi="Arial" w:cs="Arial"/>
                <w:sz w:val="20"/>
                <w:szCs w:val="20"/>
                <w:lang w:val="en-US"/>
              </w:rPr>
            </w:pPr>
            <w:r w:rsidRPr="0046473D">
              <w:rPr>
                <w:rFonts w:ascii="Arial" w:hAnsi="Arial" w:cs="Arial"/>
                <w:color w:val="000000"/>
                <w:sz w:val="20"/>
                <w:szCs w:val="20"/>
                <w:lang w:val="en-US"/>
              </w:rPr>
              <w:t>Capital city location (yes vs no)</w:t>
            </w:r>
          </w:p>
        </w:tc>
        <w:tc>
          <w:tcPr>
            <w:tcW w:w="2410" w:type="dxa"/>
            <w:vAlign w:val="center"/>
          </w:tcPr>
          <w:p w14:paraId="03A7A018" w14:textId="77777777" w:rsidR="007046CA" w:rsidRPr="0046473D" w:rsidRDefault="007046CA" w:rsidP="00C15A79">
            <w:pPr>
              <w:widowControl w:val="0"/>
              <w:spacing w:after="0" w:line="240" w:lineRule="auto"/>
              <w:jc w:val="center"/>
              <w:rPr>
                <w:rFonts w:ascii="Arial" w:hAnsi="Arial" w:cs="Arial"/>
                <w:sz w:val="20"/>
                <w:szCs w:val="20"/>
                <w:lang w:val="en-US"/>
              </w:rPr>
            </w:pPr>
            <w:r w:rsidRPr="0046473D">
              <w:rPr>
                <w:rFonts w:ascii="Arial" w:hAnsi="Arial" w:cs="Arial"/>
                <w:color w:val="000000"/>
                <w:sz w:val="20"/>
                <w:szCs w:val="20"/>
                <w:lang w:val="en-US"/>
              </w:rPr>
              <w:t>-0.105 [-0.424, 0.218]</w:t>
            </w:r>
          </w:p>
        </w:tc>
        <w:tc>
          <w:tcPr>
            <w:tcW w:w="2126" w:type="dxa"/>
            <w:vAlign w:val="center"/>
          </w:tcPr>
          <w:p w14:paraId="50B56740" w14:textId="77777777" w:rsidR="007046CA" w:rsidRPr="0046473D" w:rsidRDefault="007046CA" w:rsidP="00C15A79">
            <w:pPr>
              <w:widowControl w:val="0"/>
              <w:spacing w:after="0" w:line="240" w:lineRule="auto"/>
              <w:jc w:val="center"/>
              <w:rPr>
                <w:rFonts w:ascii="Arial" w:hAnsi="Arial" w:cs="Arial"/>
                <w:sz w:val="20"/>
                <w:szCs w:val="20"/>
                <w:lang w:val="en-US"/>
              </w:rPr>
            </w:pPr>
            <w:r w:rsidRPr="0046473D">
              <w:rPr>
                <w:rFonts w:ascii="Arial" w:hAnsi="Arial" w:cs="Arial"/>
                <w:color w:val="000000"/>
                <w:sz w:val="20"/>
                <w:szCs w:val="20"/>
                <w:lang w:val="en-US"/>
              </w:rPr>
              <w:t>0.9 [0.65, 1.24]</w:t>
            </w:r>
          </w:p>
        </w:tc>
      </w:tr>
      <w:tr w:rsidR="007046CA" w:rsidRPr="0046473D" w14:paraId="62649778" w14:textId="77777777" w:rsidTr="00C15A79">
        <w:trPr>
          <w:cantSplit/>
        </w:trPr>
        <w:tc>
          <w:tcPr>
            <w:tcW w:w="4111" w:type="dxa"/>
            <w:vAlign w:val="center"/>
          </w:tcPr>
          <w:p w14:paraId="6A4E1D58" w14:textId="77777777" w:rsidR="007046CA" w:rsidRPr="0046473D" w:rsidRDefault="00000000" w:rsidP="00C15A79">
            <w:pPr>
              <w:widowControl w:val="0"/>
              <w:spacing w:after="0" w:line="240" w:lineRule="auto"/>
              <w:rPr>
                <w:rFonts w:ascii="Arial" w:hAnsi="Arial" w:cs="Arial"/>
                <w:sz w:val="20"/>
                <w:szCs w:val="20"/>
                <w:lang w:val="en-US"/>
              </w:rPr>
            </w:pPr>
            <w:sdt>
              <w:sdtPr>
                <w:rPr>
                  <w:rFonts w:ascii="Arial" w:hAnsi="Arial" w:cs="Arial"/>
                  <w:sz w:val="20"/>
                  <w:szCs w:val="20"/>
                  <w:lang w:val="en-US"/>
                </w:rPr>
                <w:tag w:val="goog_rdk_17"/>
                <w:id w:val="-685980543"/>
              </w:sdtPr>
              <w:sdtContent>
                <w:r w:rsidR="007046CA" w:rsidRPr="0046473D">
                  <w:rPr>
                    <w:rFonts w:ascii="Arial" w:eastAsia="Gungsuh" w:hAnsi="Arial" w:cs="Arial"/>
                    <w:color w:val="000000"/>
                    <w:sz w:val="20"/>
                    <w:szCs w:val="20"/>
                    <w:lang w:val="en-US"/>
                  </w:rPr>
                  <w:t xml:space="preserve">Post–Mais </w:t>
                </w:r>
                <w:proofErr w:type="spellStart"/>
                <w:r w:rsidR="007046CA" w:rsidRPr="0046473D">
                  <w:rPr>
                    <w:rFonts w:ascii="Arial" w:eastAsia="Gungsuh" w:hAnsi="Arial" w:cs="Arial"/>
                    <w:color w:val="000000"/>
                    <w:sz w:val="20"/>
                    <w:szCs w:val="20"/>
                    <w:lang w:val="en-US"/>
                  </w:rPr>
                  <w:t>Médicos</w:t>
                </w:r>
                <w:proofErr w:type="spellEnd"/>
                <w:r w:rsidR="007046CA" w:rsidRPr="0046473D">
                  <w:rPr>
                    <w:rFonts w:ascii="Arial" w:eastAsia="Gungsuh" w:hAnsi="Arial" w:cs="Arial"/>
                    <w:color w:val="000000"/>
                    <w:sz w:val="20"/>
                    <w:szCs w:val="20"/>
                    <w:lang w:val="en-US"/>
                  </w:rPr>
                  <w:t xml:space="preserve"> period (≥2014)</w:t>
                </w:r>
              </w:sdtContent>
            </w:sdt>
          </w:p>
        </w:tc>
        <w:tc>
          <w:tcPr>
            <w:tcW w:w="2410" w:type="dxa"/>
            <w:vAlign w:val="center"/>
          </w:tcPr>
          <w:p w14:paraId="51C8BB31" w14:textId="77777777" w:rsidR="007046CA" w:rsidRPr="0046473D" w:rsidRDefault="007046CA" w:rsidP="00C15A79">
            <w:pPr>
              <w:widowControl w:val="0"/>
              <w:spacing w:after="0" w:line="240" w:lineRule="auto"/>
              <w:jc w:val="center"/>
              <w:rPr>
                <w:rFonts w:ascii="Arial" w:hAnsi="Arial" w:cs="Arial"/>
                <w:sz w:val="20"/>
                <w:szCs w:val="20"/>
                <w:lang w:val="en-US"/>
              </w:rPr>
            </w:pPr>
            <w:r w:rsidRPr="0046473D">
              <w:rPr>
                <w:rFonts w:ascii="Arial" w:hAnsi="Arial" w:cs="Arial"/>
                <w:b/>
                <w:bCs/>
                <w:color w:val="000000"/>
                <w:sz w:val="20"/>
                <w:szCs w:val="20"/>
                <w:lang w:val="en-US"/>
              </w:rPr>
              <w:t>-0.529 [-0.807, -0.251]</w:t>
            </w:r>
          </w:p>
        </w:tc>
        <w:tc>
          <w:tcPr>
            <w:tcW w:w="2126" w:type="dxa"/>
            <w:vAlign w:val="center"/>
          </w:tcPr>
          <w:p w14:paraId="1CC23B2B" w14:textId="77777777" w:rsidR="007046CA" w:rsidRPr="0046473D" w:rsidRDefault="007046CA" w:rsidP="00C15A79">
            <w:pPr>
              <w:widowControl w:val="0"/>
              <w:spacing w:after="0" w:line="240" w:lineRule="auto"/>
              <w:jc w:val="center"/>
              <w:rPr>
                <w:rFonts w:ascii="Arial" w:hAnsi="Arial" w:cs="Arial"/>
                <w:sz w:val="20"/>
                <w:szCs w:val="20"/>
                <w:lang w:val="en-US"/>
              </w:rPr>
            </w:pPr>
            <w:r w:rsidRPr="0046473D">
              <w:rPr>
                <w:rFonts w:ascii="Arial" w:hAnsi="Arial" w:cs="Arial"/>
                <w:b/>
                <w:bCs/>
                <w:color w:val="000000"/>
                <w:sz w:val="20"/>
                <w:szCs w:val="20"/>
                <w:lang w:val="en-US"/>
              </w:rPr>
              <w:t>0.589 [0.45, 0.78]</w:t>
            </w:r>
          </w:p>
        </w:tc>
      </w:tr>
      <w:tr w:rsidR="007046CA" w:rsidRPr="0046473D" w14:paraId="7DED21B6" w14:textId="77777777" w:rsidTr="00C15A79">
        <w:trPr>
          <w:cantSplit/>
        </w:trPr>
        <w:tc>
          <w:tcPr>
            <w:tcW w:w="4111" w:type="dxa"/>
            <w:tcBorders>
              <w:bottom w:val="single" w:sz="4" w:space="0" w:color="auto"/>
            </w:tcBorders>
            <w:vAlign w:val="center"/>
          </w:tcPr>
          <w:p w14:paraId="4813AEEF" w14:textId="77777777" w:rsidR="007046CA" w:rsidRPr="0046473D" w:rsidRDefault="007046CA" w:rsidP="00C15A79">
            <w:pPr>
              <w:widowControl w:val="0"/>
              <w:spacing w:after="0" w:line="240" w:lineRule="auto"/>
              <w:rPr>
                <w:rFonts w:ascii="Arial" w:hAnsi="Arial" w:cs="Arial"/>
                <w:sz w:val="20"/>
                <w:szCs w:val="20"/>
                <w:lang w:val="en-US"/>
              </w:rPr>
            </w:pPr>
            <w:r w:rsidRPr="0046473D">
              <w:rPr>
                <w:rFonts w:ascii="Arial" w:hAnsi="Arial" w:cs="Arial"/>
                <w:color w:val="000000"/>
                <w:sz w:val="20"/>
                <w:szCs w:val="20"/>
                <w:lang w:val="en-US"/>
              </w:rPr>
              <w:t>Private conglomerate affiliation (Yes vs No)</w:t>
            </w:r>
          </w:p>
        </w:tc>
        <w:tc>
          <w:tcPr>
            <w:tcW w:w="2410" w:type="dxa"/>
            <w:tcBorders>
              <w:bottom w:val="single" w:sz="4" w:space="0" w:color="auto"/>
            </w:tcBorders>
            <w:vAlign w:val="center"/>
          </w:tcPr>
          <w:p w14:paraId="362AE695" w14:textId="77777777" w:rsidR="007046CA" w:rsidRPr="0046473D" w:rsidRDefault="007046CA" w:rsidP="00C15A79">
            <w:pPr>
              <w:widowControl w:val="0"/>
              <w:spacing w:after="0" w:line="240" w:lineRule="auto"/>
              <w:jc w:val="center"/>
              <w:rPr>
                <w:rFonts w:ascii="Arial" w:hAnsi="Arial" w:cs="Arial"/>
                <w:sz w:val="20"/>
                <w:szCs w:val="20"/>
                <w:lang w:val="en-US"/>
              </w:rPr>
            </w:pPr>
            <w:r w:rsidRPr="0046473D">
              <w:rPr>
                <w:rFonts w:ascii="Arial" w:hAnsi="Arial" w:cs="Arial"/>
                <w:color w:val="000000"/>
                <w:sz w:val="20"/>
                <w:szCs w:val="20"/>
                <w:lang w:val="en-US"/>
              </w:rPr>
              <w:t>-0.139 [-0.390, 0.109]</w:t>
            </w:r>
          </w:p>
        </w:tc>
        <w:tc>
          <w:tcPr>
            <w:tcW w:w="2126" w:type="dxa"/>
            <w:tcBorders>
              <w:bottom w:val="single" w:sz="4" w:space="0" w:color="auto"/>
            </w:tcBorders>
            <w:vAlign w:val="center"/>
          </w:tcPr>
          <w:p w14:paraId="26DCC137" w14:textId="77777777" w:rsidR="007046CA" w:rsidRPr="0046473D" w:rsidRDefault="007046CA" w:rsidP="00C15A79">
            <w:pPr>
              <w:widowControl w:val="0"/>
              <w:spacing w:after="0" w:line="240" w:lineRule="auto"/>
              <w:jc w:val="center"/>
              <w:rPr>
                <w:rFonts w:ascii="Arial" w:hAnsi="Arial" w:cs="Arial"/>
                <w:sz w:val="20"/>
                <w:szCs w:val="20"/>
                <w:lang w:val="en-US"/>
              </w:rPr>
            </w:pPr>
            <w:r w:rsidRPr="0046473D">
              <w:rPr>
                <w:rFonts w:ascii="Arial" w:hAnsi="Arial" w:cs="Arial"/>
                <w:color w:val="000000"/>
                <w:sz w:val="20"/>
                <w:szCs w:val="20"/>
                <w:lang w:val="en-US"/>
              </w:rPr>
              <w:t>0.87 [0.68, 1.12]</w:t>
            </w:r>
          </w:p>
        </w:tc>
      </w:tr>
    </w:tbl>
    <w:p w14:paraId="0D332EF1" w14:textId="77777777" w:rsidR="007046CA" w:rsidRPr="0046473D" w:rsidRDefault="007046CA" w:rsidP="0046473D">
      <w:pPr>
        <w:widowControl w:val="0"/>
        <w:spacing w:before="240" w:after="0" w:line="360" w:lineRule="auto"/>
        <w:jc w:val="both"/>
        <w:rPr>
          <w:rFonts w:ascii="Arial" w:hAnsi="Arial" w:cs="Arial"/>
          <w:i/>
          <w:iCs/>
          <w:sz w:val="20"/>
          <w:szCs w:val="20"/>
          <w:lang w:val="en-US"/>
        </w:rPr>
      </w:pPr>
      <w:r w:rsidRPr="0046473D">
        <w:rPr>
          <w:rFonts w:ascii="Arial" w:hAnsi="Arial" w:cs="Arial"/>
          <w:b/>
          <w:bCs/>
          <w:i/>
          <w:iCs/>
          <w:sz w:val="20"/>
          <w:szCs w:val="20"/>
          <w:lang w:val="en-US"/>
        </w:rPr>
        <w:t>Supplementary Table S3 Legend:</w:t>
      </w:r>
    </w:p>
    <w:p w14:paraId="648EEBDC" w14:textId="77777777" w:rsidR="0046473D" w:rsidRDefault="007046CA" w:rsidP="0046473D">
      <w:pPr>
        <w:widowControl w:val="0"/>
        <w:spacing w:before="240" w:after="0" w:line="360" w:lineRule="auto"/>
        <w:jc w:val="both"/>
        <w:rPr>
          <w:rFonts w:ascii="Arial" w:hAnsi="Arial" w:cs="Arial"/>
          <w:sz w:val="20"/>
          <w:szCs w:val="20"/>
          <w:lang w:val="en-US"/>
        </w:rPr>
      </w:pPr>
      <w:r w:rsidRPr="0046473D">
        <w:rPr>
          <w:rFonts w:ascii="Arial" w:hAnsi="Arial" w:cs="Arial"/>
          <w:sz w:val="20"/>
          <w:szCs w:val="20"/>
          <w:lang w:val="en-US"/>
        </w:rPr>
        <w:t>Supplementary Table S3 presents adjusted fixed effects from the beta-binomial model fitted only among For-Profit Private courses, with state and city-within-state random intercepts. Enrollment increases are measures as an additional 100 slots within the for-profit subgroup, while Course workload is measured per 1000 hours.</w:t>
      </w:r>
    </w:p>
    <w:p w14:paraId="14CF7769" w14:textId="77777777" w:rsidR="0046473D" w:rsidRDefault="0046473D">
      <w:pPr>
        <w:rPr>
          <w:rFonts w:ascii="Arial" w:hAnsi="Arial" w:cs="Arial"/>
          <w:sz w:val="20"/>
          <w:szCs w:val="20"/>
          <w:lang w:val="en-US"/>
        </w:rPr>
      </w:pPr>
      <w:r>
        <w:rPr>
          <w:rFonts w:ascii="Arial" w:hAnsi="Arial" w:cs="Arial"/>
          <w:sz w:val="20"/>
          <w:szCs w:val="20"/>
          <w:lang w:val="en-US"/>
        </w:rPr>
        <w:br w:type="page"/>
      </w:r>
    </w:p>
    <w:p w14:paraId="329D59B4" w14:textId="2E89A8CE" w:rsidR="0046473D" w:rsidRDefault="0046473D" w:rsidP="0046473D">
      <w:pPr>
        <w:widowControl w:val="0"/>
        <w:spacing w:before="240" w:after="0" w:line="360" w:lineRule="auto"/>
        <w:jc w:val="both"/>
        <w:rPr>
          <w:rFonts w:ascii="Arial" w:hAnsi="Arial" w:cs="Arial"/>
          <w:sz w:val="20"/>
          <w:szCs w:val="20"/>
          <w:lang w:val="en-US"/>
        </w:rPr>
      </w:pPr>
      <w:r w:rsidRPr="0046473D">
        <w:rPr>
          <w:rFonts w:ascii="Arial" w:hAnsi="Arial" w:cs="Arial"/>
          <w:b/>
          <w:bCs/>
          <w:sz w:val="28"/>
          <w:szCs w:val="28"/>
          <w:lang w:val="en-US"/>
        </w:rPr>
        <w:lastRenderedPageBreak/>
        <w:t>3. Supplementary Figure</w:t>
      </w:r>
    </w:p>
    <w:p w14:paraId="7E8A15B4" w14:textId="77777777" w:rsidR="0046473D" w:rsidRPr="000868D3" w:rsidRDefault="0046473D" w:rsidP="0046473D">
      <w:pPr>
        <w:widowControl w:val="0"/>
        <w:spacing w:line="360" w:lineRule="auto"/>
        <w:jc w:val="both"/>
        <w:rPr>
          <w:rFonts w:ascii="Arial" w:hAnsi="Arial" w:cs="Arial"/>
          <w:b/>
          <w:bCs/>
          <w:lang w:val="en-US"/>
        </w:rPr>
      </w:pPr>
      <w:r w:rsidRPr="000868D3">
        <w:rPr>
          <w:rFonts w:ascii="Arial" w:hAnsi="Arial" w:cs="Arial"/>
          <w:b/>
          <w:bCs/>
          <w:lang w:val="en-US"/>
        </w:rPr>
        <w:t>Supplementary Figure S1: Diagnostic plots for the Bayesian hierarchical beta-binomial model</w:t>
      </w:r>
    </w:p>
    <w:p w14:paraId="126F8E88" w14:textId="77777777" w:rsidR="0046473D" w:rsidRDefault="0046473D" w:rsidP="0046473D">
      <w:pPr>
        <w:widowControl w:val="0"/>
        <w:spacing w:line="360" w:lineRule="auto"/>
        <w:jc w:val="both"/>
        <w:rPr>
          <w:rFonts w:ascii="Arial" w:hAnsi="Arial" w:cs="Arial"/>
          <w:b/>
          <w:bCs/>
          <w:sz w:val="22"/>
          <w:szCs w:val="22"/>
          <w:lang w:val="en-US"/>
        </w:rPr>
      </w:pPr>
      <w:r w:rsidRPr="000868D3">
        <w:rPr>
          <w:rFonts w:ascii="Arial" w:hAnsi="Arial" w:cs="Arial"/>
          <w:b/>
          <w:bCs/>
          <w:noProof/>
          <w:sz w:val="22"/>
          <w:szCs w:val="22"/>
          <w:lang w:val="en-US"/>
        </w:rPr>
        <w:drawing>
          <wp:inline distT="0" distB="0" distL="0" distR="0" wp14:anchorId="37F863B5" wp14:editId="4F15DACA">
            <wp:extent cx="5672261" cy="4392000"/>
            <wp:effectExtent l="0" t="0" r="5080" b="8890"/>
            <wp:docPr id="1606938848" name="image4.png" descr="Gráf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938848" name="image4.png" descr="Gráfico&#10;&#10;O conteúdo gerado por IA pode estar incorreto."/>
                    <pic:cNvPicPr preferRelativeResize="0"/>
                  </pic:nvPicPr>
                  <pic:blipFill>
                    <a:blip r:embed="rId5"/>
                    <a:srcRect/>
                    <a:stretch>
                      <a:fillRect/>
                    </a:stretch>
                  </pic:blipFill>
                  <pic:spPr>
                    <a:xfrm>
                      <a:off x="0" y="0"/>
                      <a:ext cx="5672261" cy="4392000"/>
                    </a:xfrm>
                    <a:prstGeom prst="rect">
                      <a:avLst/>
                    </a:prstGeom>
                    <a:ln/>
                  </pic:spPr>
                </pic:pic>
              </a:graphicData>
            </a:graphic>
          </wp:inline>
        </w:drawing>
      </w:r>
    </w:p>
    <w:p w14:paraId="5CBBBFDC" w14:textId="77777777" w:rsidR="0046473D" w:rsidRPr="000868D3" w:rsidRDefault="0046473D" w:rsidP="0046473D">
      <w:pPr>
        <w:widowControl w:val="0"/>
        <w:spacing w:line="360" w:lineRule="auto"/>
        <w:jc w:val="both"/>
        <w:rPr>
          <w:rFonts w:ascii="Arial" w:hAnsi="Arial" w:cs="Arial"/>
          <w:b/>
          <w:bCs/>
          <w:sz w:val="22"/>
          <w:szCs w:val="22"/>
          <w:lang w:val="en-US"/>
        </w:rPr>
      </w:pPr>
    </w:p>
    <w:p w14:paraId="49B93051" w14:textId="02E50470" w:rsidR="0046473D" w:rsidRPr="0046473D" w:rsidRDefault="0046473D" w:rsidP="0044169B">
      <w:pPr>
        <w:widowControl w:val="0"/>
        <w:spacing w:line="360" w:lineRule="auto"/>
        <w:jc w:val="both"/>
        <w:rPr>
          <w:rFonts w:ascii="Arial" w:hAnsi="Arial" w:cs="Arial"/>
          <w:sz w:val="20"/>
          <w:szCs w:val="20"/>
          <w:lang w:val="en-US"/>
        </w:rPr>
      </w:pPr>
      <w:r w:rsidRPr="000868D3">
        <w:rPr>
          <w:rFonts w:ascii="Arial" w:hAnsi="Arial" w:cs="Arial"/>
          <w:b/>
          <w:bCs/>
          <w:i/>
          <w:iCs/>
          <w:sz w:val="20"/>
          <w:szCs w:val="20"/>
          <w:lang w:val="en-US"/>
        </w:rPr>
        <w:t>Supplementary Figure S1 Legend:</w:t>
      </w:r>
      <w:r w:rsidRPr="000868D3">
        <w:rPr>
          <w:rFonts w:ascii="Arial" w:hAnsi="Arial" w:cs="Arial"/>
          <w:sz w:val="20"/>
          <w:szCs w:val="20"/>
          <w:lang w:val="en-US"/>
        </w:rPr>
        <w:t xml:space="preserve"> This figure presents posterior predictive and leave-one-out diagnostics for the Bayesian hierarchical beta-binomial model used to estimate the proportion of proficiency in medical graduates, per medical course/program included in the analysis, while accounting for institutional covariates and state and city-within-state random intercepts.</w:t>
      </w:r>
      <w:r w:rsidRPr="000868D3">
        <w:rPr>
          <w:rFonts w:ascii="Arial" w:hAnsi="Arial" w:cs="Arial"/>
          <w:b/>
          <w:bCs/>
          <w:lang w:val="en-US"/>
        </w:rPr>
        <w:t xml:space="preserve"> </w:t>
      </w:r>
      <w:r w:rsidRPr="000868D3">
        <w:rPr>
          <w:rFonts w:ascii="Arial" w:hAnsi="Arial" w:cs="Arial"/>
          <w:b/>
          <w:bCs/>
          <w:sz w:val="20"/>
          <w:szCs w:val="20"/>
          <w:lang w:val="en-US"/>
        </w:rPr>
        <w:t>(A)</w:t>
      </w:r>
      <w:r w:rsidRPr="000868D3">
        <w:rPr>
          <w:rFonts w:ascii="Arial" w:hAnsi="Arial" w:cs="Arial"/>
          <w:sz w:val="20"/>
          <w:szCs w:val="20"/>
          <w:lang w:val="en-US"/>
        </w:rPr>
        <w:t xml:space="preserve"> The Probability Integral Transform (PIT) histogram assesses predictive calibration; the approximately uniform distribution indicates good calibration. </w:t>
      </w:r>
      <w:r w:rsidRPr="000868D3">
        <w:rPr>
          <w:rFonts w:ascii="Arial" w:hAnsi="Arial" w:cs="Arial"/>
          <w:b/>
          <w:bCs/>
          <w:sz w:val="20"/>
          <w:szCs w:val="20"/>
          <w:lang w:val="en-US"/>
        </w:rPr>
        <w:t>(B)</w:t>
      </w:r>
      <w:r w:rsidRPr="000868D3">
        <w:rPr>
          <w:rFonts w:ascii="Arial" w:hAnsi="Arial" w:cs="Arial"/>
          <w:sz w:val="20"/>
          <w:szCs w:val="20"/>
          <w:lang w:val="en-US"/>
        </w:rPr>
        <w:t xml:space="preserve"> The log (CPO) distribution evaluates leave-one-out predictive fit, with no extreme values suggesting stable prediction and absence of influential observations. </w:t>
      </w:r>
      <w:r w:rsidRPr="000868D3">
        <w:rPr>
          <w:rFonts w:ascii="Arial" w:hAnsi="Arial" w:cs="Arial"/>
          <w:b/>
          <w:bCs/>
          <w:sz w:val="20"/>
          <w:szCs w:val="20"/>
          <w:lang w:val="en-US"/>
        </w:rPr>
        <w:t>(C)</w:t>
      </w:r>
      <w:r w:rsidRPr="000868D3">
        <w:rPr>
          <w:rFonts w:ascii="Arial" w:hAnsi="Arial" w:cs="Arial"/>
          <w:sz w:val="20"/>
          <w:szCs w:val="20"/>
          <w:lang w:val="en-US"/>
        </w:rPr>
        <w:t xml:space="preserve"> The calibration (reliability) plot compares observed and predicted proportions of graduate proficiency across deciles of fitted risk; close agreement with the diagonal indicates accurate calibration across the risk spectrum. </w:t>
      </w:r>
      <w:r w:rsidRPr="000868D3">
        <w:rPr>
          <w:rFonts w:ascii="Arial" w:hAnsi="Arial" w:cs="Arial"/>
          <w:b/>
          <w:bCs/>
          <w:sz w:val="20"/>
          <w:szCs w:val="20"/>
          <w:lang w:val="en-US"/>
        </w:rPr>
        <w:t>(D)</w:t>
      </w:r>
      <w:r w:rsidRPr="000868D3">
        <w:rPr>
          <w:rFonts w:ascii="Arial" w:hAnsi="Arial" w:cs="Arial"/>
          <w:sz w:val="20"/>
          <w:szCs w:val="20"/>
          <w:lang w:val="en-US"/>
        </w:rPr>
        <w:t xml:space="preserve"> Residuals versus fitted values assess functional form and heteroscedasticity; the absence of systematic patterns in the plot suggests no major model misspecification.</w:t>
      </w:r>
    </w:p>
    <w:sectPr w:rsidR="0046473D" w:rsidRPr="004647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B77C7"/>
    <w:multiLevelType w:val="hybridMultilevel"/>
    <w:tmpl w:val="7D582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3574F1"/>
    <w:multiLevelType w:val="hybridMultilevel"/>
    <w:tmpl w:val="6DEA14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2800433">
    <w:abstractNumId w:val="0"/>
  </w:num>
  <w:num w:numId="2" w16cid:durableId="955260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597"/>
    <w:rsid w:val="001354BA"/>
    <w:rsid w:val="0044169B"/>
    <w:rsid w:val="0046473D"/>
    <w:rsid w:val="007046CA"/>
    <w:rsid w:val="00727F1A"/>
    <w:rsid w:val="00AD1B00"/>
    <w:rsid w:val="00B46B82"/>
    <w:rsid w:val="00CA4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A883A"/>
  <w15:chartTrackingRefBased/>
  <w15:docId w15:val="{6D776C0D-F3E4-443D-A075-29C0AC59C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597"/>
    <w:rPr>
      <w:lang w:val="pt-BR"/>
    </w:rPr>
  </w:style>
  <w:style w:type="paragraph" w:styleId="Heading1">
    <w:name w:val="heading 1"/>
    <w:basedOn w:val="Normal"/>
    <w:next w:val="Normal"/>
    <w:link w:val="Heading1Char"/>
    <w:uiPriority w:val="9"/>
    <w:qFormat/>
    <w:rsid w:val="00CA45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A45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5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5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5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5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5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5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5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A4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597"/>
    <w:rPr>
      <w:rFonts w:eastAsiaTheme="majorEastAsia" w:cstheme="majorBidi"/>
      <w:color w:val="272727" w:themeColor="text1" w:themeTint="D8"/>
    </w:rPr>
  </w:style>
  <w:style w:type="paragraph" w:styleId="Title">
    <w:name w:val="Title"/>
    <w:basedOn w:val="Normal"/>
    <w:next w:val="Normal"/>
    <w:link w:val="TitleChar"/>
    <w:uiPriority w:val="10"/>
    <w:qFormat/>
    <w:rsid w:val="00CA45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5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597"/>
    <w:pPr>
      <w:spacing w:before="160"/>
      <w:jc w:val="center"/>
    </w:pPr>
    <w:rPr>
      <w:i/>
      <w:iCs/>
      <w:color w:val="404040" w:themeColor="text1" w:themeTint="BF"/>
    </w:rPr>
  </w:style>
  <w:style w:type="character" w:customStyle="1" w:styleId="QuoteChar">
    <w:name w:val="Quote Char"/>
    <w:basedOn w:val="DefaultParagraphFont"/>
    <w:link w:val="Quote"/>
    <w:uiPriority w:val="29"/>
    <w:rsid w:val="00CA4597"/>
    <w:rPr>
      <w:i/>
      <w:iCs/>
      <w:color w:val="404040" w:themeColor="text1" w:themeTint="BF"/>
    </w:rPr>
  </w:style>
  <w:style w:type="paragraph" w:styleId="ListParagraph">
    <w:name w:val="List Paragraph"/>
    <w:basedOn w:val="Normal"/>
    <w:uiPriority w:val="34"/>
    <w:qFormat/>
    <w:rsid w:val="00CA4597"/>
    <w:pPr>
      <w:ind w:left="720"/>
      <w:contextualSpacing/>
    </w:pPr>
  </w:style>
  <w:style w:type="character" w:styleId="IntenseEmphasis">
    <w:name w:val="Intense Emphasis"/>
    <w:basedOn w:val="DefaultParagraphFont"/>
    <w:uiPriority w:val="21"/>
    <w:qFormat/>
    <w:rsid w:val="00CA4597"/>
    <w:rPr>
      <w:i/>
      <w:iCs/>
      <w:color w:val="0F4761" w:themeColor="accent1" w:themeShade="BF"/>
    </w:rPr>
  </w:style>
  <w:style w:type="paragraph" w:styleId="IntenseQuote">
    <w:name w:val="Intense Quote"/>
    <w:basedOn w:val="Normal"/>
    <w:next w:val="Normal"/>
    <w:link w:val="IntenseQuoteChar"/>
    <w:uiPriority w:val="30"/>
    <w:qFormat/>
    <w:rsid w:val="00CA4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597"/>
    <w:rPr>
      <w:i/>
      <w:iCs/>
      <w:color w:val="0F4761" w:themeColor="accent1" w:themeShade="BF"/>
    </w:rPr>
  </w:style>
  <w:style w:type="character" w:styleId="IntenseReference">
    <w:name w:val="Intense Reference"/>
    <w:basedOn w:val="DefaultParagraphFont"/>
    <w:uiPriority w:val="32"/>
    <w:qFormat/>
    <w:rsid w:val="00CA4597"/>
    <w:rPr>
      <w:b/>
      <w:bCs/>
      <w:smallCaps/>
      <w:color w:val="0F4761" w:themeColor="accent1" w:themeShade="BF"/>
      <w:spacing w:val="5"/>
    </w:rPr>
  </w:style>
  <w:style w:type="paragraph" w:styleId="NormalWeb">
    <w:name w:val="Normal (Web)"/>
    <w:basedOn w:val="Normal"/>
    <w:uiPriority w:val="99"/>
    <w:unhideWhenUsed/>
    <w:rsid w:val="00CA4597"/>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PlaceholderText">
    <w:name w:val="Placeholder Text"/>
    <w:basedOn w:val="DefaultParagraphFont"/>
    <w:uiPriority w:val="99"/>
    <w:semiHidden/>
    <w:rsid w:val="00CA459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1454</Words>
  <Characters>8221</Characters>
  <Application>Microsoft Office Word</Application>
  <DocSecurity>0</DocSecurity>
  <Lines>513</Lines>
  <Paragraphs>509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Villalva Serra, Klauss, Jr.</dc:creator>
  <cp:keywords/>
  <dc:description/>
  <cp:lastModifiedBy>Bruno De Bezerril Andrade</cp:lastModifiedBy>
  <cp:revision>3</cp:revision>
  <dcterms:created xsi:type="dcterms:W3CDTF">2026-02-10T18:18:00Z</dcterms:created>
  <dcterms:modified xsi:type="dcterms:W3CDTF">2026-02-17T18:38:00Z</dcterms:modified>
</cp:coreProperties>
</file>