
<file path=[Content_Types].xml><?xml version="1.0" encoding="utf-8"?>
<Types xmlns="http://schemas.openxmlformats.org/package/2006/content-types">
  <Default Extension="emf" ContentType="image/x-emf"/>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A90A31" w14:textId="77777777" w:rsidR="009C617E" w:rsidRPr="008C6334" w:rsidRDefault="009C617E" w:rsidP="009C617E">
      <w:pPr>
        <w:pStyle w:val="NoSpacing"/>
        <w:spacing w:after="160" w:line="480" w:lineRule="auto"/>
        <w:jc w:val="both"/>
        <w:rPr>
          <w:b/>
          <w:bCs/>
        </w:rPr>
      </w:pPr>
    </w:p>
    <w:p w14:paraId="45F8D1D7" w14:textId="77777777" w:rsidR="009C617E" w:rsidRDefault="009C617E" w:rsidP="009C617E">
      <w:pPr>
        <w:spacing w:line="480" w:lineRule="auto"/>
        <w:jc w:val="center"/>
        <w:rPr>
          <w:b/>
          <w:bCs/>
        </w:rPr>
      </w:pPr>
      <w:r>
        <w:rPr>
          <w:b/>
          <w:bCs/>
          <w:noProof/>
        </w:rPr>
        <w:drawing>
          <wp:inline distT="0" distB="0" distL="0" distR="0" wp14:anchorId="73809C53" wp14:editId="27FA0DD2">
            <wp:extent cx="5943600" cy="1876425"/>
            <wp:effectExtent l="0" t="0" r="0" b="952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943600" cy="1876425"/>
                    </a:xfrm>
                    <a:prstGeom prst="rect">
                      <a:avLst/>
                    </a:prstGeom>
                    <a:noFill/>
                    <a:ln>
                      <a:noFill/>
                    </a:ln>
                  </pic:spPr>
                </pic:pic>
              </a:graphicData>
            </a:graphic>
          </wp:inline>
        </w:drawing>
      </w:r>
    </w:p>
    <w:p w14:paraId="75970F5A" w14:textId="77777777" w:rsidR="009C617E" w:rsidRDefault="009C617E" w:rsidP="009C617E">
      <w:pPr>
        <w:spacing w:line="480" w:lineRule="auto"/>
        <w:jc w:val="both"/>
      </w:pPr>
      <w:r w:rsidRPr="00BD590A">
        <w:rPr>
          <w:b/>
          <w:bCs/>
        </w:rPr>
        <w:t>Figure S1:</w:t>
      </w:r>
      <w:r>
        <w:rPr>
          <w:b/>
          <w:bCs/>
        </w:rPr>
        <w:t xml:space="preserve"> Generation of an intermediate TcoDMT hemizygous knock-out (TcoDMT</w:t>
      </w:r>
      <w:r w:rsidRPr="005802EE">
        <w:rPr>
          <w:b/>
          <w:bCs/>
          <w:vertAlign w:val="superscript"/>
        </w:rPr>
        <w:t>sKO</w:t>
      </w:r>
      <w:r>
        <w:rPr>
          <w:b/>
          <w:bCs/>
        </w:rPr>
        <w:t>)</w:t>
      </w:r>
      <w:r>
        <w:t xml:space="preserve"> A) Sigmoidal dose-response curves for ISM treatment of </w:t>
      </w:r>
      <w:r w:rsidRPr="006A1C77">
        <w:rPr>
          <w:i/>
          <w:iCs/>
        </w:rPr>
        <w:t>T. congolense</w:t>
      </w:r>
      <w:r>
        <w:t xml:space="preserve"> IL3000 WT and TcoDMT</w:t>
      </w:r>
      <w:r w:rsidRPr="006A1C77">
        <w:rPr>
          <w:vertAlign w:val="superscript"/>
        </w:rPr>
        <w:t>sKO</w:t>
      </w:r>
      <w:r>
        <w:t xml:space="preserve"> cells to determine the effect of single allelic knock-out of TcoDMT on ISM sensitivity. B) Growth of TcoDMT</w:t>
      </w:r>
      <w:r w:rsidRPr="004A3C77">
        <w:rPr>
          <w:vertAlign w:val="superscript"/>
        </w:rPr>
        <w:t>dKO</w:t>
      </w:r>
      <w:r>
        <w:t xml:space="preserve"> cells in the presence and absence of selective antibiotics (Abs). Parasites were maintained in the absence or presence </w:t>
      </w:r>
      <w:r w:rsidRPr="004A3C77">
        <w:t xml:space="preserve">of </w:t>
      </w:r>
      <w:r w:rsidRPr="004A3C77">
        <w:rPr>
          <w:rFonts w:cs="Arial"/>
          <w:lang w:eastAsia="en-GB"/>
        </w:rPr>
        <w:t>0.4 µg/mL hygromycin and 0.4</w:t>
      </w:r>
      <w:r>
        <w:rPr>
          <w:rFonts w:cs="Arial"/>
          <w:lang w:eastAsia="en-GB"/>
        </w:rPr>
        <w:t> </w:t>
      </w:r>
      <w:r w:rsidRPr="004A3C77">
        <w:rPr>
          <w:rFonts w:cs="Arial"/>
          <w:lang w:eastAsia="en-GB"/>
        </w:rPr>
        <w:t>µg/mL puromycin</w:t>
      </w:r>
      <w:r>
        <w:rPr>
          <w:rFonts w:cs="Arial"/>
          <w:lang w:eastAsia="en-GB"/>
        </w:rPr>
        <w:t>. No differences were observed between the two sample groups.</w:t>
      </w:r>
    </w:p>
    <w:p w14:paraId="3F34DF44" w14:textId="77777777" w:rsidR="009C617E" w:rsidRDefault="009C617E" w:rsidP="009C617E">
      <w:pPr>
        <w:spacing w:line="480" w:lineRule="auto"/>
        <w:jc w:val="center"/>
        <w:rPr>
          <w:b/>
          <w:bCs/>
        </w:rPr>
      </w:pPr>
      <w:r>
        <w:rPr>
          <w:b/>
          <w:bCs/>
          <w:noProof/>
        </w:rPr>
        <w:drawing>
          <wp:inline distT="0" distB="0" distL="0" distR="0" wp14:anchorId="3EF0F9E5" wp14:editId="3DAFA068">
            <wp:extent cx="5943600" cy="160020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943600" cy="1600200"/>
                    </a:xfrm>
                    <a:prstGeom prst="rect">
                      <a:avLst/>
                    </a:prstGeom>
                    <a:noFill/>
                    <a:ln>
                      <a:noFill/>
                    </a:ln>
                  </pic:spPr>
                </pic:pic>
              </a:graphicData>
            </a:graphic>
          </wp:inline>
        </w:drawing>
      </w:r>
    </w:p>
    <w:p w14:paraId="6A65F902" w14:textId="77777777" w:rsidR="009C617E" w:rsidRDefault="009C617E" w:rsidP="009C617E">
      <w:pPr>
        <w:spacing w:line="480" w:lineRule="auto"/>
        <w:jc w:val="both"/>
      </w:pPr>
      <w:r w:rsidRPr="00BD590A">
        <w:rPr>
          <w:b/>
          <w:bCs/>
        </w:rPr>
        <w:t>Figure S2</w:t>
      </w:r>
      <w:r w:rsidRPr="005802EE">
        <w:rPr>
          <w:b/>
          <w:bCs/>
        </w:rPr>
        <w:t>: Effect of TcoDMT RNAi-mediated knock-down on ISM sensitivity.</w:t>
      </w:r>
      <w:r>
        <w:t xml:space="preserve"> A) RT-qPCR analysis of tetracycline-induced and uninduced TcoDMT RNAi knock-down, highlighting a loss of TcoDMT expression of ~40%. B) Sigmoidal dose-response curves of TcoDMT RNAi cells, in the absence or presence of tetracycline (1 µg/mL), in addition to the TcoSM background strain. Cells </w:t>
      </w:r>
      <w:r>
        <w:lastRenderedPageBreak/>
        <w:t xml:space="preserve">induced with tetracycline were assayed after 48 hours of induction, and exhibited no effect on ISM sensitivity. </w:t>
      </w:r>
    </w:p>
    <w:p w14:paraId="650EC29A" w14:textId="77777777" w:rsidR="009C617E" w:rsidRDefault="009C617E" w:rsidP="009C617E">
      <w:pPr>
        <w:spacing w:line="480" w:lineRule="auto"/>
        <w:jc w:val="both"/>
      </w:pPr>
      <w:r>
        <w:rPr>
          <w:noProof/>
        </w:rPr>
        <w:drawing>
          <wp:inline distT="0" distB="0" distL="0" distR="0" wp14:anchorId="15A983EF" wp14:editId="23372C9C">
            <wp:extent cx="5619750" cy="7096125"/>
            <wp:effectExtent l="0" t="0" r="0" b="952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619750" cy="7096125"/>
                    </a:xfrm>
                    <a:prstGeom prst="rect">
                      <a:avLst/>
                    </a:prstGeom>
                    <a:noFill/>
                    <a:ln>
                      <a:noFill/>
                    </a:ln>
                  </pic:spPr>
                </pic:pic>
              </a:graphicData>
            </a:graphic>
          </wp:inline>
        </w:drawing>
      </w:r>
    </w:p>
    <w:p w14:paraId="024C77F9" w14:textId="77777777" w:rsidR="009C617E" w:rsidRDefault="009C617E" w:rsidP="009C617E">
      <w:pPr>
        <w:spacing w:line="480" w:lineRule="auto"/>
        <w:jc w:val="both"/>
      </w:pPr>
      <w:r w:rsidRPr="00BD590A">
        <w:rPr>
          <w:b/>
          <w:bCs/>
        </w:rPr>
        <w:t>Figure S3</w:t>
      </w:r>
      <w:r w:rsidRPr="005802EE">
        <w:rPr>
          <w:b/>
          <w:bCs/>
        </w:rPr>
        <w:t>: Native fluorescence analysis of TcoDMT localisation</w:t>
      </w:r>
      <w:r>
        <w:rPr>
          <w:b/>
          <w:bCs/>
        </w:rPr>
        <w:t>.</w:t>
      </w:r>
      <w:r w:rsidRPr="005802EE">
        <w:rPr>
          <w:b/>
          <w:bCs/>
        </w:rPr>
        <w:t xml:space="preserve"> </w:t>
      </w:r>
      <w:r>
        <w:t>A) Representative images of wild-type (top), TcoDMT</w:t>
      </w:r>
      <w:r w:rsidRPr="00CB4910">
        <w:rPr>
          <w:vertAlign w:val="superscript"/>
        </w:rPr>
        <w:t>sfGFP</w:t>
      </w:r>
      <w:r>
        <w:t xml:space="preserve"> (middle) and TcoDMT</w:t>
      </w:r>
      <w:r w:rsidRPr="00CB4910">
        <w:rPr>
          <w:vertAlign w:val="superscript"/>
        </w:rPr>
        <w:t>OE-sfGFP</w:t>
      </w:r>
      <w:r>
        <w:t xml:space="preserve"> (bottom) cells. GFP (green) fluorescence, specific for TcoDMT, is shown on the left, and phase-contrast merged with DNA staining (cyan) is shown on the right. Scale bar represents 20 µm. B) Pixel intensity analysis of TcoDMT</w:t>
      </w:r>
      <w:r w:rsidRPr="00CB4910">
        <w:rPr>
          <w:vertAlign w:val="superscript"/>
        </w:rPr>
        <w:t>sfGFP</w:t>
      </w:r>
      <w:r>
        <w:t>. The three examples are also shown in Fig 2. Pixel intensity was measured as a proxy for pixel intensity across each cell (location highlighted by yellow line). Intensities were plotted to highlight fluorescence intensity patterns that are typical of cell surface proteins.</w:t>
      </w:r>
    </w:p>
    <w:p w14:paraId="4AA33FC2" w14:textId="77777777" w:rsidR="009C617E" w:rsidRDefault="009C617E" w:rsidP="009C617E">
      <w:pPr>
        <w:spacing w:line="480" w:lineRule="auto"/>
        <w:jc w:val="both"/>
      </w:pPr>
      <w:r>
        <w:rPr>
          <w:noProof/>
        </w:rPr>
        <w:drawing>
          <wp:inline distT="0" distB="0" distL="0" distR="0" wp14:anchorId="16B72CC6" wp14:editId="0C3D6214">
            <wp:extent cx="5943600" cy="3943350"/>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943600" cy="3943350"/>
                    </a:xfrm>
                    <a:prstGeom prst="rect">
                      <a:avLst/>
                    </a:prstGeom>
                    <a:noFill/>
                    <a:ln>
                      <a:noFill/>
                    </a:ln>
                  </pic:spPr>
                </pic:pic>
              </a:graphicData>
            </a:graphic>
          </wp:inline>
        </w:drawing>
      </w:r>
    </w:p>
    <w:p w14:paraId="73D1C713" w14:textId="77777777" w:rsidR="009C617E" w:rsidRPr="00BD590A" w:rsidRDefault="009C617E" w:rsidP="009C617E">
      <w:pPr>
        <w:spacing w:line="480" w:lineRule="auto"/>
        <w:jc w:val="both"/>
        <w:rPr>
          <w:b/>
          <w:bCs/>
        </w:rPr>
      </w:pPr>
      <w:r w:rsidRPr="00BD590A">
        <w:rPr>
          <w:b/>
          <w:bCs/>
        </w:rPr>
        <w:t xml:space="preserve">Figure </w:t>
      </w:r>
      <w:r>
        <w:rPr>
          <w:b/>
          <w:bCs/>
        </w:rPr>
        <w:t>S4</w:t>
      </w:r>
      <w:r w:rsidRPr="00BD590A">
        <w:rPr>
          <w:b/>
          <w:bCs/>
        </w:rPr>
        <w:t>:</w:t>
      </w:r>
      <w:r>
        <w:rPr>
          <w:b/>
          <w:bCs/>
        </w:rPr>
        <w:t xml:space="preserve"> Analysis of TcoDMT phylogeny and structure. </w:t>
      </w:r>
      <w:r>
        <w:rPr>
          <w:rFonts w:cs="Arial"/>
        </w:rPr>
        <w:t xml:space="preserve">A) Phylogenetic tree of the </w:t>
      </w:r>
      <w:r>
        <w:rPr>
          <w:rFonts w:cs="Arial"/>
          <w:i/>
          <w:iCs/>
        </w:rPr>
        <w:t>H. sapiens</w:t>
      </w:r>
      <w:r>
        <w:rPr>
          <w:rFonts w:cs="Arial"/>
        </w:rPr>
        <w:t xml:space="preserve"> SLC35 family and known sugar nucleotide transporters (nucleotide sugar transporters; NSTs) from </w:t>
      </w:r>
      <w:r w:rsidRPr="00BD590A">
        <w:rPr>
          <w:rFonts w:cs="Arial"/>
          <w:i/>
        </w:rPr>
        <w:t>T. brucei</w:t>
      </w:r>
      <w:r>
        <w:rPr>
          <w:rFonts w:cs="Arial"/>
        </w:rPr>
        <w:t xml:space="preserve">, </w:t>
      </w:r>
      <w:r>
        <w:rPr>
          <w:rFonts w:cs="Arial"/>
          <w:i/>
          <w:iCs/>
        </w:rPr>
        <w:t xml:space="preserve">T. cruzi </w:t>
      </w:r>
      <w:r>
        <w:rPr>
          <w:rFonts w:cs="Arial"/>
        </w:rPr>
        <w:t xml:space="preserve">and </w:t>
      </w:r>
      <w:r w:rsidRPr="00BD590A">
        <w:rPr>
          <w:rFonts w:cs="Arial"/>
          <w:i/>
        </w:rPr>
        <w:t>Leishmania major</w:t>
      </w:r>
      <w:r>
        <w:rPr>
          <w:rFonts w:cs="Arial"/>
        </w:rPr>
        <w:t xml:space="preserve">, to highlight closest relatives of the TcoDMT protein. B-D) </w:t>
      </w:r>
      <w:r>
        <w:t xml:space="preserve">FoldSeek analysis of the predicted TcoDMT structure. TcoDMT is structurally similar to predicted structures of SLC35F5 proteins in </w:t>
      </w:r>
      <w:r w:rsidRPr="005B29A2">
        <w:rPr>
          <w:i/>
          <w:iCs/>
        </w:rPr>
        <w:t>H. sapiens</w:t>
      </w:r>
      <w:r>
        <w:t xml:space="preserve"> (B) and </w:t>
      </w:r>
      <w:r w:rsidRPr="005B29A2">
        <w:rPr>
          <w:i/>
          <w:iCs/>
        </w:rPr>
        <w:t>R. norvegicus</w:t>
      </w:r>
      <w:r>
        <w:t xml:space="preserve"> (C), as well as the </w:t>
      </w:r>
      <w:r w:rsidRPr="005B29A2">
        <w:rPr>
          <w:i/>
          <w:iCs/>
        </w:rPr>
        <w:t xml:space="preserve">S. cerevisiae </w:t>
      </w:r>
      <w:r>
        <w:t xml:space="preserve">uncharacterised vacuolar membrane protein YML018C (D). Two different views are shown for each structural alignment and in each example, TcoDMT is coloured blue, with the compared protein structure in yellow. Protein structure similarity metrics of TcoDMT compared to each protein: </w:t>
      </w:r>
      <w:r w:rsidRPr="005B29A2">
        <w:rPr>
          <w:i/>
          <w:iCs/>
        </w:rPr>
        <w:t>H. sapiens</w:t>
      </w:r>
      <w:r>
        <w:t xml:space="preserve"> SLC35F5: TM-score: 0.57697, RMSD: 20.29; </w:t>
      </w:r>
      <w:r w:rsidRPr="005B29A2">
        <w:rPr>
          <w:i/>
          <w:iCs/>
        </w:rPr>
        <w:t>R. n</w:t>
      </w:r>
      <w:r>
        <w:rPr>
          <w:i/>
          <w:iCs/>
        </w:rPr>
        <w:t>o</w:t>
      </w:r>
      <w:r w:rsidRPr="005B29A2">
        <w:rPr>
          <w:i/>
          <w:iCs/>
        </w:rPr>
        <w:t>rvegicus</w:t>
      </w:r>
      <w:r>
        <w:t xml:space="preserve"> SLC35F5: TM-Score: 0.58773, RMSD: 19.61; </w:t>
      </w:r>
      <w:r w:rsidRPr="005B29A2">
        <w:rPr>
          <w:i/>
          <w:iCs/>
        </w:rPr>
        <w:t>S. cerevisiae</w:t>
      </w:r>
      <w:r>
        <w:t xml:space="preserve"> YML018C: TM-Score: 0.73935, RMSD: 7.36.</w:t>
      </w:r>
    </w:p>
    <w:p w14:paraId="51CF0D53" w14:textId="77777777" w:rsidR="009C617E" w:rsidRDefault="009C617E" w:rsidP="009C617E">
      <w:pPr>
        <w:spacing w:line="480" w:lineRule="auto"/>
        <w:jc w:val="both"/>
        <w:rPr>
          <w:b/>
          <w:bCs/>
        </w:rPr>
      </w:pPr>
      <w:r>
        <w:rPr>
          <w:b/>
          <w:bCs/>
        </w:rPr>
        <w:t>Figure S5</w:t>
      </w:r>
      <w:r>
        <w:rPr>
          <w:noProof/>
        </w:rPr>
        <w:drawing>
          <wp:inline distT="0" distB="0" distL="0" distR="0" wp14:anchorId="29E84AF2" wp14:editId="4F8FE9CC">
            <wp:extent cx="5943600" cy="2162175"/>
            <wp:effectExtent l="0" t="0" r="0" b="952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43600" cy="2162175"/>
                    </a:xfrm>
                    <a:prstGeom prst="rect">
                      <a:avLst/>
                    </a:prstGeom>
                    <a:noFill/>
                    <a:ln>
                      <a:noFill/>
                    </a:ln>
                  </pic:spPr>
                </pic:pic>
              </a:graphicData>
            </a:graphic>
          </wp:inline>
        </w:drawing>
      </w:r>
    </w:p>
    <w:p w14:paraId="0F3F18E0" w14:textId="77777777" w:rsidR="009C617E" w:rsidRPr="001C58C5" w:rsidRDefault="009C617E" w:rsidP="009C617E">
      <w:pPr>
        <w:spacing w:line="480" w:lineRule="auto"/>
        <w:jc w:val="both"/>
      </w:pPr>
      <w:r w:rsidRPr="0085771C">
        <w:rPr>
          <w:b/>
          <w:bCs/>
        </w:rPr>
        <w:t>Figure S5</w:t>
      </w:r>
      <w:r>
        <w:rPr>
          <w:b/>
          <w:bCs/>
        </w:rPr>
        <w:t>: Metabolomics analysis of TcoDMT mutants. A</w:t>
      </w:r>
      <w:r>
        <w:rPr>
          <w:rFonts w:cs="Arial"/>
        </w:rPr>
        <w:t>) PCA plot of processed LC-MS metabolomics samples (WT, TcoDMT</w:t>
      </w:r>
      <w:r w:rsidRPr="001C7E10">
        <w:rPr>
          <w:rFonts w:cs="Arial"/>
          <w:vertAlign w:val="superscript"/>
        </w:rPr>
        <w:t>OE</w:t>
      </w:r>
      <w:r>
        <w:rPr>
          <w:rFonts w:cs="Arial"/>
        </w:rPr>
        <w:t>, TcoDMT</w:t>
      </w:r>
      <w:r w:rsidRPr="001C7E10">
        <w:rPr>
          <w:rFonts w:cs="Arial"/>
          <w:vertAlign w:val="superscript"/>
        </w:rPr>
        <w:t>dKO</w:t>
      </w:r>
      <w:r>
        <w:rPr>
          <w:rFonts w:cs="Arial"/>
        </w:rPr>
        <w:t xml:space="preserve">) highlighting separation between cell pellet samples (“pellet”) and supernatant samples (“sup.”) after 48 hours of </w:t>
      </w:r>
      <w:r w:rsidRPr="001C7E10">
        <w:rPr>
          <w:rFonts w:cs="Arial"/>
          <w:i/>
        </w:rPr>
        <w:t>in vitro</w:t>
      </w:r>
      <w:r>
        <w:rPr>
          <w:rFonts w:cs="Arial"/>
        </w:rPr>
        <w:t xml:space="preserve"> culture. Given the lack of separation between WT and TcoDMT</w:t>
      </w:r>
      <w:r w:rsidRPr="001C7E10">
        <w:rPr>
          <w:rFonts w:cs="Arial"/>
          <w:vertAlign w:val="superscript"/>
        </w:rPr>
        <w:t>dKO</w:t>
      </w:r>
      <w:r>
        <w:rPr>
          <w:rFonts w:cs="Arial"/>
        </w:rPr>
        <w:t xml:space="preserve"> cells, the WT vs TcoDMT</w:t>
      </w:r>
      <w:r w:rsidRPr="001C7E10">
        <w:rPr>
          <w:rFonts w:cs="Arial"/>
          <w:vertAlign w:val="superscript"/>
        </w:rPr>
        <w:t>OE</w:t>
      </w:r>
      <w:r>
        <w:rPr>
          <w:rFonts w:cs="Arial"/>
        </w:rPr>
        <w:t xml:space="preserve"> comparison was analysed in further detail. B) Volcano plot </w:t>
      </w:r>
      <w:bookmarkStart w:id="0" w:name="OLE_LINK1"/>
      <w:r>
        <w:rPr>
          <w:rFonts w:cs="Arial"/>
        </w:rPr>
        <w:t>showing fold changes (TcoDMT</w:t>
      </w:r>
      <w:r w:rsidRPr="001C7E10">
        <w:rPr>
          <w:rFonts w:cs="Arial"/>
          <w:vertAlign w:val="superscript"/>
        </w:rPr>
        <w:t>OE</w:t>
      </w:r>
      <w:r>
        <w:rPr>
          <w:rFonts w:cs="Arial"/>
        </w:rPr>
        <w:t xml:space="preserve"> / WT) in metabolites detected</w:t>
      </w:r>
      <w:bookmarkEnd w:id="0"/>
      <w:r>
        <w:rPr>
          <w:rFonts w:cs="Arial"/>
        </w:rPr>
        <w:t xml:space="preserve"> in cell pellet samples. Of the 950 metabolites, 28 were significantly reduced and 5 were significantly increased in abundance, as indicated by red dots (significance calculated by Student’s </w:t>
      </w:r>
      <w:r w:rsidRPr="001C7E10">
        <w:rPr>
          <w:rFonts w:cs="Arial"/>
          <w:i/>
        </w:rPr>
        <w:t>t</w:t>
      </w:r>
      <w:r>
        <w:rPr>
          <w:rFonts w:cs="Arial"/>
        </w:rPr>
        <w:t>-test). C) Volcano plot showing fold changes (TcoDMT</w:t>
      </w:r>
      <w:r w:rsidRPr="001C7E10">
        <w:rPr>
          <w:rFonts w:cs="Arial"/>
          <w:vertAlign w:val="superscript"/>
        </w:rPr>
        <w:t>OE</w:t>
      </w:r>
      <w:r>
        <w:rPr>
          <w:rFonts w:cs="Arial"/>
        </w:rPr>
        <w:t xml:space="preserve"> / WT) in metabolites detected</w:t>
      </w:r>
      <w:r w:rsidRPr="001C7E10">
        <w:rPr>
          <w:rFonts w:cs="Arial"/>
          <w:i/>
        </w:rPr>
        <w:t xml:space="preserve"> </w:t>
      </w:r>
      <w:r w:rsidRPr="001C7E10">
        <w:rPr>
          <w:rFonts w:cs="Arial"/>
        </w:rPr>
        <w:t>in</w:t>
      </w:r>
      <w:r>
        <w:rPr>
          <w:rFonts w:cs="Arial"/>
        </w:rPr>
        <w:t xml:space="preserve"> supernatants after 48 hours of cell culture. Of the 774 metabolites detected, 15 were significantly increased in abundance, suggesting these metabolites were excreted more rapidly or consumed to a lesser degree by TcoDMT</w:t>
      </w:r>
      <w:r w:rsidRPr="001C7E10">
        <w:rPr>
          <w:rFonts w:cs="Arial"/>
          <w:vertAlign w:val="superscript"/>
        </w:rPr>
        <w:t>OE</w:t>
      </w:r>
      <w:r>
        <w:rPr>
          <w:rFonts w:cs="Arial"/>
        </w:rPr>
        <w:t xml:space="preserve"> cells. Conversely, 12 metabolites were significantly reduced in TcoDMT</w:t>
      </w:r>
      <w:r w:rsidRPr="00457D22">
        <w:rPr>
          <w:rFonts w:cs="Arial"/>
          <w:vertAlign w:val="superscript"/>
        </w:rPr>
        <w:t>OE</w:t>
      </w:r>
      <w:r>
        <w:rPr>
          <w:rFonts w:cs="Arial"/>
        </w:rPr>
        <w:t xml:space="preserve"> supernatants compared to WT supernatants, indicating that these metabolites were either consumed more rapidly, or excreted less rapidly.</w:t>
      </w:r>
    </w:p>
    <w:p w14:paraId="02A9F630" w14:textId="77777777" w:rsidR="009C617E" w:rsidRPr="002B5C0C" w:rsidRDefault="009C617E" w:rsidP="009C617E">
      <w:pPr>
        <w:spacing w:line="480" w:lineRule="auto"/>
        <w:jc w:val="both"/>
      </w:pPr>
    </w:p>
    <w:p w14:paraId="4D563460" w14:textId="77777777" w:rsidR="009C617E" w:rsidRDefault="009C617E" w:rsidP="009C617E">
      <w:pPr>
        <w:spacing w:line="480" w:lineRule="auto"/>
        <w:jc w:val="both"/>
        <w:rPr>
          <w:b/>
          <w:bCs/>
        </w:rPr>
      </w:pPr>
      <w:r>
        <w:rPr>
          <w:b/>
          <w:bCs/>
          <w:noProof/>
        </w:rPr>
        <w:drawing>
          <wp:inline distT="0" distB="0" distL="0" distR="0" wp14:anchorId="5F0926AD" wp14:editId="7D1DA671">
            <wp:extent cx="5943600" cy="251460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943600" cy="2514600"/>
                    </a:xfrm>
                    <a:prstGeom prst="rect">
                      <a:avLst/>
                    </a:prstGeom>
                    <a:noFill/>
                    <a:ln>
                      <a:noFill/>
                    </a:ln>
                  </pic:spPr>
                </pic:pic>
              </a:graphicData>
            </a:graphic>
          </wp:inline>
        </w:drawing>
      </w:r>
    </w:p>
    <w:p w14:paraId="7F2435C5" w14:textId="77777777" w:rsidR="009C617E" w:rsidRDefault="009C617E" w:rsidP="009C617E">
      <w:pPr>
        <w:spacing w:line="480" w:lineRule="auto"/>
        <w:jc w:val="both"/>
      </w:pPr>
      <w:r w:rsidRPr="00B81F33">
        <w:rPr>
          <w:b/>
          <w:bCs/>
        </w:rPr>
        <w:t xml:space="preserve">Figure </w:t>
      </w:r>
      <w:r w:rsidRPr="000A614D">
        <w:rPr>
          <w:b/>
          <w:bCs/>
        </w:rPr>
        <w:t>S</w:t>
      </w:r>
      <w:r>
        <w:rPr>
          <w:b/>
          <w:bCs/>
        </w:rPr>
        <w:t>6</w:t>
      </w:r>
      <w:r w:rsidRPr="000A614D">
        <w:rPr>
          <w:b/>
          <w:bCs/>
        </w:rPr>
        <w:t>: Protein sequence alignment of DMT.</w:t>
      </w:r>
      <w:r>
        <w:t xml:space="preserve"> Sequences are shown for TcoDMT (TcIL3000.A.H_000575200), TbDMT (Tb927.8.1460) and TvDMT (</w:t>
      </w:r>
      <w:r w:rsidRPr="00E53BA1">
        <w:t>TvY486_0800880</w:t>
      </w:r>
      <w:r>
        <w:t>) using Rasmol colouring.</w:t>
      </w:r>
    </w:p>
    <w:p w14:paraId="2B2FB0D1" w14:textId="77777777" w:rsidR="009C617E" w:rsidRDefault="009C617E" w:rsidP="009C617E">
      <w:pPr>
        <w:spacing w:line="480" w:lineRule="auto"/>
        <w:jc w:val="both"/>
      </w:pPr>
      <w:r>
        <w:rPr>
          <w:noProof/>
        </w:rPr>
        <w:drawing>
          <wp:inline distT="0" distB="0" distL="0" distR="0" wp14:anchorId="758736F5" wp14:editId="5F544339">
            <wp:extent cx="5943600" cy="2609850"/>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943600" cy="2609850"/>
                    </a:xfrm>
                    <a:prstGeom prst="rect">
                      <a:avLst/>
                    </a:prstGeom>
                    <a:noFill/>
                    <a:ln>
                      <a:noFill/>
                    </a:ln>
                  </pic:spPr>
                </pic:pic>
              </a:graphicData>
            </a:graphic>
          </wp:inline>
        </w:drawing>
      </w:r>
    </w:p>
    <w:p w14:paraId="5F9F0B47" w14:textId="77777777" w:rsidR="009C617E" w:rsidRPr="0085771C" w:rsidRDefault="009C617E" w:rsidP="009C617E">
      <w:pPr>
        <w:spacing w:line="480" w:lineRule="auto"/>
        <w:jc w:val="both"/>
      </w:pPr>
      <w:r w:rsidRPr="00BD590A">
        <w:rPr>
          <w:b/>
          <w:bCs/>
        </w:rPr>
        <w:t>Figure S</w:t>
      </w:r>
      <w:r>
        <w:rPr>
          <w:b/>
          <w:bCs/>
        </w:rPr>
        <w:t>7</w:t>
      </w:r>
      <w:r w:rsidRPr="000A614D">
        <w:rPr>
          <w:b/>
          <w:bCs/>
        </w:rPr>
        <w:t>: Read coverage of sensitive, intermediate and fully resistant field isolates in three unrelated loci encompassing single copy genes</w:t>
      </w:r>
      <w:r>
        <w:rPr>
          <w:b/>
          <w:bCs/>
        </w:rPr>
        <w:t>.</w:t>
      </w:r>
      <w:r w:rsidRPr="000A614D">
        <w:t xml:space="preserve"> Genes are</w:t>
      </w:r>
      <w:r>
        <w:t xml:space="preserve"> highlighted in red in the Genome Annotation panel. A) Aldolase (ALD; TcIL3000.A.H_000764200.1); B) Fructose-1,6-bisphosphatase (FBPase; TcIL3000.A.H_000671500.1); C) Telomerase reverse transcriptase (TERT; TcIL3000.A.H_000960200.1).</w:t>
      </w:r>
    </w:p>
    <w:p w14:paraId="283B30B4" w14:textId="77777777" w:rsidR="004E780C" w:rsidRDefault="004E780C"/>
    <w:sectPr w:rsidR="004E780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617E"/>
    <w:rsid w:val="002978F5"/>
    <w:rsid w:val="003852CF"/>
    <w:rsid w:val="004E780C"/>
    <w:rsid w:val="009C617E"/>
    <w:rsid w:val="00C2040D"/>
    <w:rsid w:val="00F50F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FD4AF0"/>
  <w15:chartTrackingRefBased/>
  <w15:docId w15:val="{A262AE29-51B3-474D-B260-3F29F05759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C617E"/>
    <w:pPr>
      <w:spacing w:line="259" w:lineRule="auto"/>
    </w:pPr>
    <w:rPr>
      <w:rFonts w:ascii="Arial" w:hAnsi="Arial"/>
      <w:kern w:val="0"/>
      <w:sz w:val="22"/>
      <w:szCs w:val="22"/>
      <w:lang w:val="en-GB"/>
      <w14:ligatures w14:val="none"/>
    </w:rPr>
  </w:style>
  <w:style w:type="paragraph" w:styleId="Heading1">
    <w:name w:val="heading 1"/>
    <w:basedOn w:val="Normal"/>
    <w:next w:val="Normal"/>
    <w:link w:val="Heading1Char"/>
    <w:uiPriority w:val="9"/>
    <w:qFormat/>
    <w:rsid w:val="009C617E"/>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US"/>
      <w14:ligatures w14:val="standardContextual"/>
    </w:rPr>
  </w:style>
  <w:style w:type="paragraph" w:styleId="Heading2">
    <w:name w:val="heading 2"/>
    <w:basedOn w:val="Normal"/>
    <w:next w:val="Normal"/>
    <w:link w:val="Heading2Char"/>
    <w:uiPriority w:val="9"/>
    <w:semiHidden/>
    <w:unhideWhenUsed/>
    <w:qFormat/>
    <w:rsid w:val="009C617E"/>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US"/>
      <w14:ligatures w14:val="standardContextual"/>
    </w:rPr>
  </w:style>
  <w:style w:type="paragraph" w:styleId="Heading3">
    <w:name w:val="heading 3"/>
    <w:basedOn w:val="Normal"/>
    <w:next w:val="Normal"/>
    <w:link w:val="Heading3Char"/>
    <w:uiPriority w:val="9"/>
    <w:semiHidden/>
    <w:unhideWhenUsed/>
    <w:qFormat/>
    <w:rsid w:val="009C617E"/>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val="en-US"/>
      <w14:ligatures w14:val="standardContextual"/>
    </w:rPr>
  </w:style>
  <w:style w:type="paragraph" w:styleId="Heading4">
    <w:name w:val="heading 4"/>
    <w:basedOn w:val="Normal"/>
    <w:next w:val="Normal"/>
    <w:link w:val="Heading4Char"/>
    <w:uiPriority w:val="9"/>
    <w:semiHidden/>
    <w:unhideWhenUsed/>
    <w:qFormat/>
    <w:rsid w:val="009C617E"/>
    <w:pPr>
      <w:keepNext/>
      <w:keepLines/>
      <w:spacing w:before="80" w:after="40" w:line="278" w:lineRule="auto"/>
      <w:outlineLvl w:val="3"/>
    </w:pPr>
    <w:rPr>
      <w:rFonts w:asciiTheme="minorHAnsi" w:eastAsiaTheme="majorEastAsia" w:hAnsiTheme="minorHAnsi" w:cstheme="majorBidi"/>
      <w:i/>
      <w:iCs/>
      <w:color w:val="0F4761" w:themeColor="accent1" w:themeShade="BF"/>
      <w:kern w:val="2"/>
      <w:sz w:val="24"/>
      <w:szCs w:val="24"/>
      <w:lang w:val="en-US"/>
      <w14:ligatures w14:val="standardContextual"/>
    </w:rPr>
  </w:style>
  <w:style w:type="paragraph" w:styleId="Heading5">
    <w:name w:val="heading 5"/>
    <w:basedOn w:val="Normal"/>
    <w:next w:val="Normal"/>
    <w:link w:val="Heading5Char"/>
    <w:uiPriority w:val="9"/>
    <w:semiHidden/>
    <w:unhideWhenUsed/>
    <w:qFormat/>
    <w:rsid w:val="009C617E"/>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14:ligatures w14:val="standardContextual"/>
    </w:rPr>
  </w:style>
  <w:style w:type="paragraph" w:styleId="Heading6">
    <w:name w:val="heading 6"/>
    <w:basedOn w:val="Normal"/>
    <w:next w:val="Normal"/>
    <w:link w:val="Heading6Char"/>
    <w:uiPriority w:val="9"/>
    <w:semiHidden/>
    <w:unhideWhenUsed/>
    <w:qFormat/>
    <w:rsid w:val="009C617E"/>
    <w:pPr>
      <w:keepNext/>
      <w:keepLines/>
      <w:spacing w:before="40" w:after="0" w:line="278" w:lineRule="auto"/>
      <w:outlineLvl w:val="5"/>
    </w:pPr>
    <w:rPr>
      <w:rFonts w:asciiTheme="minorHAnsi" w:eastAsiaTheme="majorEastAsia" w:hAnsiTheme="minorHAnsi" w:cstheme="majorBidi"/>
      <w:i/>
      <w:iCs/>
      <w:color w:val="595959" w:themeColor="text1" w:themeTint="A6"/>
      <w:kern w:val="2"/>
      <w:sz w:val="24"/>
      <w:szCs w:val="24"/>
      <w:lang w:val="en-US"/>
      <w14:ligatures w14:val="standardContextual"/>
    </w:rPr>
  </w:style>
  <w:style w:type="paragraph" w:styleId="Heading7">
    <w:name w:val="heading 7"/>
    <w:basedOn w:val="Normal"/>
    <w:next w:val="Normal"/>
    <w:link w:val="Heading7Char"/>
    <w:uiPriority w:val="9"/>
    <w:semiHidden/>
    <w:unhideWhenUsed/>
    <w:qFormat/>
    <w:rsid w:val="009C617E"/>
    <w:pPr>
      <w:keepNext/>
      <w:keepLines/>
      <w:spacing w:before="40" w:after="0" w:line="278" w:lineRule="auto"/>
      <w:outlineLvl w:val="6"/>
    </w:pPr>
    <w:rPr>
      <w:rFonts w:asciiTheme="minorHAnsi" w:eastAsiaTheme="majorEastAsia" w:hAnsiTheme="minorHAnsi" w:cstheme="majorBidi"/>
      <w:color w:val="595959" w:themeColor="text1" w:themeTint="A6"/>
      <w:kern w:val="2"/>
      <w:sz w:val="24"/>
      <w:szCs w:val="24"/>
      <w:lang w:val="en-US"/>
      <w14:ligatures w14:val="standardContextual"/>
    </w:rPr>
  </w:style>
  <w:style w:type="paragraph" w:styleId="Heading8">
    <w:name w:val="heading 8"/>
    <w:basedOn w:val="Normal"/>
    <w:next w:val="Normal"/>
    <w:link w:val="Heading8Char"/>
    <w:uiPriority w:val="9"/>
    <w:semiHidden/>
    <w:unhideWhenUsed/>
    <w:qFormat/>
    <w:rsid w:val="009C617E"/>
    <w:pPr>
      <w:keepNext/>
      <w:keepLines/>
      <w:spacing w:after="0" w:line="278" w:lineRule="auto"/>
      <w:outlineLvl w:val="7"/>
    </w:pPr>
    <w:rPr>
      <w:rFonts w:asciiTheme="minorHAnsi" w:eastAsiaTheme="majorEastAsia" w:hAnsiTheme="minorHAnsi" w:cstheme="majorBidi"/>
      <w:i/>
      <w:iCs/>
      <w:color w:val="272727" w:themeColor="text1" w:themeTint="D8"/>
      <w:kern w:val="2"/>
      <w:sz w:val="24"/>
      <w:szCs w:val="24"/>
      <w:lang w:val="en-US"/>
      <w14:ligatures w14:val="standardContextual"/>
    </w:rPr>
  </w:style>
  <w:style w:type="paragraph" w:styleId="Heading9">
    <w:name w:val="heading 9"/>
    <w:basedOn w:val="Normal"/>
    <w:next w:val="Normal"/>
    <w:link w:val="Heading9Char"/>
    <w:uiPriority w:val="9"/>
    <w:semiHidden/>
    <w:unhideWhenUsed/>
    <w:qFormat/>
    <w:rsid w:val="009C617E"/>
    <w:pPr>
      <w:keepNext/>
      <w:keepLines/>
      <w:spacing w:after="0" w:line="278" w:lineRule="auto"/>
      <w:outlineLvl w:val="8"/>
    </w:pPr>
    <w:rPr>
      <w:rFonts w:asciiTheme="minorHAnsi" w:eastAsiaTheme="majorEastAsia" w:hAnsiTheme="minorHAnsi" w:cstheme="majorBidi"/>
      <w:color w:val="272727" w:themeColor="text1" w:themeTint="D8"/>
      <w:kern w:val="2"/>
      <w:sz w:val="24"/>
      <w:szCs w:val="24"/>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C617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C617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C617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C617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C617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C617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C617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C617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C617E"/>
    <w:rPr>
      <w:rFonts w:eastAsiaTheme="majorEastAsia" w:cstheme="majorBidi"/>
      <w:color w:val="272727" w:themeColor="text1" w:themeTint="D8"/>
    </w:rPr>
  </w:style>
  <w:style w:type="paragraph" w:styleId="Title">
    <w:name w:val="Title"/>
    <w:basedOn w:val="Normal"/>
    <w:next w:val="Normal"/>
    <w:link w:val="TitleChar"/>
    <w:uiPriority w:val="10"/>
    <w:qFormat/>
    <w:rsid w:val="009C617E"/>
    <w:pPr>
      <w:spacing w:after="80" w:line="240" w:lineRule="auto"/>
      <w:contextualSpacing/>
    </w:pPr>
    <w:rPr>
      <w:rFonts w:asciiTheme="majorHAnsi" w:eastAsiaTheme="majorEastAsia" w:hAnsiTheme="majorHAnsi" w:cstheme="majorBidi"/>
      <w:spacing w:val="-10"/>
      <w:kern w:val="28"/>
      <w:sz w:val="56"/>
      <w:szCs w:val="56"/>
      <w:lang w:val="en-US"/>
      <w14:ligatures w14:val="standardContextual"/>
    </w:rPr>
  </w:style>
  <w:style w:type="character" w:customStyle="1" w:styleId="TitleChar">
    <w:name w:val="Title Char"/>
    <w:basedOn w:val="DefaultParagraphFont"/>
    <w:link w:val="Title"/>
    <w:uiPriority w:val="10"/>
    <w:rsid w:val="009C617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C617E"/>
    <w:pPr>
      <w:numPr>
        <w:ilvl w:val="1"/>
      </w:numPr>
      <w:spacing w:line="278" w:lineRule="auto"/>
    </w:pPr>
    <w:rPr>
      <w:rFonts w:asciiTheme="minorHAnsi" w:eastAsiaTheme="majorEastAsia" w:hAnsiTheme="minorHAnsi" w:cstheme="majorBidi"/>
      <w:color w:val="595959" w:themeColor="text1" w:themeTint="A6"/>
      <w:spacing w:val="15"/>
      <w:kern w:val="2"/>
      <w:sz w:val="28"/>
      <w:szCs w:val="28"/>
      <w:lang w:val="en-US"/>
      <w14:ligatures w14:val="standardContextual"/>
    </w:rPr>
  </w:style>
  <w:style w:type="character" w:customStyle="1" w:styleId="SubtitleChar">
    <w:name w:val="Subtitle Char"/>
    <w:basedOn w:val="DefaultParagraphFont"/>
    <w:link w:val="Subtitle"/>
    <w:uiPriority w:val="11"/>
    <w:rsid w:val="009C617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C617E"/>
    <w:pPr>
      <w:spacing w:before="160" w:line="278" w:lineRule="auto"/>
      <w:jc w:val="center"/>
    </w:pPr>
    <w:rPr>
      <w:rFonts w:asciiTheme="minorHAnsi" w:hAnsiTheme="minorHAnsi"/>
      <w:i/>
      <w:iCs/>
      <w:color w:val="404040" w:themeColor="text1" w:themeTint="BF"/>
      <w:kern w:val="2"/>
      <w:sz w:val="24"/>
      <w:szCs w:val="24"/>
      <w:lang w:val="en-US"/>
      <w14:ligatures w14:val="standardContextual"/>
    </w:rPr>
  </w:style>
  <w:style w:type="character" w:customStyle="1" w:styleId="QuoteChar">
    <w:name w:val="Quote Char"/>
    <w:basedOn w:val="DefaultParagraphFont"/>
    <w:link w:val="Quote"/>
    <w:uiPriority w:val="29"/>
    <w:rsid w:val="009C617E"/>
    <w:rPr>
      <w:i/>
      <w:iCs/>
      <w:color w:val="404040" w:themeColor="text1" w:themeTint="BF"/>
    </w:rPr>
  </w:style>
  <w:style w:type="paragraph" w:styleId="ListParagraph">
    <w:name w:val="List Paragraph"/>
    <w:basedOn w:val="Normal"/>
    <w:uiPriority w:val="34"/>
    <w:qFormat/>
    <w:rsid w:val="009C617E"/>
    <w:pPr>
      <w:spacing w:line="278" w:lineRule="auto"/>
      <w:ind w:left="720"/>
      <w:contextualSpacing/>
    </w:pPr>
    <w:rPr>
      <w:rFonts w:asciiTheme="minorHAnsi" w:hAnsiTheme="minorHAnsi"/>
      <w:kern w:val="2"/>
      <w:sz w:val="24"/>
      <w:szCs w:val="24"/>
      <w:lang w:val="en-US"/>
      <w14:ligatures w14:val="standardContextual"/>
    </w:rPr>
  </w:style>
  <w:style w:type="character" w:styleId="IntenseEmphasis">
    <w:name w:val="Intense Emphasis"/>
    <w:basedOn w:val="DefaultParagraphFont"/>
    <w:uiPriority w:val="21"/>
    <w:qFormat/>
    <w:rsid w:val="009C617E"/>
    <w:rPr>
      <w:i/>
      <w:iCs/>
      <w:color w:val="0F4761" w:themeColor="accent1" w:themeShade="BF"/>
    </w:rPr>
  </w:style>
  <w:style w:type="paragraph" w:styleId="IntenseQuote">
    <w:name w:val="Intense Quote"/>
    <w:basedOn w:val="Normal"/>
    <w:next w:val="Normal"/>
    <w:link w:val="IntenseQuoteChar"/>
    <w:uiPriority w:val="30"/>
    <w:qFormat/>
    <w:rsid w:val="009C617E"/>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hAnsiTheme="minorHAnsi"/>
      <w:i/>
      <w:iCs/>
      <w:color w:val="0F4761" w:themeColor="accent1" w:themeShade="BF"/>
      <w:kern w:val="2"/>
      <w:sz w:val="24"/>
      <w:szCs w:val="24"/>
      <w:lang w:val="en-US"/>
      <w14:ligatures w14:val="standardContextual"/>
    </w:rPr>
  </w:style>
  <w:style w:type="character" w:customStyle="1" w:styleId="IntenseQuoteChar">
    <w:name w:val="Intense Quote Char"/>
    <w:basedOn w:val="DefaultParagraphFont"/>
    <w:link w:val="IntenseQuote"/>
    <w:uiPriority w:val="30"/>
    <w:rsid w:val="009C617E"/>
    <w:rPr>
      <w:i/>
      <w:iCs/>
      <w:color w:val="0F4761" w:themeColor="accent1" w:themeShade="BF"/>
    </w:rPr>
  </w:style>
  <w:style w:type="character" w:styleId="IntenseReference">
    <w:name w:val="Intense Reference"/>
    <w:basedOn w:val="DefaultParagraphFont"/>
    <w:uiPriority w:val="32"/>
    <w:qFormat/>
    <w:rsid w:val="009C617E"/>
    <w:rPr>
      <w:b/>
      <w:bCs/>
      <w:smallCaps/>
      <w:color w:val="0F4761" w:themeColor="accent1" w:themeShade="BF"/>
      <w:spacing w:val="5"/>
    </w:rPr>
  </w:style>
  <w:style w:type="paragraph" w:styleId="NoSpacing">
    <w:name w:val="No Spacing"/>
    <w:uiPriority w:val="1"/>
    <w:qFormat/>
    <w:rsid w:val="009C617E"/>
    <w:pPr>
      <w:spacing w:after="0" w:line="240" w:lineRule="auto"/>
    </w:pPr>
    <w:rPr>
      <w:rFonts w:ascii="Arial" w:hAnsi="Arial"/>
      <w:kern w:val="0"/>
      <w:sz w:val="22"/>
      <w:szCs w:val="22"/>
      <w:lang w:val="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tiff"/><Relationship Id="rId3" Type="http://schemas.openxmlformats.org/officeDocument/2006/relationships/webSettings" Target="webSettings.xml"/><Relationship Id="rId7" Type="http://schemas.openxmlformats.org/officeDocument/2006/relationships/image" Target="media/image4.tiff"/><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tiff"/><Relationship Id="rId11" Type="http://schemas.openxmlformats.org/officeDocument/2006/relationships/fontTable" Target="fontTable.xml"/><Relationship Id="rId5" Type="http://schemas.openxmlformats.org/officeDocument/2006/relationships/image" Target="media/image2.tiff"/><Relationship Id="rId10" Type="http://schemas.openxmlformats.org/officeDocument/2006/relationships/image" Target="media/image7.tiff"/><Relationship Id="rId4" Type="http://schemas.openxmlformats.org/officeDocument/2006/relationships/image" Target="media/image1.tiff"/><Relationship Id="rId9" Type="http://schemas.openxmlformats.org/officeDocument/2006/relationships/image" Target="media/image6.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647</Words>
  <Characters>3689</Characters>
  <Application>Microsoft Office Word</Application>
  <DocSecurity>0</DocSecurity>
  <Lines>61</Lines>
  <Paragraphs>20</Paragraphs>
  <ScaleCrop>false</ScaleCrop>
  <Company/>
  <LinksUpToDate>false</LinksUpToDate>
  <CharactersWithSpaces>4316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Rohit Pandey</dc:creator>
  <cp:keywords/>
  <dc:description/>
  <cp:lastModifiedBy>Rohit Pandey</cp:lastModifiedBy>
  <cp:revision>1</cp:revision>
  <dcterms:created xsi:type="dcterms:W3CDTF">2026-03-12T08:12:00Z</dcterms:created>
  <dcterms:modified xsi:type="dcterms:W3CDTF">2026-03-12T08:13:00Z</dcterms:modified>
</cp:coreProperties>
</file>