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F2DB" w14:textId="77777777" w:rsidR="00FF3F97" w:rsidRPr="00FF3F97" w:rsidRDefault="00FF3F97" w:rsidP="00FF3F97">
      <w:pPr>
        <w:pStyle w:val="Heading1"/>
      </w:pPr>
      <w:r w:rsidRPr="00FF3F97">
        <w:t>Supplementary material</w:t>
      </w:r>
    </w:p>
    <w:p w14:paraId="3158A599" w14:textId="77777777" w:rsidR="000C03AB" w:rsidRPr="00FF3F97" w:rsidRDefault="000C03AB" w:rsidP="00FF3F97">
      <w:pPr>
        <w:pStyle w:val="Heading2"/>
        <w:rPr>
          <w:rStyle w:val="SubtleEmphasis"/>
          <w:i w:val="0"/>
          <w:iCs w:val="0"/>
          <w:color w:val="2F5496" w:themeColor="accent1" w:themeShade="BF"/>
        </w:rPr>
      </w:pPr>
      <w:r w:rsidRPr="00FF3F97">
        <w:rPr>
          <w:rStyle w:val="SubtleEmphasis"/>
          <w:i w:val="0"/>
          <w:iCs w:val="0"/>
          <w:color w:val="2F5496" w:themeColor="accent1" w:themeShade="BF"/>
        </w:rPr>
        <w:t>Material properties for the numerical modelling</w:t>
      </w:r>
    </w:p>
    <w:p w14:paraId="3B2B3031" w14:textId="77777777" w:rsidR="00427D6B" w:rsidRDefault="00427D6B" w:rsidP="00427D6B">
      <w:pPr>
        <w:tabs>
          <w:tab w:val="left" w:pos="567"/>
        </w:tabs>
        <w:spacing w:after="0" w:line="264" w:lineRule="auto"/>
      </w:pPr>
    </w:p>
    <w:p w14:paraId="37408203" w14:textId="77777777" w:rsidR="00A83058" w:rsidRDefault="00A83058" w:rsidP="00A83058">
      <w:pPr>
        <w:pStyle w:val="Table"/>
      </w:pPr>
      <w:bookmarkStart w:id="0" w:name="_Ref141391387"/>
      <w:r>
        <w:t xml:space="preserve">Table S - </w:t>
      </w:r>
      <w:fldSimple w:instr=" SEQ Table_S_- \* ARABIC ">
        <w:r>
          <w:rPr>
            <w:noProof/>
          </w:rPr>
          <w:t>1</w:t>
        </w:r>
      </w:fldSimple>
      <w:r>
        <w:t>.</w:t>
      </w:r>
      <w:r w:rsidRPr="00BB4E19">
        <w:t xml:space="preserve"> </w:t>
      </w:r>
      <w:r w:rsidRPr="002A164F">
        <w:t>Properties for the simulated materials. Temperature-dependent materials are expressed as functions</w:t>
      </w:r>
      <w:r w:rsidRPr="002A164F">
        <w:rPr>
          <w:rStyle w:val="TableChar"/>
        </w:rPr>
        <w:t xml:space="preserve"> </w:t>
      </w:r>
      <w:r w:rsidRPr="002A164F">
        <w:t>of temperature T.</w:t>
      </w:r>
    </w:p>
    <w:tbl>
      <w:tblPr>
        <w:tblStyle w:val="TableGrid"/>
        <w:tblW w:w="5000" w:type="pct"/>
        <w:jc w:val="center"/>
        <w:tblLook w:val="04A0" w:firstRow="1" w:lastRow="0" w:firstColumn="1" w:lastColumn="0" w:noHBand="0" w:noVBand="1"/>
      </w:tblPr>
      <w:tblGrid>
        <w:gridCol w:w="984"/>
        <w:gridCol w:w="847"/>
        <w:gridCol w:w="1451"/>
        <w:gridCol w:w="1116"/>
        <w:gridCol w:w="1696"/>
        <w:gridCol w:w="1984"/>
        <w:gridCol w:w="938"/>
      </w:tblGrid>
      <w:tr w:rsidR="00B75741" w:rsidRPr="00605B71" w14:paraId="0587525C" w14:textId="77777777" w:rsidTr="007E71C8">
        <w:trPr>
          <w:jc w:val="center"/>
        </w:trPr>
        <w:tc>
          <w:tcPr>
            <w:tcW w:w="546" w:type="pct"/>
            <w:vAlign w:val="center"/>
          </w:tcPr>
          <w:p w14:paraId="40C88B81" w14:textId="77777777" w:rsidR="00A83058" w:rsidRPr="00605B71" w:rsidRDefault="00A83058" w:rsidP="008117BF">
            <w:pPr>
              <w:jc w:val="center"/>
              <w:rPr>
                <w:rFonts w:ascii="Times New Roman" w:hAnsi="Times New Roman" w:cs="Times New Roman"/>
                <w:sz w:val="18"/>
                <w:szCs w:val="18"/>
              </w:rPr>
            </w:pPr>
            <w:r w:rsidRPr="00605B71">
              <w:rPr>
                <w:rFonts w:ascii="Times New Roman" w:hAnsi="Times New Roman" w:cs="Times New Roman"/>
                <w:sz w:val="18"/>
                <w:szCs w:val="18"/>
              </w:rPr>
              <w:t>Material</w:t>
            </w:r>
          </w:p>
        </w:tc>
        <w:tc>
          <w:tcPr>
            <w:tcW w:w="470" w:type="pct"/>
            <w:vAlign w:val="center"/>
          </w:tcPr>
          <w:p w14:paraId="689C993F" w14:textId="77777777" w:rsidR="00A83058" w:rsidRPr="00605B71" w:rsidRDefault="00A83058" w:rsidP="008117BF">
            <w:pPr>
              <w:jc w:val="center"/>
              <w:rPr>
                <w:rFonts w:ascii="Times New Roman" w:hAnsi="Times New Roman" w:cs="Times New Roman"/>
                <w:sz w:val="18"/>
                <w:szCs w:val="18"/>
              </w:rPr>
            </w:pPr>
            <w:r w:rsidRPr="00605B71">
              <w:rPr>
                <w:rFonts w:ascii="Times New Roman" w:hAnsi="Times New Roman" w:cs="Times New Roman"/>
                <w:sz w:val="18"/>
                <w:szCs w:val="18"/>
              </w:rPr>
              <w:t>Density</w:t>
            </w:r>
          </w:p>
          <w:p w14:paraId="5AAFE75E" w14:textId="77777777" w:rsidR="00A83058" w:rsidRPr="00605B71" w:rsidRDefault="00A83058" w:rsidP="008117BF">
            <w:pPr>
              <w:jc w:val="center"/>
              <w:rPr>
                <w:rFonts w:ascii="Times New Roman" w:hAnsi="Times New Roman" w:cs="Times New Roman"/>
                <w:sz w:val="18"/>
                <w:szCs w:val="18"/>
              </w:rPr>
            </w:pPr>
            <w:r w:rsidRPr="00605B71">
              <w:rPr>
                <w:rFonts w:ascii="Times New Roman" w:hAnsi="Times New Roman" w:cs="Times New Roman"/>
                <w:sz w:val="18"/>
                <w:szCs w:val="18"/>
              </w:rPr>
              <w:t>[kg m</w:t>
            </w:r>
            <w:r w:rsidRPr="00605B71">
              <w:rPr>
                <w:rFonts w:ascii="Times New Roman" w:hAnsi="Times New Roman" w:cs="Times New Roman"/>
                <w:sz w:val="18"/>
                <w:szCs w:val="18"/>
                <w:vertAlign w:val="superscript"/>
              </w:rPr>
              <w:t>-3</w:t>
            </w:r>
            <w:r w:rsidRPr="00605B71">
              <w:rPr>
                <w:rFonts w:ascii="Times New Roman" w:hAnsi="Times New Roman" w:cs="Times New Roman"/>
                <w:sz w:val="18"/>
                <w:szCs w:val="18"/>
              </w:rPr>
              <w:t>]</w:t>
            </w:r>
          </w:p>
        </w:tc>
        <w:tc>
          <w:tcPr>
            <w:tcW w:w="805" w:type="pct"/>
            <w:vAlign w:val="center"/>
          </w:tcPr>
          <w:p w14:paraId="294BE70D" w14:textId="77777777" w:rsidR="00A83058" w:rsidRPr="00605B71" w:rsidRDefault="00A83058" w:rsidP="008117BF">
            <w:pPr>
              <w:jc w:val="center"/>
              <w:rPr>
                <w:rFonts w:ascii="Times New Roman" w:hAnsi="Times New Roman" w:cs="Times New Roman"/>
                <w:sz w:val="18"/>
                <w:szCs w:val="18"/>
              </w:rPr>
            </w:pPr>
            <w:r w:rsidRPr="00605B71">
              <w:rPr>
                <w:rFonts w:ascii="Times New Roman" w:hAnsi="Times New Roman" w:cs="Times New Roman"/>
                <w:sz w:val="18"/>
                <w:szCs w:val="18"/>
              </w:rPr>
              <w:t xml:space="preserve">Electrical conductivity </w:t>
            </w:r>
          </w:p>
          <w:p w14:paraId="5FEBB8C2" w14:textId="77777777" w:rsidR="00A83058" w:rsidRPr="00605B71" w:rsidRDefault="00A83058" w:rsidP="008117BF">
            <w:pPr>
              <w:jc w:val="center"/>
              <w:rPr>
                <w:rFonts w:ascii="Times New Roman" w:hAnsi="Times New Roman" w:cs="Times New Roman"/>
                <w:sz w:val="18"/>
                <w:szCs w:val="18"/>
              </w:rPr>
            </w:pPr>
            <w:r w:rsidRPr="00605B71">
              <w:rPr>
                <w:rFonts w:ascii="Times New Roman" w:hAnsi="Times New Roman" w:cs="Times New Roman"/>
                <w:sz w:val="18"/>
                <w:szCs w:val="18"/>
              </w:rPr>
              <w:t>[S m</w:t>
            </w:r>
            <w:r w:rsidRPr="00605B71">
              <w:rPr>
                <w:rFonts w:ascii="Times New Roman" w:hAnsi="Times New Roman" w:cs="Times New Roman"/>
                <w:sz w:val="18"/>
                <w:szCs w:val="18"/>
                <w:vertAlign w:val="superscript"/>
              </w:rPr>
              <w:t>-1</w:t>
            </w:r>
            <w:r w:rsidRPr="00605B71">
              <w:rPr>
                <w:rFonts w:ascii="Times New Roman" w:hAnsi="Times New Roman" w:cs="Times New Roman"/>
                <w:sz w:val="18"/>
                <w:szCs w:val="18"/>
              </w:rPr>
              <w:t>]</w:t>
            </w:r>
          </w:p>
        </w:tc>
        <w:tc>
          <w:tcPr>
            <w:tcW w:w="616" w:type="pct"/>
            <w:vAlign w:val="center"/>
          </w:tcPr>
          <w:p w14:paraId="711BDEEA" w14:textId="77777777" w:rsidR="00A83058" w:rsidRPr="00605B71" w:rsidRDefault="00A83058" w:rsidP="008117BF">
            <w:pPr>
              <w:jc w:val="center"/>
              <w:rPr>
                <w:rFonts w:ascii="Times New Roman" w:hAnsi="Times New Roman" w:cs="Times New Roman"/>
                <w:sz w:val="18"/>
                <w:szCs w:val="18"/>
              </w:rPr>
            </w:pPr>
            <w:r w:rsidRPr="00605B71">
              <w:rPr>
                <w:rFonts w:ascii="Times New Roman" w:hAnsi="Times New Roman" w:cs="Times New Roman"/>
                <w:sz w:val="18"/>
                <w:szCs w:val="18"/>
              </w:rPr>
              <w:t>Thermal conductivity</w:t>
            </w:r>
          </w:p>
          <w:p w14:paraId="55439B30" w14:textId="77777777" w:rsidR="00A83058" w:rsidRPr="00605B71" w:rsidRDefault="00A83058" w:rsidP="008117BF">
            <w:pPr>
              <w:jc w:val="center"/>
              <w:rPr>
                <w:rFonts w:ascii="Times New Roman" w:hAnsi="Times New Roman" w:cs="Times New Roman"/>
                <w:sz w:val="18"/>
                <w:szCs w:val="18"/>
              </w:rPr>
            </w:pPr>
            <w:r w:rsidRPr="00605B71">
              <w:rPr>
                <w:rFonts w:ascii="Times New Roman" w:hAnsi="Times New Roman" w:cs="Times New Roman"/>
                <w:sz w:val="18"/>
                <w:szCs w:val="18"/>
              </w:rPr>
              <w:t>[W m</w:t>
            </w:r>
            <w:r w:rsidRPr="00605B71">
              <w:rPr>
                <w:rFonts w:ascii="Times New Roman" w:hAnsi="Times New Roman" w:cs="Times New Roman"/>
                <w:sz w:val="18"/>
                <w:szCs w:val="18"/>
                <w:vertAlign w:val="superscript"/>
              </w:rPr>
              <w:t>-1</w:t>
            </w:r>
            <w:r w:rsidRPr="00605B71">
              <w:rPr>
                <w:rFonts w:ascii="Times New Roman" w:hAnsi="Times New Roman" w:cs="Times New Roman"/>
                <w:sz w:val="18"/>
                <w:szCs w:val="18"/>
              </w:rPr>
              <w:t xml:space="preserve"> ⁰C</w:t>
            </w:r>
            <w:r w:rsidRPr="00605B71">
              <w:rPr>
                <w:rFonts w:ascii="Times New Roman" w:hAnsi="Times New Roman" w:cs="Times New Roman"/>
                <w:sz w:val="18"/>
                <w:szCs w:val="18"/>
                <w:vertAlign w:val="superscript"/>
              </w:rPr>
              <w:t>-1</w:t>
            </w:r>
            <w:r w:rsidRPr="00605B71">
              <w:rPr>
                <w:rFonts w:ascii="Times New Roman" w:hAnsi="Times New Roman" w:cs="Times New Roman"/>
                <w:sz w:val="18"/>
                <w:szCs w:val="18"/>
              </w:rPr>
              <w:t>]</w:t>
            </w:r>
          </w:p>
        </w:tc>
        <w:tc>
          <w:tcPr>
            <w:tcW w:w="941" w:type="pct"/>
            <w:vAlign w:val="center"/>
          </w:tcPr>
          <w:p w14:paraId="1DA554BC" w14:textId="77777777" w:rsidR="00A83058" w:rsidRPr="00605B71" w:rsidRDefault="00A83058" w:rsidP="008117BF">
            <w:pPr>
              <w:jc w:val="center"/>
              <w:rPr>
                <w:rFonts w:ascii="Times New Roman" w:hAnsi="Times New Roman" w:cs="Times New Roman"/>
                <w:sz w:val="18"/>
                <w:szCs w:val="18"/>
              </w:rPr>
            </w:pPr>
            <w:r w:rsidRPr="00605B71">
              <w:rPr>
                <w:rFonts w:ascii="Times New Roman" w:hAnsi="Times New Roman" w:cs="Times New Roman"/>
                <w:sz w:val="18"/>
                <w:szCs w:val="18"/>
              </w:rPr>
              <w:t>Elastic modulus [GPa]</w:t>
            </w:r>
          </w:p>
        </w:tc>
        <w:tc>
          <w:tcPr>
            <w:tcW w:w="1101" w:type="pct"/>
            <w:vAlign w:val="center"/>
          </w:tcPr>
          <w:p w14:paraId="6AB07108" w14:textId="77777777" w:rsidR="00A83058" w:rsidRPr="00605B71" w:rsidRDefault="00A83058" w:rsidP="008117BF">
            <w:pPr>
              <w:jc w:val="center"/>
              <w:rPr>
                <w:rFonts w:ascii="Times New Roman" w:hAnsi="Times New Roman" w:cs="Times New Roman"/>
                <w:sz w:val="18"/>
                <w:szCs w:val="18"/>
              </w:rPr>
            </w:pPr>
            <w:r w:rsidRPr="00605B71">
              <w:rPr>
                <w:rFonts w:ascii="Times New Roman" w:hAnsi="Times New Roman" w:cs="Times New Roman"/>
                <w:sz w:val="18"/>
                <w:szCs w:val="18"/>
              </w:rPr>
              <w:t xml:space="preserve">Specific heat </w:t>
            </w:r>
          </w:p>
          <w:p w14:paraId="0DED3DB7" w14:textId="77777777" w:rsidR="00A83058" w:rsidRPr="00605B71" w:rsidRDefault="00A83058" w:rsidP="008117BF">
            <w:pPr>
              <w:jc w:val="center"/>
              <w:rPr>
                <w:rFonts w:ascii="Times New Roman" w:hAnsi="Times New Roman" w:cs="Times New Roman"/>
                <w:sz w:val="18"/>
                <w:szCs w:val="18"/>
              </w:rPr>
            </w:pPr>
            <w:r w:rsidRPr="00605B71">
              <w:rPr>
                <w:rFonts w:ascii="Times New Roman" w:hAnsi="Times New Roman" w:cs="Times New Roman"/>
                <w:sz w:val="18"/>
                <w:szCs w:val="18"/>
              </w:rPr>
              <w:t>[J kg</w:t>
            </w:r>
            <w:r w:rsidRPr="00605B71">
              <w:rPr>
                <w:rFonts w:ascii="Times New Roman" w:hAnsi="Times New Roman" w:cs="Times New Roman"/>
                <w:sz w:val="18"/>
                <w:szCs w:val="18"/>
                <w:vertAlign w:val="superscript"/>
              </w:rPr>
              <w:t>-1</w:t>
            </w:r>
            <w:r w:rsidRPr="00605B71">
              <w:rPr>
                <w:rFonts w:ascii="Times New Roman" w:hAnsi="Times New Roman" w:cs="Times New Roman"/>
                <w:sz w:val="18"/>
                <w:szCs w:val="18"/>
              </w:rPr>
              <w:t xml:space="preserve"> ⁰C</w:t>
            </w:r>
            <w:r w:rsidRPr="00605B71">
              <w:rPr>
                <w:rFonts w:ascii="Times New Roman" w:hAnsi="Times New Roman" w:cs="Times New Roman"/>
                <w:sz w:val="18"/>
                <w:szCs w:val="18"/>
                <w:vertAlign w:val="superscript"/>
              </w:rPr>
              <w:t>-1</w:t>
            </w:r>
            <w:r w:rsidRPr="00605B71">
              <w:rPr>
                <w:rFonts w:ascii="Times New Roman" w:hAnsi="Times New Roman" w:cs="Times New Roman"/>
                <w:sz w:val="18"/>
                <w:szCs w:val="18"/>
              </w:rPr>
              <w:t>]</w:t>
            </w:r>
          </w:p>
        </w:tc>
        <w:tc>
          <w:tcPr>
            <w:tcW w:w="521" w:type="pct"/>
            <w:vAlign w:val="center"/>
          </w:tcPr>
          <w:p w14:paraId="616547FB" w14:textId="77777777" w:rsidR="00A83058" w:rsidRPr="00605B71" w:rsidRDefault="00A83058" w:rsidP="008117BF">
            <w:pPr>
              <w:jc w:val="center"/>
              <w:rPr>
                <w:rFonts w:ascii="Times New Roman" w:hAnsi="Times New Roman" w:cs="Times New Roman"/>
                <w:sz w:val="18"/>
                <w:szCs w:val="18"/>
              </w:rPr>
            </w:pPr>
            <w:r w:rsidRPr="00605B71">
              <w:rPr>
                <w:rFonts w:ascii="Times New Roman" w:hAnsi="Times New Roman" w:cs="Times New Roman"/>
                <w:sz w:val="18"/>
                <w:szCs w:val="18"/>
              </w:rPr>
              <w:t>Poisson’s ratio</w:t>
            </w:r>
          </w:p>
        </w:tc>
      </w:tr>
      <w:tr w:rsidR="007E71C8" w:rsidRPr="00605B71" w14:paraId="3E449A0F" w14:textId="77777777" w:rsidTr="007E71C8">
        <w:trPr>
          <w:jc w:val="center"/>
        </w:trPr>
        <w:tc>
          <w:tcPr>
            <w:tcW w:w="546" w:type="pct"/>
            <w:vAlign w:val="center"/>
          </w:tcPr>
          <w:p w14:paraId="2DBF5635" w14:textId="6B89551B" w:rsidR="003D0292" w:rsidRPr="00605B71" w:rsidRDefault="003D0292" w:rsidP="003D0292">
            <w:pPr>
              <w:jc w:val="center"/>
              <w:rPr>
                <w:rFonts w:ascii="Times New Roman" w:hAnsi="Times New Roman" w:cs="Times New Roman"/>
                <w:sz w:val="18"/>
                <w:szCs w:val="18"/>
              </w:rPr>
            </w:pPr>
            <w:r w:rsidRPr="00605B71">
              <w:rPr>
                <w:rFonts w:ascii="Times New Roman" w:hAnsi="Times New Roman" w:cs="Times New Roman"/>
                <w:sz w:val="18"/>
                <w:szCs w:val="18"/>
              </w:rPr>
              <w:t xml:space="preserve">PET </w:t>
            </w:r>
            <w:r w:rsidRPr="00605B71">
              <w:rPr>
                <w:rFonts w:ascii="Times New Roman" w:hAnsi="Times New Roman" w:cs="Times New Roman"/>
                <w:sz w:val="18"/>
                <w:szCs w:val="18"/>
              </w:rPr>
              <w:fldChar w:fldCharType="begin" w:fldLock="1"/>
            </w:r>
            <w:r w:rsidR="00582A1B">
              <w:rPr>
                <w:rFonts w:ascii="Times New Roman" w:hAnsi="Times New Roman" w:cs="Times New Roman"/>
                <w:sz w:val="18"/>
                <w:szCs w:val="18"/>
              </w:rPr>
              <w:instrText>ADDIN CSL_CITATION {"citationItems":[{"id":"ITEM-1","itemData":{"DOI":"10.1021/nn500692d","ISSN":"1936086X","abstract":"Transparent heaters are important for many applications and in the future are likely to be fabricated from thin, conducting, nanostructured networks. However, the electrical properties of such networks are almost always controlled by percolative effects. The impact of percolation on heating effects has not been considered, and the material parameter combinations that lead to efficient performance are not known. In fact, figures of merit for transparent heaters have not been elucidated, either in bulk-like or percolative systems. Here, we develop a simple yet comprehensive model describing the operation of transparent heaters. By considering the balance of Joule heating versus power dissipated by both convection and radiation, we derive an expression for the time-dependent heater temperature as a function of both electrical and thermal parameters. This equation can be modified to describe the relationship between temperature, optical transmittance, and electrical/thermal parameters in both bulk-like and percolative systems. By performing experiments on silver nanowire networks, systems known to display both bulk-like and percolative regimes, we show the model to describe real systems extremely well. This work shows the performance of transparent heaters in the percolative regime to be significantly less efficient compared to the bulk-like regime, implying the diameter of the nanowires making up the network to be critical. The model allows the identification of figures of merit for networks in both bulk-like and percolative regimes. We show that metallic nanowire networks are most promising, closely followed by CVD graphene, with networks of solution-processed graphene and carbon nanotubes being much less efficient. © 2014 American Chemical Society.","author":[{"dropping-particle":"","family":"Sorel","given":"Sophie","non-dropping-particle":"","parse-names":false,"suffix":""},{"dropping-particle":"","family":"Bellet","given":"Daniel","non-dropping-particle":"","parse-names":false,"suffix":""},{"dropping-particle":"","family":"Coleman","given":"Jonathan N.","non-dropping-particle":"","parse-names":false,"suffix":""}],"container-title":"ACS Nano","id":"ITEM-1","issue":"5","issued":{"date-parts":[["2014"]]},"page":"4805-4814","title":"Relationship between material properties and transparent heater performance for both bulk-like and percolative nanostructured networks","type":"article","volume":"8"},"uris":["http://www.mendeley.com/documents/?uuid=00837dfa-3e43-4f12-98d4-78f4ad62a1a4"]},{"id":"ITEM-2","itemData":{"DOI":"10.1002/smll.201401690","ISSN":"16136829","abstract":"Thermal response behavior of transparent silver nanowire/PEDOT:PSS film heaters are intensively studied for manipulating heating temperature, response time, and power consumption. Influences of substrate heat capacity, heat transfer coefficient between air and heater, sheet resistance and dimension of Ag nanowire film, on the thermal response are investigated from thermodynamic analysis. Suggestion is given for practical applications that if other parameters are fixed, Ag nanowire coverage can be utilized as an effective parameter to adjust the thermal response. The heat transfer coefficient plays opposite roles on thermal response speed and achievable steady temperature. A value of ≈32 W m-2 K-1 is obtained from transient process analysis after correcting it by considering heater resistance variation during heating tests. Guidance of designing heaters with a given response time is provided by forming Ag nanowire film with a suitable sheet resistance on substrate of appropriate material and a certain thickness. Thermal response tests of designed Ag heaters are performed to show higher heating temperature, shorter response time, and lower power consumption (179°C cm2 W-1) than ITO/FTO heaters, as well as homogeneous temperature distribution and stability for repeated use. Potential applications of the Ag heaters in window defogging, sensing and thermochromism are manifested.","author":[{"dropping-particle":"","family":"Ji","given":"Shulin","non-dropping-particle":"","parse-names":false,"suffix":""},{"dropping-particle":"","family":"He","given":"Weiwei","non-dropping-particle":"","parse-names":false,"suffix":""},{"dropping-particle":"","family":"Wang","given":"Ke","non-dropping-particle":"","parse-names":false,"suffix":""},{"dropping-particle":"","family":"Ran","given":"Yunxia","non-dropping-particle":"","parse-names":false,"suffix":""},{"dropping-particle":"","family":"Ye","given":"Changhui","non-dropping-particle":"","parse-names":false,"suffix":""}],"container-title":"Small","id":"ITEM-2","issue":"23","issued":{"date-parts":[["2014"]]},"page":"4951-4960","title":"Thermal response of transparent silver nanowire/PEDOT:PSS film heaters","type":"article-journal","volume":"10"},"uris":["http://www.mendeley.com/documents/?uuid=d5f3ad34-cabf-4395-b5a4-538dd62a6da6","http://www.mendeley.com/documents/?uuid=710408a5-6815-4809-892f-32a80249e0ea"]}],"mendeley":{"formattedCitation":"&lt;sup&gt;1,2&lt;/sup&gt;","plainTextFormattedCitation":"1,2","previouslyFormattedCitation":"&lt;sup&gt;7,8&lt;/sup&gt;"},"properties":{"noteIndex":0},"schema":"https://github.com/citation-style-language/schema/raw/master/csl-citation.json"}</w:instrText>
            </w:r>
            <w:r w:rsidRPr="00605B71">
              <w:rPr>
                <w:rFonts w:ascii="Times New Roman" w:hAnsi="Times New Roman" w:cs="Times New Roman"/>
                <w:sz w:val="18"/>
                <w:szCs w:val="18"/>
              </w:rPr>
              <w:fldChar w:fldCharType="separate"/>
            </w:r>
            <w:r w:rsidR="00582A1B" w:rsidRPr="00582A1B">
              <w:rPr>
                <w:rFonts w:ascii="Times New Roman" w:hAnsi="Times New Roman" w:cs="Times New Roman"/>
                <w:noProof/>
                <w:sz w:val="18"/>
                <w:szCs w:val="18"/>
                <w:vertAlign w:val="superscript"/>
              </w:rPr>
              <w:t>1,2</w:t>
            </w:r>
            <w:r w:rsidRPr="00605B71">
              <w:rPr>
                <w:rFonts w:ascii="Times New Roman" w:hAnsi="Times New Roman" w:cs="Times New Roman"/>
                <w:sz w:val="18"/>
                <w:szCs w:val="18"/>
              </w:rPr>
              <w:fldChar w:fldCharType="end"/>
            </w:r>
          </w:p>
        </w:tc>
        <w:tc>
          <w:tcPr>
            <w:tcW w:w="470" w:type="pct"/>
            <w:vAlign w:val="center"/>
          </w:tcPr>
          <w:p w14:paraId="205B056D" w14:textId="786F65D0" w:rsidR="003D0292" w:rsidRPr="00605B71" w:rsidRDefault="003D0292" w:rsidP="003D0292">
            <w:pPr>
              <w:jc w:val="center"/>
              <w:rPr>
                <w:rFonts w:ascii="Times New Roman" w:hAnsi="Times New Roman" w:cs="Times New Roman"/>
                <w:sz w:val="18"/>
                <w:szCs w:val="18"/>
              </w:rPr>
            </w:pPr>
            <w:r w:rsidRPr="00605B71">
              <w:rPr>
                <w:rFonts w:ascii="Times New Roman" w:hAnsi="Times New Roman" w:cs="Times New Roman"/>
                <w:sz w:val="18"/>
                <w:szCs w:val="18"/>
              </w:rPr>
              <w:t>1300</w:t>
            </w:r>
          </w:p>
        </w:tc>
        <w:tc>
          <w:tcPr>
            <w:tcW w:w="805" w:type="pct"/>
            <w:vAlign w:val="center"/>
          </w:tcPr>
          <w:p w14:paraId="5EEBE13A" w14:textId="64A1E2FB" w:rsidR="003D0292" w:rsidRPr="00605B71" w:rsidRDefault="00582A1B" w:rsidP="003D0292">
            <w:pPr>
              <w:jc w:val="center"/>
              <w:rPr>
                <w:rFonts w:ascii="Times New Roman" w:hAnsi="Times New Roman" w:cs="Times New Roman"/>
                <w:sz w:val="18"/>
                <w:szCs w:val="18"/>
              </w:rPr>
            </w:pPr>
            <m:oMathPara>
              <m:oMath>
                <m:sSup>
                  <m:sSupPr>
                    <m:ctrlPr>
                      <w:rPr>
                        <w:rFonts w:ascii="Cambria Math" w:hAnsi="Cambria Math" w:cs="Times New Roman"/>
                        <w:sz w:val="18"/>
                        <w:szCs w:val="18"/>
                      </w:rPr>
                    </m:ctrlPr>
                  </m:sSupPr>
                  <m:e>
                    <m:r>
                      <m:rPr>
                        <m:sty m:val="p"/>
                      </m:rPr>
                      <w:rPr>
                        <w:rFonts w:ascii="Cambria Math" w:hAnsi="Cambria Math" w:cs="Times New Roman"/>
                        <w:sz w:val="18"/>
                        <w:szCs w:val="18"/>
                      </w:rPr>
                      <m:t>10</m:t>
                    </m:r>
                  </m:e>
                  <m:sup>
                    <m:r>
                      <m:rPr>
                        <m:sty m:val="p"/>
                      </m:rPr>
                      <w:rPr>
                        <w:rFonts w:ascii="Cambria Math" w:hAnsi="Cambria Math" w:cs="Times New Roman"/>
                        <w:sz w:val="18"/>
                        <w:szCs w:val="18"/>
                      </w:rPr>
                      <m:t>-</m:t>
                    </m:r>
                    <m:r>
                      <m:rPr>
                        <m:sty m:val="p"/>
                      </m:rPr>
                      <w:rPr>
                        <w:rFonts w:ascii="Cambria Math" w:hAnsi="Cambria Math" w:cs="Times New Roman"/>
                        <w:sz w:val="18"/>
                        <w:szCs w:val="18"/>
                      </w:rPr>
                      <m:t>16</m:t>
                    </m:r>
                  </m:sup>
                </m:sSup>
              </m:oMath>
            </m:oMathPara>
          </w:p>
        </w:tc>
        <w:tc>
          <w:tcPr>
            <w:tcW w:w="616" w:type="pct"/>
            <w:vAlign w:val="center"/>
          </w:tcPr>
          <w:p w14:paraId="1A2C603A" w14:textId="318DB24B" w:rsidR="003D0292" w:rsidRPr="00605B71" w:rsidRDefault="003D0292" w:rsidP="003D0292">
            <w:pPr>
              <w:jc w:val="center"/>
              <w:rPr>
                <w:rFonts w:ascii="Times New Roman" w:hAnsi="Times New Roman" w:cs="Times New Roman"/>
                <w:sz w:val="18"/>
                <w:szCs w:val="18"/>
              </w:rPr>
            </w:pPr>
            <w:r w:rsidRPr="00605B71">
              <w:rPr>
                <w:rFonts w:ascii="Times New Roman" w:hAnsi="Times New Roman" w:cs="Times New Roman"/>
                <w:sz w:val="18"/>
                <w:szCs w:val="18"/>
              </w:rPr>
              <w:t>0.2</w:t>
            </w:r>
          </w:p>
        </w:tc>
        <w:tc>
          <w:tcPr>
            <w:tcW w:w="941" w:type="pct"/>
            <w:vAlign w:val="center"/>
          </w:tcPr>
          <w:p w14:paraId="33744D50" w14:textId="23FDAB6F" w:rsidR="003D0292" w:rsidRPr="00605B71" w:rsidRDefault="003D0292" w:rsidP="003D0292">
            <w:pPr>
              <w:jc w:val="center"/>
              <w:rPr>
                <w:rFonts w:ascii="Times New Roman" w:hAnsi="Times New Roman" w:cs="Times New Roman"/>
                <w:sz w:val="18"/>
                <w:szCs w:val="18"/>
              </w:rPr>
            </w:pPr>
            <w:r w:rsidRPr="00605B71">
              <w:rPr>
                <w:rFonts w:ascii="Times New Roman" w:hAnsi="Times New Roman" w:cs="Times New Roman"/>
                <w:sz w:val="18"/>
                <w:szCs w:val="18"/>
              </w:rPr>
              <w:t>3</w:t>
            </w:r>
          </w:p>
        </w:tc>
        <w:tc>
          <w:tcPr>
            <w:tcW w:w="1101" w:type="pct"/>
            <w:vAlign w:val="center"/>
          </w:tcPr>
          <w:p w14:paraId="0FC6D167" w14:textId="55A6800A" w:rsidR="003D0292" w:rsidRPr="00605B71" w:rsidRDefault="003D0292" w:rsidP="003D0292">
            <w:pPr>
              <w:jc w:val="center"/>
              <w:rPr>
                <w:rFonts w:ascii="Times New Roman" w:hAnsi="Times New Roman" w:cs="Times New Roman"/>
                <w:sz w:val="18"/>
                <w:szCs w:val="18"/>
              </w:rPr>
            </w:pPr>
            <w:r w:rsidRPr="00605B71">
              <w:rPr>
                <w:rFonts w:ascii="Times New Roman" w:hAnsi="Times New Roman" w:cs="Times New Roman"/>
                <w:sz w:val="18"/>
                <w:szCs w:val="18"/>
              </w:rPr>
              <w:t>1200</w:t>
            </w:r>
          </w:p>
        </w:tc>
        <w:tc>
          <w:tcPr>
            <w:tcW w:w="521" w:type="pct"/>
            <w:vAlign w:val="center"/>
          </w:tcPr>
          <w:p w14:paraId="595C2001" w14:textId="6F8ADABE" w:rsidR="003D0292" w:rsidRPr="00605B71" w:rsidRDefault="003D0292" w:rsidP="003D0292">
            <w:pPr>
              <w:jc w:val="center"/>
              <w:rPr>
                <w:rFonts w:ascii="Times New Roman" w:hAnsi="Times New Roman" w:cs="Times New Roman"/>
                <w:sz w:val="18"/>
                <w:szCs w:val="18"/>
              </w:rPr>
            </w:pPr>
            <w:r w:rsidRPr="00605B71">
              <w:rPr>
                <w:rFonts w:ascii="Times New Roman" w:hAnsi="Times New Roman" w:cs="Times New Roman"/>
                <w:sz w:val="18"/>
                <w:szCs w:val="18"/>
              </w:rPr>
              <w:t>0.43</w:t>
            </w:r>
          </w:p>
        </w:tc>
      </w:tr>
      <w:tr w:rsidR="00605B71" w:rsidRPr="00605B71" w14:paraId="75020A1F" w14:textId="77777777" w:rsidTr="007E71C8">
        <w:trPr>
          <w:jc w:val="center"/>
        </w:trPr>
        <w:tc>
          <w:tcPr>
            <w:tcW w:w="546" w:type="pct"/>
            <w:vAlign w:val="center"/>
          </w:tcPr>
          <w:p w14:paraId="336F55A9" w14:textId="0E51CB46" w:rsidR="00605B71" w:rsidRPr="00605B71" w:rsidRDefault="00605B71" w:rsidP="00605B71">
            <w:pPr>
              <w:jc w:val="center"/>
              <w:rPr>
                <w:rFonts w:ascii="Times New Roman" w:hAnsi="Times New Roman" w:cs="Times New Roman"/>
                <w:sz w:val="18"/>
                <w:szCs w:val="18"/>
              </w:rPr>
            </w:pPr>
            <w:r w:rsidRPr="00605B71">
              <w:rPr>
                <w:rFonts w:ascii="Times New Roman" w:hAnsi="Times New Roman" w:cs="Times New Roman"/>
                <w:sz w:val="18"/>
                <w:szCs w:val="18"/>
              </w:rPr>
              <w:t>Silver</w:t>
            </w:r>
            <w:r w:rsidRPr="00605B71">
              <w:rPr>
                <w:rFonts w:ascii="Times New Roman" w:hAnsi="Times New Roman" w:cs="Times New Roman"/>
                <w:sz w:val="18"/>
                <w:szCs w:val="18"/>
              </w:rPr>
              <w:fldChar w:fldCharType="begin" w:fldLock="1"/>
            </w:r>
            <w:r w:rsidR="00582A1B">
              <w:rPr>
                <w:rFonts w:ascii="Times New Roman" w:hAnsi="Times New Roman" w:cs="Times New Roman"/>
                <w:sz w:val="18"/>
                <w:szCs w:val="18"/>
              </w:rPr>
              <w:instrText xml:space="preserve">ADDIN CSL_CITATION {"citationItems":[{"id":"ITEM-1","itemData":{"author":[{"dropping-particle":"","family":"Matula","given":"R A","non-dropping-particle":"","parse-names":false,"suffix":""}],"container-title":"Journal of Physical Chemistry","id":"ITEM-1","issue":"4","issued":{"date-parts":[["1979"]]},"page":"1147-1298","title":"Electrical Resistivity of Copper, Gold, Palladium and Silver","type":"article-journal","volume":"8"},"uris":["http://www.mendeley.com/documents/?uuid=3c21249e-34ba-48f7-87f8-4a1df6605b4e","http://www.mendeley.com/documents/?uuid=52940c36-e6c0-484a-bb7d-23f618441bc8"]},{"id":"ITEM-2","itemData":{"DOI":"10.1038/srep10718","ISSN":"20452322","abstract":"In this work, the thermal and electrical transport in an individual silver nanowire is characterized down to 35 K for in-depth understanding of the strong structural defect induced electron scattering. The results indicate that, at room temperature, the electrical resistivity increases by around 4 folds from that of bulk silver. The Debye temperature (151 K) of the silver nanowire is found 36% lower than that (235 K) of bulk silver, confirming strong phonon softening. At room temperature, the thermal conductivity is reduced by 55% from that of bulk silver. This reduction becomes larger as the temperature goes down. To explain the opposite trends of thermal conductivity (κ) </w:instrText>
            </w:r>
            <w:r w:rsidR="00582A1B">
              <w:rPr>
                <w:rFonts w:ascii="Cambria Math" w:hAnsi="Cambria Math" w:cs="Cambria Math"/>
                <w:sz w:val="18"/>
                <w:szCs w:val="18"/>
              </w:rPr>
              <w:instrText>∼</w:instrText>
            </w:r>
            <w:r w:rsidR="00582A1B">
              <w:rPr>
                <w:rFonts w:ascii="Times New Roman" w:hAnsi="Times New Roman" w:cs="Times New Roman"/>
                <w:sz w:val="18"/>
                <w:szCs w:val="18"/>
              </w:rPr>
              <w:instrText xml:space="preserve"> temperature (T) of silver nanowire and bulk silver, a unified thermal resistivity (Θ = T/κ) is used to elucidate the electron scattering mechanism. A large residual Θ is observed for silver nanowire while that of the bulk silver is almost zero. The same Θ</w:instrText>
            </w:r>
            <w:r w:rsidR="00582A1B">
              <w:rPr>
                <w:rFonts w:ascii="Cambria Math" w:hAnsi="Cambria Math" w:cs="Cambria Math"/>
                <w:sz w:val="18"/>
                <w:szCs w:val="18"/>
              </w:rPr>
              <w:instrText>∼</w:instrText>
            </w:r>
            <w:r w:rsidR="00582A1B">
              <w:rPr>
                <w:rFonts w:ascii="Times New Roman" w:hAnsi="Times New Roman" w:cs="Times New Roman"/>
                <w:sz w:val="18"/>
                <w:szCs w:val="18"/>
              </w:rPr>
              <w:instrText>T trend proposes that the silver nanowire and bulk silver share the similar phonon-electron scattering mechanism for thermal transport. Due to phonon-assisted electron energy transfer across grain boundaries, the Lorenz number of the silver nanowire is found much larger than that of bulk silver and decreases with decreasing temperature.","author":[{"dropping-particle":"","family":"Cheng","given":"Zhe","non-dropping-particle":"","parse-names":false,"suffix":""},{"dropping-particle":"","family":"Liu","given":"Longju","non-dropping-particle":"","parse-names":false,"suffix":""},{"dropping-particle":"","family":"Xu","given":"Shen","non-dropping-particle":"","parse-names":false,"suffix":""},{"dropping-particle":"","family":"Lu","given":"Meng","non-dropping-particle":"","parse-names":false,"suffix":""},{"dropping-particle":"","family":"Wang","given":"Xinwei","non-dropping-particle":"","parse-names":false,"suffix":""}],"container-title":"Scientific Reports","id":"ITEM-2","issue":"June","issued":{"date-parts":[["2015"]]},"publisher":"Nature Publishing Group","title":"Temperature dependence of electrical and thermal conduction in single silver nanowire","type":"article-journal","volume":"5"},"uris":["http://www.mendeley.com/documents/?uuid=28a4d3d2-3b1f-4599-9f8b-d85f35876cac","http://www.mendeley.com/documents/?uuid=f8a6af97-87cf-478d-b75c-c71ee03e1bb9"]},{"id":"ITEM-3","itemData":{"DOI":"10.7312/schw92626-006","ISSN":"0047-1607","author":[{"dropping-particle":"","family":"Furukawa","given":"George","non-dropping-particle":"","parse-names":false,"suffix":""},{"dropping-particle":"","family":"Saba","given":"William","non-dropping-particle":"","parse-names":false,"suffix":""},{"dropping-particle":"","family":"Reilly","given":"Martin","non-dropping-particle":"","parse-names":false,"suffix":""}],"id":"ITEM-3","issued":{"date-parts":[["1968"]]},"title":"Critical Analysis of the Heat-Capacity Data of the Literature and Evaluation of Thermodynamic Properties of Copper, Silver, and Gold from 0 to 300K","type":"article"},"uris":["http://www.mendeley.com/documents/?uuid=faf8e5de-865e-48e7-a370-05dcdc905fb3","http://www.mendeley.com/documents/?uuid=397eef6a-77fb-438d-8cfc-e5a84ff77120"]},{"id":"ITEM-4","itemData":{"author":[{"dropping-particle":"","family":"Goodfellow","given":"","non-dropping-particle":"","parse-names":false,"suffix":""}],"id":"ITEM-4","issued":{"date-parts":[["2022"]]},"title":"Material Properties","type":"webpage"},"uris":["http://www.mendeley.com/documents/?uuid=1aae274f-5d03-4fe3-8731-7c583e7742ed","http://www.mendeley.com/documents/?uuid=3c65d35a-e9db-44db-a6ba-307d2e1ff44d"]}],"mendeley":{"formattedCitation":"&lt;sup&gt;3–6&lt;/sup&gt;","plainTextFormattedCitation":"3–6","previouslyFormattedCitation":"&lt;sup&gt;30–33&lt;/sup&gt;"},"properties":{"noteIndex":0},"schema":"https://github.com/citation-style-language/schema/raw/master/csl-citation.json"}</w:instrText>
            </w:r>
            <w:r w:rsidRPr="00605B71">
              <w:rPr>
                <w:rFonts w:ascii="Times New Roman" w:hAnsi="Times New Roman" w:cs="Times New Roman"/>
                <w:sz w:val="18"/>
                <w:szCs w:val="18"/>
              </w:rPr>
              <w:fldChar w:fldCharType="separate"/>
            </w:r>
            <w:r w:rsidR="00582A1B" w:rsidRPr="00582A1B">
              <w:rPr>
                <w:rFonts w:ascii="Times New Roman" w:hAnsi="Times New Roman" w:cs="Times New Roman"/>
                <w:noProof/>
                <w:sz w:val="18"/>
                <w:szCs w:val="18"/>
                <w:vertAlign w:val="superscript"/>
              </w:rPr>
              <w:t>3–6</w:t>
            </w:r>
            <w:r w:rsidRPr="00605B71">
              <w:rPr>
                <w:rFonts w:ascii="Times New Roman" w:hAnsi="Times New Roman" w:cs="Times New Roman"/>
                <w:sz w:val="18"/>
                <w:szCs w:val="18"/>
              </w:rPr>
              <w:fldChar w:fldCharType="end"/>
            </w:r>
          </w:p>
        </w:tc>
        <w:tc>
          <w:tcPr>
            <w:tcW w:w="470" w:type="pct"/>
            <w:vAlign w:val="center"/>
          </w:tcPr>
          <w:p w14:paraId="5135FDC0" w14:textId="63A29EFF" w:rsidR="00605B71" w:rsidRPr="00605B71" w:rsidRDefault="00605B71" w:rsidP="00605B71">
            <w:pPr>
              <w:jc w:val="center"/>
              <w:rPr>
                <w:rFonts w:ascii="Times New Roman" w:hAnsi="Times New Roman" w:cs="Times New Roman"/>
                <w:sz w:val="18"/>
                <w:szCs w:val="18"/>
              </w:rPr>
            </w:pPr>
            <w:r w:rsidRPr="00605B71">
              <w:rPr>
                <w:rFonts w:ascii="Times New Roman" w:hAnsi="Times New Roman" w:cs="Times New Roman"/>
                <w:sz w:val="18"/>
                <w:szCs w:val="18"/>
              </w:rPr>
              <w:t>10500</w:t>
            </w:r>
          </w:p>
        </w:tc>
        <w:tc>
          <w:tcPr>
            <w:tcW w:w="805" w:type="pct"/>
            <w:vAlign w:val="center"/>
          </w:tcPr>
          <w:p w14:paraId="1F5481EC" w14:textId="6FB5307C" w:rsidR="00605B71" w:rsidRPr="00605B71" w:rsidRDefault="00582A1B" w:rsidP="00605B71">
            <w:pPr>
              <w:jc w:val="center"/>
              <w:rPr>
                <w:rFonts w:ascii="Times New Roman" w:hAnsi="Times New Roman" w:cs="Times New Roman"/>
                <w:sz w:val="18"/>
                <w:szCs w:val="18"/>
              </w:rPr>
            </w:pPr>
            <m:oMath>
              <m:f>
                <m:fPr>
                  <m:ctrlPr>
                    <w:rPr>
                      <w:rFonts w:ascii="Cambria Math" w:hAnsi="Cambria Math" w:cs="Times New Roman"/>
                      <w:sz w:val="18"/>
                      <w:szCs w:val="18"/>
                    </w:rPr>
                  </m:ctrlPr>
                </m:fPr>
                <m:num>
                  <m:r>
                    <m:rPr>
                      <m:sty m:val="p"/>
                    </m:rPr>
                    <w:rPr>
                      <w:rFonts w:ascii="Cambria Math" w:hAnsi="Cambria Math" w:cs="Times New Roman"/>
                      <w:sz w:val="18"/>
                      <w:szCs w:val="18"/>
                    </w:rPr>
                    <m:t>61.4×</m:t>
                  </m:r>
                  <m:sSup>
                    <m:sSupPr>
                      <m:ctrlPr>
                        <w:rPr>
                          <w:rFonts w:ascii="Cambria Math" w:hAnsi="Cambria Math" w:cs="Times New Roman"/>
                          <w:sz w:val="18"/>
                          <w:szCs w:val="18"/>
                        </w:rPr>
                      </m:ctrlPr>
                    </m:sSupPr>
                    <m:e>
                      <m:r>
                        <m:rPr>
                          <m:sty m:val="p"/>
                        </m:rPr>
                        <w:rPr>
                          <w:rFonts w:ascii="Cambria Math" w:hAnsi="Cambria Math" w:cs="Times New Roman"/>
                          <w:sz w:val="18"/>
                          <w:szCs w:val="18"/>
                        </w:rPr>
                        <m:t>10</m:t>
                      </m:r>
                    </m:e>
                    <m:sup>
                      <m:r>
                        <m:rPr>
                          <m:sty m:val="p"/>
                        </m:rPr>
                        <w:rPr>
                          <w:rFonts w:ascii="Cambria Math" w:hAnsi="Cambria Math" w:cs="Times New Roman"/>
                          <w:sz w:val="18"/>
                          <w:szCs w:val="18"/>
                        </w:rPr>
                        <m:t>6</m:t>
                      </m:r>
                    </m:sup>
                  </m:sSup>
                </m:num>
                <m:den>
                  <m:r>
                    <m:rPr>
                      <m:sty m:val="p"/>
                    </m:rPr>
                    <w:rPr>
                      <w:rFonts w:ascii="Cambria Math" w:hAnsi="Cambria Math" w:cs="Times New Roman"/>
                      <w:sz w:val="18"/>
                      <w:szCs w:val="18"/>
                    </w:rPr>
                    <m:t>1+0.0041×</m:t>
                  </m:r>
                  <m:d>
                    <m:dPr>
                      <m:ctrlPr>
                        <w:rPr>
                          <w:rFonts w:ascii="Cambria Math" w:hAnsi="Cambria Math" w:cs="Times New Roman"/>
                          <w:sz w:val="18"/>
                          <w:szCs w:val="18"/>
                        </w:rPr>
                      </m:ctrlPr>
                    </m:dPr>
                    <m:e>
                      <m:r>
                        <w:rPr>
                          <w:rFonts w:ascii="Cambria Math" w:hAnsi="Cambria Math" w:cs="Times New Roman"/>
                          <w:sz w:val="18"/>
                          <w:szCs w:val="18"/>
                        </w:rPr>
                        <m:t>T</m:t>
                      </m:r>
                      <m:r>
                        <m:rPr>
                          <m:sty m:val="p"/>
                        </m:rPr>
                        <w:rPr>
                          <w:rFonts w:ascii="Cambria Math" w:hAnsi="Cambria Math" w:cs="Times New Roman"/>
                          <w:sz w:val="18"/>
                          <w:szCs w:val="18"/>
                        </w:rPr>
                        <m:t>-20</m:t>
                      </m:r>
                    </m:e>
                  </m:d>
                </m:den>
              </m:f>
            </m:oMath>
            <w:r w:rsidR="00605B71" w:rsidRPr="00605B71">
              <w:rPr>
                <w:rFonts w:ascii="Times New Roman" w:hAnsi="Times New Roman" w:cs="Times New Roman"/>
                <w:sz w:val="18"/>
                <w:szCs w:val="18"/>
              </w:rPr>
              <w:t>*</w:t>
            </w:r>
          </w:p>
        </w:tc>
        <w:tc>
          <w:tcPr>
            <w:tcW w:w="616" w:type="pct"/>
            <w:vAlign w:val="center"/>
          </w:tcPr>
          <w:p w14:paraId="0809060B" w14:textId="7A3BA8C6" w:rsidR="00605B71" w:rsidRPr="00605B71" w:rsidRDefault="00605B71" w:rsidP="00605B71">
            <w:pPr>
              <w:jc w:val="center"/>
              <w:rPr>
                <w:rFonts w:ascii="Times New Roman" w:hAnsi="Times New Roman" w:cs="Times New Roman"/>
                <w:sz w:val="18"/>
                <w:szCs w:val="18"/>
              </w:rPr>
            </w:pPr>
            <w:r w:rsidRPr="00605B71">
              <w:rPr>
                <w:rFonts w:ascii="Times New Roman" w:hAnsi="Times New Roman" w:cs="Times New Roman"/>
                <w:sz w:val="18"/>
                <w:szCs w:val="18"/>
              </w:rPr>
              <w:t>429</w:t>
            </w:r>
          </w:p>
        </w:tc>
        <w:tc>
          <w:tcPr>
            <w:tcW w:w="941" w:type="pct"/>
            <w:vAlign w:val="center"/>
          </w:tcPr>
          <w:p w14:paraId="5D397629" w14:textId="2852EC9F" w:rsidR="00605B71" w:rsidRPr="00605B71" w:rsidRDefault="00605B71" w:rsidP="00605B71">
            <w:pPr>
              <w:jc w:val="center"/>
              <w:rPr>
                <w:rFonts w:ascii="Times New Roman" w:hAnsi="Times New Roman" w:cs="Times New Roman"/>
                <w:sz w:val="18"/>
                <w:szCs w:val="18"/>
              </w:rPr>
            </w:pPr>
            <w:r w:rsidRPr="00605B71">
              <w:rPr>
                <w:rFonts w:ascii="Times New Roman" w:hAnsi="Times New Roman" w:cs="Times New Roman"/>
                <w:sz w:val="18"/>
                <w:szCs w:val="18"/>
              </w:rPr>
              <w:t>82.7</w:t>
            </w:r>
          </w:p>
        </w:tc>
        <w:tc>
          <w:tcPr>
            <w:tcW w:w="1101" w:type="pct"/>
            <w:vAlign w:val="center"/>
          </w:tcPr>
          <w:p w14:paraId="0076FC82" w14:textId="5BBBCA4D" w:rsidR="00605B71" w:rsidRPr="00605B71" w:rsidRDefault="00605B71" w:rsidP="00605B71">
            <w:pPr>
              <w:jc w:val="center"/>
              <w:rPr>
                <w:rFonts w:ascii="Times New Roman" w:hAnsi="Times New Roman" w:cs="Times New Roman"/>
                <w:sz w:val="18"/>
                <w:szCs w:val="18"/>
              </w:rPr>
            </w:pPr>
            <m:oMath>
              <m:r>
                <m:rPr>
                  <m:sty m:val="p"/>
                </m:rPr>
                <w:rPr>
                  <w:rFonts w:ascii="Cambria Math" w:hAnsi="Cambria Math" w:cs="Times New Roman"/>
                  <w:sz w:val="18"/>
                  <w:szCs w:val="18"/>
                </w:rPr>
                <m:t>235.3+0.0863×</m:t>
              </m:r>
              <m:r>
                <w:rPr>
                  <w:rFonts w:ascii="Cambria Math" w:hAnsi="Cambria Math" w:cs="Times New Roman"/>
                  <w:sz w:val="18"/>
                  <w:szCs w:val="18"/>
                </w:rPr>
                <m:t>T</m:t>
              </m:r>
            </m:oMath>
            <w:r w:rsidRPr="00605B71">
              <w:rPr>
                <w:rFonts w:ascii="Times New Roman" w:hAnsi="Times New Roman" w:cs="Times New Roman"/>
                <w:sz w:val="18"/>
                <w:szCs w:val="18"/>
              </w:rPr>
              <w:t xml:space="preserve"> **</w:t>
            </w:r>
          </w:p>
        </w:tc>
        <w:tc>
          <w:tcPr>
            <w:tcW w:w="521" w:type="pct"/>
            <w:vAlign w:val="center"/>
          </w:tcPr>
          <w:p w14:paraId="6FC1B322" w14:textId="7410D9ED" w:rsidR="00605B71" w:rsidRPr="00605B71" w:rsidRDefault="00605B71" w:rsidP="00605B71">
            <w:pPr>
              <w:ind w:right="-12"/>
              <w:jc w:val="center"/>
              <w:rPr>
                <w:rFonts w:ascii="Times New Roman" w:hAnsi="Times New Roman" w:cs="Times New Roman"/>
                <w:sz w:val="18"/>
                <w:szCs w:val="18"/>
              </w:rPr>
            </w:pPr>
            <w:r w:rsidRPr="00605B71">
              <w:rPr>
                <w:rFonts w:ascii="Times New Roman" w:hAnsi="Times New Roman" w:cs="Times New Roman"/>
                <w:sz w:val="18"/>
                <w:szCs w:val="18"/>
              </w:rPr>
              <w:t>0.37</w:t>
            </w:r>
          </w:p>
        </w:tc>
      </w:tr>
      <w:tr w:rsidR="00B75741" w:rsidRPr="00605B71" w14:paraId="3EFDCA26" w14:textId="77777777" w:rsidTr="007E71C8">
        <w:trPr>
          <w:jc w:val="center"/>
        </w:trPr>
        <w:tc>
          <w:tcPr>
            <w:tcW w:w="546" w:type="pct"/>
            <w:vAlign w:val="center"/>
          </w:tcPr>
          <w:p w14:paraId="323E6CA2" w14:textId="1CB1191C" w:rsidR="00A83058" w:rsidRPr="00605B71" w:rsidRDefault="00A83058" w:rsidP="008117BF">
            <w:pPr>
              <w:jc w:val="center"/>
              <w:rPr>
                <w:rFonts w:ascii="Times New Roman" w:hAnsi="Times New Roman" w:cs="Times New Roman"/>
                <w:sz w:val="18"/>
                <w:szCs w:val="18"/>
              </w:rPr>
            </w:pPr>
            <w:r w:rsidRPr="00605B71">
              <w:rPr>
                <w:rFonts w:ascii="Times New Roman" w:hAnsi="Times New Roman" w:cs="Times New Roman"/>
                <w:sz w:val="18"/>
                <w:szCs w:val="18"/>
              </w:rPr>
              <w:t>Brass</w:t>
            </w:r>
            <w:r w:rsidRPr="00605B71">
              <w:rPr>
                <w:rFonts w:ascii="Times New Roman" w:hAnsi="Times New Roman" w:cs="Times New Roman"/>
                <w:sz w:val="18"/>
                <w:szCs w:val="18"/>
              </w:rPr>
              <w:fldChar w:fldCharType="begin" w:fldLock="1"/>
            </w:r>
            <w:r w:rsidR="00582A1B">
              <w:rPr>
                <w:rFonts w:ascii="Times New Roman" w:hAnsi="Times New Roman" w:cs="Times New Roman"/>
                <w:sz w:val="18"/>
                <w:szCs w:val="18"/>
              </w:rPr>
              <w:instrText>ADDIN CSL_CITATION {"citationItems":[{"id":"ITEM-1","itemData":{"DOI":"10.1088/0957-0233/16/11/009","ISSN":"09570233","abstract":"Electrical conductivity of metal plates is measured by two distinct methods and the uncertainty associated with each method is evaluated. First, the impedance of an air-cored eddy-current coil is measured in the frequency range 100 Hz to 20 kHz. Corrections are made to account for the fact that the coil is not a pure inductor but exhibits finite resistance and capacitance in and between the windings. Then, the conductivity of brass and stainless steel plates is determined with 3 and 2% uncertainty (68% confidence level) by seeking the best fit (least-mean-square error) between experimental measurements of coil impedance and values calculated theoretically. The residual error in the fitting process is found to be the main indicator of uncertainty in the conductivity measurement. Second, four-point alternating current potential drop measurements are made on the same samples in the frequency range 1-100 Hz. Conductivity is determined from these measurements by means of a simple analytic formula, valid in a quasi-static regime, with an uncertainty approximately 0.5%. The main source of uncertainty in the four-point conductivity measurement is scatter in the voltage measurements. Both of these techniques give rise to smaller uncertainties in the measurement of conductivity than a MIZ-21A eddy-current instrument (2% and 40% for brass and stainless steel, respectively) and without the need for calibration specimens. In addition, the four-point approach is independent of magnetic permeability below a certain characteristic frequency and can be used to measure conductivity of ferrous metals. As an example, the conductivity of a spring steel plate is also determined. © 2005 IOP Publishing Ltd.","author":[{"dropping-particle":"","family":"Bowler","given":"Nicola","non-dropping-particle":"","parse-names":false,"suffix":""},{"dropping-particle":"","family":"Huang","given":"Yongqiang","non-dropping-particle":"","parse-names":false,"suffix":""}],"container-title":"Measurement Science and Technology","id":"ITEM-1","issue":"11","issued":{"date-parts":[["2005"]]},"page":"2193-2200","title":"Electrical conductivity measurement of metal plates using broadband eddy-current and four-point methods","type":"article-journal","volume":"16"},"uris":["http://www.mendeley.com/documents/?uuid=089dc3e1-1c56-4305-b9d7-3b9676a50590","http://www.mendeley.com/documents/?uuid=6e5b45d1-b1b6-43bc-b9ad-325373f54002"]},{"id":"ITEM-2","itemData":{"DOI":"10.1080/02670836.2019.1630089","ISSN":"17432847","abstract":"Lead-free alloys have attracted great attentions recently due to the toxic nature of lead for the human body. In this study, low amounts of Mg and Sb were added to the Cu65–Zn35 brass and microstructure, mechanical properties and machinability of samples were compared to Cu65–Zn35 brass. Both Mg and Sb led to the promotion of β′ phase as well as the formation of new ternary copper rich intermetallic particles. It was found that these particles had a significant role in the reduction of the ultimate tensile strength, toughness, work hardening and elongation while increasing the hardness of samples. Results of machinability evaluation of samples showed that the cutting forces were decreased significantly and morphology of chips were improved compared to Cu65–Zn35 brass sample.","author":[{"dropping-particle":"","family":"Adineh","given":"Morteza","non-dropping-particle":"","parse-names":false,"suffix":""},{"dropping-particle":"","family":"Doostmohammadi","given":"Hamid","non-dropping-particle":"","parse-names":false,"suffix":""}],"container-title":"Materials Science and Technology (United Kingdom)","id":"ITEM-2","issue":"12","issued":{"date-parts":[["2019"]]},"page":"1504-1514","title":"Microstructure, mechanical properties and machinability of Cu–Zn–Mg and Cu–Zn–Sb brass alloys","type":"article-journal","volume":"35"},"uris":["http://www.mendeley.com/documents/?uuid=4053a92e-9578-45e6-96c4-bfac4e796d3d","http://www.mendeley.com/documents/?uuid=22c4063e-02dd-46e9-a62d-15fcd779843a"]},{"id":"ITEM-3","itemData":{"author":[{"dropping-particle":"","family":"Goodfellow","given":"","non-dropping-particle":"","parse-names":false,"suffix":""}],"id":"ITEM-3","issued":{"date-parts":[["2022"]]},"title":"Material Properties","type":"webpage"},"uris":["http://www.mendeley.com/documents/?uuid=3c65d35a-e9db-44db-a6ba-307d2e1ff44d","http://www.mendeley.com/documents/?uuid=1aae274f-5d03-4fe3-8731-7c583e7742ed"]}],"mendeley":{"formattedCitation":"&lt;sup&gt;6–8&lt;/sup&gt;","plainTextFormattedCitation":"6–8","previouslyFormattedCitation":"&lt;sup&gt;5–7&lt;/sup&gt;"},"properties":{"noteIndex":0},"schema":"https://github.com/citation-style-language/schema/raw/master/csl-citation.json"}</w:instrText>
            </w:r>
            <w:r w:rsidRPr="00605B71">
              <w:rPr>
                <w:rFonts w:ascii="Times New Roman" w:hAnsi="Times New Roman" w:cs="Times New Roman"/>
                <w:sz w:val="18"/>
                <w:szCs w:val="18"/>
              </w:rPr>
              <w:fldChar w:fldCharType="separate"/>
            </w:r>
            <w:r w:rsidR="00582A1B" w:rsidRPr="00582A1B">
              <w:rPr>
                <w:rFonts w:ascii="Times New Roman" w:hAnsi="Times New Roman" w:cs="Times New Roman"/>
                <w:noProof/>
                <w:sz w:val="18"/>
                <w:szCs w:val="18"/>
                <w:vertAlign w:val="superscript"/>
              </w:rPr>
              <w:t>6–8</w:t>
            </w:r>
            <w:r w:rsidRPr="00605B71">
              <w:rPr>
                <w:rFonts w:ascii="Times New Roman" w:hAnsi="Times New Roman" w:cs="Times New Roman"/>
                <w:sz w:val="18"/>
                <w:szCs w:val="18"/>
              </w:rPr>
              <w:fldChar w:fldCharType="end"/>
            </w:r>
          </w:p>
        </w:tc>
        <w:tc>
          <w:tcPr>
            <w:tcW w:w="470" w:type="pct"/>
            <w:vAlign w:val="center"/>
          </w:tcPr>
          <w:p w14:paraId="1FDA49D0" w14:textId="77777777" w:rsidR="00A83058" w:rsidRPr="00605B71" w:rsidRDefault="00A83058" w:rsidP="008117BF">
            <w:pPr>
              <w:jc w:val="center"/>
              <w:rPr>
                <w:rFonts w:ascii="Times New Roman" w:hAnsi="Times New Roman" w:cs="Times New Roman"/>
                <w:sz w:val="18"/>
                <w:szCs w:val="18"/>
              </w:rPr>
            </w:pPr>
            <w:r w:rsidRPr="00605B71">
              <w:rPr>
                <w:rFonts w:ascii="Times New Roman" w:hAnsi="Times New Roman" w:cs="Times New Roman"/>
                <w:sz w:val="18"/>
                <w:szCs w:val="18"/>
              </w:rPr>
              <w:t>8450</w:t>
            </w:r>
          </w:p>
        </w:tc>
        <w:tc>
          <w:tcPr>
            <w:tcW w:w="805" w:type="pct"/>
            <w:vAlign w:val="center"/>
          </w:tcPr>
          <w:p w14:paraId="144E6491" w14:textId="77777777" w:rsidR="00A83058" w:rsidRPr="00605B71" w:rsidRDefault="00A83058" w:rsidP="008117BF">
            <w:pPr>
              <w:jc w:val="center"/>
              <w:rPr>
                <w:rFonts w:ascii="Times New Roman" w:hAnsi="Times New Roman" w:cs="Times New Roman"/>
                <w:sz w:val="18"/>
                <w:szCs w:val="18"/>
              </w:rPr>
            </w:pPr>
            <w:r w:rsidRPr="00605B71">
              <w:rPr>
                <w:rFonts w:ascii="Times New Roman" w:hAnsi="Times New Roman" w:cs="Times New Roman"/>
                <w:sz w:val="18"/>
                <w:szCs w:val="18"/>
              </w:rPr>
              <w:t>15.9×10</w:t>
            </w:r>
            <w:r w:rsidRPr="00605B71">
              <w:rPr>
                <w:rFonts w:ascii="Times New Roman" w:hAnsi="Times New Roman" w:cs="Times New Roman"/>
                <w:sz w:val="18"/>
                <w:szCs w:val="18"/>
                <w:vertAlign w:val="superscript"/>
              </w:rPr>
              <w:t>6</w:t>
            </w:r>
          </w:p>
        </w:tc>
        <w:tc>
          <w:tcPr>
            <w:tcW w:w="616" w:type="pct"/>
            <w:vAlign w:val="center"/>
          </w:tcPr>
          <w:p w14:paraId="1E74C467" w14:textId="77777777" w:rsidR="00A83058" w:rsidRPr="00605B71" w:rsidRDefault="00A83058" w:rsidP="008117BF">
            <w:pPr>
              <w:jc w:val="center"/>
              <w:rPr>
                <w:rFonts w:ascii="Times New Roman" w:hAnsi="Times New Roman" w:cs="Times New Roman"/>
                <w:sz w:val="18"/>
                <w:szCs w:val="18"/>
              </w:rPr>
            </w:pPr>
            <w:r w:rsidRPr="00605B71">
              <w:rPr>
                <w:rFonts w:ascii="Times New Roman" w:hAnsi="Times New Roman" w:cs="Times New Roman"/>
                <w:sz w:val="18"/>
                <w:szCs w:val="18"/>
              </w:rPr>
              <w:t>120</w:t>
            </w:r>
          </w:p>
        </w:tc>
        <w:tc>
          <w:tcPr>
            <w:tcW w:w="941" w:type="pct"/>
            <w:vAlign w:val="center"/>
          </w:tcPr>
          <w:p w14:paraId="009F5FF7" w14:textId="77777777" w:rsidR="00A83058" w:rsidRPr="00605B71" w:rsidRDefault="00A83058" w:rsidP="008117BF">
            <w:pPr>
              <w:jc w:val="center"/>
              <w:rPr>
                <w:rFonts w:ascii="Times New Roman" w:hAnsi="Times New Roman" w:cs="Times New Roman"/>
                <w:sz w:val="18"/>
                <w:szCs w:val="18"/>
              </w:rPr>
            </w:pPr>
            <w:r w:rsidRPr="00605B71">
              <w:rPr>
                <w:rFonts w:ascii="Times New Roman" w:hAnsi="Times New Roman" w:cs="Times New Roman"/>
                <w:sz w:val="18"/>
                <w:szCs w:val="18"/>
              </w:rPr>
              <w:t>110</w:t>
            </w:r>
          </w:p>
        </w:tc>
        <w:tc>
          <w:tcPr>
            <w:tcW w:w="1101" w:type="pct"/>
            <w:vAlign w:val="center"/>
          </w:tcPr>
          <w:p w14:paraId="7D313136" w14:textId="77777777" w:rsidR="00A83058" w:rsidRPr="00605B71" w:rsidRDefault="00A83058" w:rsidP="008117BF">
            <w:pPr>
              <w:jc w:val="center"/>
              <w:rPr>
                <w:rFonts w:ascii="Times New Roman" w:hAnsi="Times New Roman" w:cs="Times New Roman"/>
                <w:sz w:val="18"/>
                <w:szCs w:val="18"/>
              </w:rPr>
            </w:pPr>
            <w:r w:rsidRPr="00605B71">
              <w:rPr>
                <w:rFonts w:ascii="Times New Roman" w:hAnsi="Times New Roman" w:cs="Times New Roman"/>
                <w:sz w:val="18"/>
                <w:szCs w:val="18"/>
              </w:rPr>
              <w:t>380</w:t>
            </w:r>
          </w:p>
        </w:tc>
        <w:tc>
          <w:tcPr>
            <w:tcW w:w="521" w:type="pct"/>
            <w:vAlign w:val="center"/>
          </w:tcPr>
          <w:p w14:paraId="6339E472" w14:textId="77777777" w:rsidR="00A83058" w:rsidRPr="00605B71" w:rsidRDefault="00A83058" w:rsidP="008117BF">
            <w:pPr>
              <w:jc w:val="center"/>
              <w:rPr>
                <w:rFonts w:ascii="Times New Roman" w:hAnsi="Times New Roman" w:cs="Times New Roman"/>
                <w:sz w:val="18"/>
                <w:szCs w:val="18"/>
              </w:rPr>
            </w:pPr>
            <w:r w:rsidRPr="00605B71">
              <w:rPr>
                <w:rFonts w:ascii="Times New Roman" w:hAnsi="Times New Roman" w:cs="Times New Roman"/>
                <w:sz w:val="18"/>
                <w:szCs w:val="18"/>
              </w:rPr>
              <w:t>0.34</w:t>
            </w:r>
          </w:p>
        </w:tc>
      </w:tr>
      <w:tr w:rsidR="003D0292" w:rsidRPr="00605B71" w14:paraId="69EB5D9D" w14:textId="77777777" w:rsidTr="007E71C8">
        <w:trPr>
          <w:jc w:val="center"/>
        </w:trPr>
        <w:tc>
          <w:tcPr>
            <w:tcW w:w="546" w:type="pct"/>
            <w:vAlign w:val="center"/>
          </w:tcPr>
          <w:p w14:paraId="4C6E6B07" w14:textId="5F13A9E4" w:rsidR="003D0292" w:rsidRPr="00605B71" w:rsidRDefault="003D0292" w:rsidP="003D0292">
            <w:pPr>
              <w:jc w:val="center"/>
              <w:rPr>
                <w:rFonts w:ascii="Times New Roman" w:hAnsi="Times New Roman" w:cs="Times New Roman"/>
                <w:sz w:val="18"/>
                <w:szCs w:val="18"/>
              </w:rPr>
            </w:pPr>
            <w:r w:rsidRPr="00605B71">
              <w:rPr>
                <w:rFonts w:ascii="Times New Roman" w:hAnsi="Times New Roman" w:cs="Times New Roman"/>
                <w:sz w:val="18"/>
                <w:szCs w:val="18"/>
              </w:rPr>
              <w:t xml:space="preserve">PC </w:t>
            </w:r>
            <w:r w:rsidRPr="00605B71">
              <w:rPr>
                <w:rFonts w:ascii="Times New Roman" w:hAnsi="Times New Roman" w:cs="Times New Roman"/>
                <w:sz w:val="18"/>
                <w:szCs w:val="18"/>
              </w:rPr>
              <w:fldChar w:fldCharType="begin" w:fldLock="1"/>
            </w:r>
            <w:r w:rsidR="00582A1B">
              <w:rPr>
                <w:rFonts w:ascii="Times New Roman" w:hAnsi="Times New Roman" w:cs="Times New Roman"/>
                <w:sz w:val="18"/>
                <w:szCs w:val="18"/>
              </w:rPr>
              <w:instrText>ADDIN CSL_CITATION {"citationItems":[{"id":"ITEM-1","itemData":{"author":[{"dropping-particle":"","family":"Goodfellow","given":"","non-dropping-particle":"","parse-names":false,"suffix":""}],"id":"ITEM-1","issued":{"date-parts":[["2022"]]},"title":"Material Properties","type":"webpage"},"uris":["http://www.mendeley.com/documents/?uuid=3c65d35a-e9db-44db-a6ba-307d2e1ff44d","http://www.mendeley.com/documents/?uuid=1aae274f-5d03-4fe3-8731-7c583e7742ed"]}],"mendeley":{"formattedCitation":"&lt;sup&gt;6&lt;/sup&gt;","plainTextFormattedCitation":"6","previouslyFormattedCitation":"&lt;sup&gt;11&lt;/sup&gt;"},"properties":{"noteIndex":0},"schema":"https://github.com/citation-style-language/schema/raw/master/csl-citation.json"}</w:instrText>
            </w:r>
            <w:r w:rsidRPr="00605B71">
              <w:rPr>
                <w:rFonts w:ascii="Times New Roman" w:hAnsi="Times New Roman" w:cs="Times New Roman"/>
                <w:sz w:val="18"/>
                <w:szCs w:val="18"/>
              </w:rPr>
              <w:fldChar w:fldCharType="separate"/>
            </w:r>
            <w:r w:rsidR="00582A1B" w:rsidRPr="00582A1B">
              <w:rPr>
                <w:rFonts w:ascii="Times New Roman" w:hAnsi="Times New Roman" w:cs="Times New Roman"/>
                <w:noProof/>
                <w:sz w:val="18"/>
                <w:szCs w:val="18"/>
                <w:vertAlign w:val="superscript"/>
              </w:rPr>
              <w:t>6</w:t>
            </w:r>
            <w:r w:rsidRPr="00605B71">
              <w:rPr>
                <w:rFonts w:ascii="Times New Roman" w:hAnsi="Times New Roman" w:cs="Times New Roman"/>
                <w:sz w:val="18"/>
                <w:szCs w:val="18"/>
              </w:rPr>
              <w:fldChar w:fldCharType="end"/>
            </w:r>
          </w:p>
        </w:tc>
        <w:tc>
          <w:tcPr>
            <w:tcW w:w="470" w:type="pct"/>
            <w:vAlign w:val="center"/>
          </w:tcPr>
          <w:p w14:paraId="430CDC16" w14:textId="14FF94C9" w:rsidR="003D0292" w:rsidRPr="00605B71" w:rsidRDefault="003D0292" w:rsidP="003D0292">
            <w:pPr>
              <w:jc w:val="center"/>
              <w:rPr>
                <w:rFonts w:ascii="Times New Roman" w:hAnsi="Times New Roman" w:cs="Times New Roman"/>
                <w:sz w:val="18"/>
                <w:szCs w:val="18"/>
              </w:rPr>
            </w:pPr>
            <w:r w:rsidRPr="00605B71">
              <w:rPr>
                <w:rFonts w:ascii="Times New Roman" w:hAnsi="Times New Roman" w:cs="Times New Roman"/>
                <w:sz w:val="18"/>
                <w:szCs w:val="18"/>
              </w:rPr>
              <w:t>1200</w:t>
            </w:r>
          </w:p>
        </w:tc>
        <w:tc>
          <w:tcPr>
            <w:tcW w:w="805" w:type="pct"/>
            <w:vAlign w:val="center"/>
          </w:tcPr>
          <w:p w14:paraId="5F640B16" w14:textId="2BFB8FE7" w:rsidR="003D0292" w:rsidRPr="00605B71" w:rsidRDefault="003D0292" w:rsidP="003D0292">
            <w:pPr>
              <w:jc w:val="center"/>
              <w:rPr>
                <w:rFonts w:ascii="Times New Roman" w:hAnsi="Times New Roman" w:cs="Times New Roman"/>
                <w:sz w:val="18"/>
                <w:szCs w:val="18"/>
              </w:rPr>
            </w:pPr>
            <w:r w:rsidRPr="00605B71">
              <w:rPr>
                <w:rFonts w:ascii="Times New Roman" w:hAnsi="Times New Roman" w:cs="Times New Roman"/>
                <w:sz w:val="18"/>
                <w:szCs w:val="18"/>
              </w:rPr>
              <w:t>10</w:t>
            </w:r>
            <w:r w:rsidRPr="00605B71">
              <w:rPr>
                <w:rFonts w:ascii="Times New Roman" w:hAnsi="Times New Roman" w:cs="Times New Roman"/>
                <w:sz w:val="18"/>
                <w:szCs w:val="18"/>
                <w:vertAlign w:val="superscript"/>
              </w:rPr>
              <w:t>-12</w:t>
            </w:r>
          </w:p>
        </w:tc>
        <w:tc>
          <w:tcPr>
            <w:tcW w:w="616" w:type="pct"/>
            <w:vAlign w:val="center"/>
          </w:tcPr>
          <w:p w14:paraId="1C0A35B1" w14:textId="6CCC6330" w:rsidR="003D0292" w:rsidRPr="00605B71" w:rsidRDefault="003D0292" w:rsidP="003D0292">
            <w:pPr>
              <w:jc w:val="center"/>
              <w:rPr>
                <w:rFonts w:ascii="Times New Roman" w:hAnsi="Times New Roman" w:cs="Times New Roman"/>
                <w:sz w:val="18"/>
                <w:szCs w:val="18"/>
              </w:rPr>
            </w:pPr>
            <w:r w:rsidRPr="00605B71">
              <w:rPr>
                <w:rFonts w:ascii="Times New Roman" w:hAnsi="Times New Roman" w:cs="Times New Roman"/>
                <w:sz w:val="18"/>
                <w:szCs w:val="18"/>
              </w:rPr>
              <w:t>0.2</w:t>
            </w:r>
          </w:p>
        </w:tc>
        <w:tc>
          <w:tcPr>
            <w:tcW w:w="941" w:type="pct"/>
            <w:vAlign w:val="center"/>
          </w:tcPr>
          <w:p w14:paraId="4EBA93F4" w14:textId="5F8F43FF" w:rsidR="003D0292" w:rsidRPr="00605B71" w:rsidRDefault="007E71C8" w:rsidP="003D0292">
            <w:pPr>
              <w:jc w:val="center"/>
              <w:rPr>
                <w:rFonts w:ascii="Times New Roman" w:hAnsi="Times New Roman" w:cs="Times New Roman"/>
                <w:sz w:val="18"/>
                <w:szCs w:val="18"/>
              </w:rPr>
            </w:pPr>
            <w:r w:rsidRPr="00605B71">
              <w:rPr>
                <w:rFonts w:ascii="Times New Roman" w:eastAsiaTheme="minorEastAsia" w:hAnsi="Times New Roman" w:cs="Times New Roman"/>
                <w:sz w:val="18"/>
                <w:szCs w:val="18"/>
              </w:rPr>
              <w:t>2.315-0.00522</w:t>
            </w:r>
            <w:r w:rsidRPr="00605B71">
              <w:rPr>
                <w:rFonts w:ascii="Times New Roman" w:hAnsi="Times New Roman" w:cs="Times New Roman"/>
                <w:sz w:val="18"/>
                <w:szCs w:val="18"/>
              </w:rPr>
              <w:t>×T</w:t>
            </w:r>
          </w:p>
        </w:tc>
        <w:tc>
          <w:tcPr>
            <w:tcW w:w="1101" w:type="pct"/>
            <w:vAlign w:val="center"/>
          </w:tcPr>
          <w:p w14:paraId="66CACA82" w14:textId="1C1BD251" w:rsidR="003D0292" w:rsidRPr="00605B71" w:rsidRDefault="003D0292" w:rsidP="003D0292">
            <w:pPr>
              <w:jc w:val="center"/>
              <w:rPr>
                <w:rFonts w:ascii="Times New Roman" w:hAnsi="Times New Roman" w:cs="Times New Roman"/>
                <w:sz w:val="18"/>
                <w:szCs w:val="18"/>
              </w:rPr>
            </w:pPr>
            <w:r w:rsidRPr="00605B71">
              <w:rPr>
                <w:rFonts w:ascii="Times New Roman" w:hAnsi="Times New Roman" w:cs="Times New Roman"/>
                <w:sz w:val="18"/>
                <w:szCs w:val="18"/>
              </w:rPr>
              <w:t>1200</w:t>
            </w:r>
          </w:p>
        </w:tc>
        <w:tc>
          <w:tcPr>
            <w:tcW w:w="521" w:type="pct"/>
            <w:vAlign w:val="center"/>
          </w:tcPr>
          <w:p w14:paraId="0CC7D963" w14:textId="72601CDA" w:rsidR="003D0292" w:rsidRPr="00605B71" w:rsidRDefault="003D0292" w:rsidP="003D0292">
            <w:pPr>
              <w:jc w:val="center"/>
              <w:rPr>
                <w:rFonts w:ascii="Times New Roman" w:hAnsi="Times New Roman" w:cs="Times New Roman"/>
                <w:sz w:val="18"/>
                <w:szCs w:val="18"/>
              </w:rPr>
            </w:pPr>
            <w:r w:rsidRPr="00605B71">
              <w:rPr>
                <w:rFonts w:ascii="Times New Roman" w:hAnsi="Times New Roman" w:cs="Times New Roman"/>
                <w:sz w:val="18"/>
                <w:szCs w:val="18"/>
              </w:rPr>
              <w:t>0.37</w:t>
            </w:r>
          </w:p>
        </w:tc>
      </w:tr>
      <w:tr w:rsidR="00B75741" w:rsidRPr="00605B71" w14:paraId="2DA94DFC" w14:textId="77777777" w:rsidTr="007E71C8">
        <w:tblPrEx>
          <w:jc w:val="left"/>
        </w:tblPrEx>
        <w:tc>
          <w:tcPr>
            <w:tcW w:w="546" w:type="pct"/>
          </w:tcPr>
          <w:p w14:paraId="2940DA64" w14:textId="7DE302EB" w:rsidR="00A83058" w:rsidRPr="00605B71" w:rsidRDefault="00A83058" w:rsidP="008117BF">
            <w:pPr>
              <w:jc w:val="center"/>
              <w:rPr>
                <w:rFonts w:ascii="Times New Roman" w:hAnsi="Times New Roman" w:cs="Times New Roman"/>
                <w:sz w:val="18"/>
                <w:szCs w:val="18"/>
              </w:rPr>
            </w:pPr>
            <w:r w:rsidRPr="00605B71">
              <w:rPr>
                <w:rFonts w:ascii="Times New Roman" w:hAnsi="Times New Roman" w:cs="Times New Roman"/>
                <w:sz w:val="18"/>
                <w:szCs w:val="18"/>
              </w:rPr>
              <w:t>PVB</w:t>
            </w:r>
            <w:r w:rsidRPr="00605B71">
              <w:rPr>
                <w:rFonts w:ascii="Times New Roman" w:hAnsi="Times New Roman" w:cs="Times New Roman"/>
                <w:sz w:val="18"/>
                <w:szCs w:val="18"/>
              </w:rPr>
              <w:fldChar w:fldCharType="begin" w:fldLock="1"/>
            </w:r>
            <w:r w:rsidR="00582A1B">
              <w:rPr>
                <w:rFonts w:ascii="Times New Roman" w:hAnsi="Times New Roman" w:cs="Times New Roman"/>
                <w:sz w:val="18"/>
                <w:szCs w:val="18"/>
              </w:rPr>
              <w:instrText>ADDIN CSL_CITATION {"citationItems":[{"id":"ITEM-1","itemData":{"DOI":"10.1002/apmc.1969.050060109","ISSN":"0003-3146","abstract":"Die spezifischen Wärmen des Polyvinylbutyrals (Mowital®) ohne und mit 28 Gew.‐% Weichmacher (Triäthylenglykoldi‐2‐äthylbutyrat), sowie die des reinen Weichmachers wurden im Temperaturbereich von − 50 bis + 120°C mit einem adiabatischen Kalorimeter gemessen. Die aus dem Temperaturverlauf der spezifischen Wärmen bestimmten Einfriertemperaturen betragen 59,3°C für das weichmacherfreie und ‐‐0,5°C für das weichgemachte Polyvinylbutyral. Zum Vergleich ausgeführte Untersuchungen der spezifischen Volumina ergaben innerhalb der Meßgenauigkeit die gleichen Werte für die Einfriertemperaturen. Die spezifische Wärme des weichgemachten Polyvinylbutyrals läßt sich (im flüssigen Zustand) nicht aus der der Komponenten berechnen, was auf das Auftreten einer Mischungswärme hindeutet.The specific heats of polyvinylbutyral (Mowital®) with and without 28% by weight plasticizer (triethylene glycol‐di‐(2‐ethylbutyrate)) and of pure plasticizer were determined by means of an adiabatic calorimeter in the temperature range from – 50°C to + 120°C. The glass transition temperatures derived from the heat capacity temperature relationships are –0.5°C and 59.3°C respectively for the polyvinylbutyral resin with and without plasticizer. Specific volume measurements yielded the same transition temperatures within the limits of error. The heat capacity of the plasticized PVB (in the liquid state) deviates significantly from the value obtained from the pure components by the simple mixing rule. This indicates a non zero value of the heat of mixing for the system polymer / plasticizer.","author":[{"dropping-particle":"","family":"Wilski","given":"Von H.","non-dropping-particle":"","parse-names":false,"suffix":""}],"container-title":"Die Angewandte Makromolekulare Chemie","id":"ITEM-1","issue":"1","issued":{"date-parts":[["1969"]]},"page":"101-108","title":"Die spezifische Wärme des Polyvinylbutyrals","type":"article","volume":"6"},"uris":["http://www.mendeley.com/documents/?uuid=adb9e8f5-c4a0-4c19-84b3-4e85de5f24b9"]}],"mendeley":{"formattedCitation":"&lt;sup&gt;9&lt;/sup&gt;","plainTextFormattedCitation":"9","previouslyFormattedCitation":"&lt;sup&gt;8&lt;/sup&gt;"},"properties":{"noteIndex":0},"schema":"https://github.com/citation-style-language/schema/raw/master/csl-citation.json"}</w:instrText>
            </w:r>
            <w:r w:rsidRPr="00605B71">
              <w:rPr>
                <w:rFonts w:ascii="Times New Roman" w:hAnsi="Times New Roman" w:cs="Times New Roman"/>
                <w:sz w:val="18"/>
                <w:szCs w:val="18"/>
              </w:rPr>
              <w:fldChar w:fldCharType="separate"/>
            </w:r>
            <w:r w:rsidR="00582A1B" w:rsidRPr="00582A1B">
              <w:rPr>
                <w:rFonts w:ascii="Times New Roman" w:hAnsi="Times New Roman" w:cs="Times New Roman"/>
                <w:noProof/>
                <w:sz w:val="18"/>
                <w:szCs w:val="18"/>
                <w:vertAlign w:val="superscript"/>
              </w:rPr>
              <w:t>9</w:t>
            </w:r>
            <w:r w:rsidRPr="00605B71">
              <w:rPr>
                <w:rFonts w:ascii="Times New Roman" w:hAnsi="Times New Roman" w:cs="Times New Roman"/>
                <w:sz w:val="18"/>
                <w:szCs w:val="18"/>
              </w:rPr>
              <w:fldChar w:fldCharType="end"/>
            </w:r>
          </w:p>
        </w:tc>
        <w:tc>
          <w:tcPr>
            <w:tcW w:w="470" w:type="pct"/>
          </w:tcPr>
          <w:p w14:paraId="3806E5DA" w14:textId="77777777" w:rsidR="00A83058" w:rsidRPr="00605B71" w:rsidRDefault="00A83058" w:rsidP="008117BF">
            <w:pPr>
              <w:jc w:val="center"/>
              <w:rPr>
                <w:rFonts w:ascii="Times New Roman" w:hAnsi="Times New Roman" w:cs="Times New Roman"/>
                <w:sz w:val="18"/>
                <w:szCs w:val="18"/>
              </w:rPr>
            </w:pPr>
            <w:r w:rsidRPr="00605B71">
              <w:rPr>
                <w:rFonts w:ascii="Times New Roman" w:hAnsi="Times New Roman" w:cs="Times New Roman"/>
                <w:sz w:val="18"/>
                <w:szCs w:val="18"/>
              </w:rPr>
              <w:t>1080</w:t>
            </w:r>
          </w:p>
        </w:tc>
        <w:tc>
          <w:tcPr>
            <w:tcW w:w="805" w:type="pct"/>
          </w:tcPr>
          <w:p w14:paraId="7BACA685" w14:textId="77777777" w:rsidR="00A83058" w:rsidRPr="00605B71" w:rsidRDefault="00A83058" w:rsidP="008117BF">
            <w:pPr>
              <w:jc w:val="center"/>
              <w:rPr>
                <w:rFonts w:ascii="Times New Roman" w:hAnsi="Times New Roman" w:cs="Times New Roman"/>
                <w:sz w:val="18"/>
                <w:szCs w:val="18"/>
              </w:rPr>
            </w:pPr>
            <w:r w:rsidRPr="00605B71">
              <w:rPr>
                <w:rFonts w:ascii="Times New Roman" w:hAnsi="Times New Roman" w:cs="Times New Roman"/>
                <w:sz w:val="18"/>
                <w:szCs w:val="18"/>
              </w:rPr>
              <w:t>3.2×10</w:t>
            </w:r>
            <w:r w:rsidRPr="00605B71">
              <w:rPr>
                <w:rFonts w:ascii="Times New Roman" w:hAnsi="Times New Roman" w:cs="Times New Roman"/>
                <w:sz w:val="18"/>
                <w:szCs w:val="18"/>
                <w:vertAlign w:val="superscript"/>
              </w:rPr>
              <w:t>-12</w:t>
            </w:r>
          </w:p>
        </w:tc>
        <w:tc>
          <w:tcPr>
            <w:tcW w:w="616" w:type="pct"/>
          </w:tcPr>
          <w:p w14:paraId="297D43B7" w14:textId="77777777" w:rsidR="00A83058" w:rsidRPr="00605B71" w:rsidRDefault="00A83058" w:rsidP="008117BF">
            <w:pPr>
              <w:jc w:val="center"/>
              <w:rPr>
                <w:rFonts w:ascii="Times New Roman" w:hAnsi="Times New Roman" w:cs="Times New Roman"/>
                <w:sz w:val="18"/>
                <w:szCs w:val="18"/>
              </w:rPr>
            </w:pPr>
            <w:r w:rsidRPr="00605B71">
              <w:rPr>
                <w:rFonts w:ascii="Times New Roman" w:hAnsi="Times New Roman" w:cs="Times New Roman"/>
                <w:sz w:val="18"/>
                <w:szCs w:val="18"/>
              </w:rPr>
              <w:t>0.2</w:t>
            </w:r>
          </w:p>
        </w:tc>
        <w:tc>
          <w:tcPr>
            <w:tcW w:w="941" w:type="pct"/>
          </w:tcPr>
          <w:p w14:paraId="459B7FA6" w14:textId="77777777" w:rsidR="00A83058" w:rsidRPr="00605B71" w:rsidRDefault="00A83058" w:rsidP="008117BF">
            <w:pPr>
              <w:jc w:val="center"/>
              <w:rPr>
                <w:rFonts w:ascii="Times New Roman" w:hAnsi="Times New Roman" w:cs="Times New Roman"/>
                <w:sz w:val="18"/>
                <w:szCs w:val="18"/>
              </w:rPr>
            </w:pPr>
            <w:r w:rsidRPr="00605B71">
              <w:rPr>
                <w:rFonts w:ascii="Times New Roman" w:hAnsi="Times New Roman" w:cs="Times New Roman"/>
                <w:sz w:val="18"/>
                <w:szCs w:val="18"/>
              </w:rPr>
              <w:t xml:space="preserve">see </w:t>
            </w:r>
            <w:r w:rsidRPr="00605B71">
              <w:rPr>
                <w:rFonts w:ascii="Times New Roman" w:hAnsi="Times New Roman" w:cs="Times New Roman"/>
                <w:sz w:val="18"/>
                <w:szCs w:val="18"/>
              </w:rPr>
              <w:fldChar w:fldCharType="begin"/>
            </w:r>
            <w:r w:rsidRPr="00605B71">
              <w:rPr>
                <w:rFonts w:ascii="Times New Roman" w:hAnsi="Times New Roman" w:cs="Times New Roman"/>
                <w:sz w:val="18"/>
                <w:szCs w:val="18"/>
              </w:rPr>
              <w:instrText xml:space="preserve"> REF _Ref170246483 \h  \* MERGEFORMAT </w:instrText>
            </w:r>
            <w:r w:rsidRPr="00605B71">
              <w:rPr>
                <w:rFonts w:ascii="Times New Roman" w:hAnsi="Times New Roman" w:cs="Times New Roman"/>
                <w:sz w:val="18"/>
                <w:szCs w:val="18"/>
              </w:rPr>
            </w:r>
            <w:r w:rsidRPr="00605B71">
              <w:rPr>
                <w:rFonts w:ascii="Times New Roman" w:hAnsi="Times New Roman" w:cs="Times New Roman"/>
                <w:sz w:val="18"/>
                <w:szCs w:val="18"/>
              </w:rPr>
              <w:fldChar w:fldCharType="separate"/>
            </w:r>
            <w:r w:rsidRPr="00605B71">
              <w:rPr>
                <w:rFonts w:ascii="Times New Roman" w:hAnsi="Times New Roman" w:cs="Times New Roman"/>
                <w:sz w:val="18"/>
                <w:szCs w:val="18"/>
              </w:rPr>
              <w:t>Table S - 2</w:t>
            </w:r>
            <w:r w:rsidRPr="00605B71">
              <w:rPr>
                <w:rFonts w:ascii="Times New Roman" w:hAnsi="Times New Roman" w:cs="Times New Roman"/>
                <w:sz w:val="18"/>
                <w:szCs w:val="18"/>
              </w:rPr>
              <w:fldChar w:fldCharType="end"/>
            </w:r>
          </w:p>
        </w:tc>
        <w:tc>
          <w:tcPr>
            <w:tcW w:w="1101" w:type="pct"/>
          </w:tcPr>
          <w:p w14:paraId="797CD7AC" w14:textId="77777777" w:rsidR="00A83058" w:rsidRPr="00605B71" w:rsidRDefault="00A83058" w:rsidP="008117BF">
            <w:pPr>
              <w:jc w:val="center"/>
              <w:rPr>
                <w:rFonts w:ascii="Times New Roman" w:hAnsi="Times New Roman" w:cs="Times New Roman"/>
                <w:sz w:val="18"/>
                <w:szCs w:val="18"/>
              </w:rPr>
            </w:pPr>
            <m:oMath>
              <m:r>
                <w:rPr>
                  <w:rFonts w:ascii="Cambria Math" w:hAnsi="Cambria Math" w:cs="Times New Roman"/>
                  <w:sz w:val="18"/>
                  <w:szCs w:val="18"/>
                </w:rPr>
                <m:t>1832+2.62×T</m:t>
              </m:r>
            </m:oMath>
            <w:r w:rsidRPr="00605B71">
              <w:rPr>
                <w:rFonts w:ascii="Times New Roman" w:hAnsi="Times New Roman" w:cs="Times New Roman"/>
                <w:sz w:val="18"/>
                <w:szCs w:val="18"/>
              </w:rPr>
              <w:t xml:space="preserve"> **</w:t>
            </w:r>
          </w:p>
        </w:tc>
        <w:tc>
          <w:tcPr>
            <w:tcW w:w="521" w:type="pct"/>
          </w:tcPr>
          <w:p w14:paraId="456ACF8E" w14:textId="77777777" w:rsidR="00A83058" w:rsidRPr="00605B71" w:rsidRDefault="00A83058" w:rsidP="008117BF">
            <w:pPr>
              <w:keepNext/>
              <w:jc w:val="center"/>
              <w:rPr>
                <w:rFonts w:ascii="Times New Roman" w:hAnsi="Times New Roman" w:cs="Times New Roman"/>
                <w:sz w:val="18"/>
                <w:szCs w:val="18"/>
              </w:rPr>
            </w:pPr>
            <w:r w:rsidRPr="00605B71">
              <w:rPr>
                <w:rFonts w:ascii="Times New Roman" w:hAnsi="Times New Roman" w:cs="Times New Roman"/>
                <w:sz w:val="18"/>
                <w:szCs w:val="18"/>
              </w:rPr>
              <w:t>0.47</w:t>
            </w:r>
          </w:p>
        </w:tc>
      </w:tr>
    </w:tbl>
    <w:bookmarkEnd w:id="0"/>
    <w:p w14:paraId="53217664" w14:textId="77777777" w:rsidR="00A83058" w:rsidRPr="006D5F54" w:rsidRDefault="00A83058" w:rsidP="00A83058">
      <w:pPr>
        <w:spacing w:line="240" w:lineRule="auto"/>
        <w:rPr>
          <w:sz w:val="20"/>
          <w:szCs w:val="18"/>
        </w:rPr>
      </w:pPr>
      <w:r w:rsidRPr="002A164F">
        <w:rPr>
          <w:sz w:val="20"/>
          <w:szCs w:val="18"/>
        </w:rPr>
        <w:t xml:space="preserve">*The electrical conductivity is calculated based on </w:t>
      </w:r>
      <m:oMath>
        <m:r>
          <w:rPr>
            <w:rFonts w:ascii="Cambria Math" w:hAnsi="Cambria Math"/>
            <w:sz w:val="20"/>
            <w:szCs w:val="18"/>
          </w:rPr>
          <m:t>σ=</m:t>
        </m:r>
        <m:f>
          <m:fPr>
            <m:ctrlPr>
              <w:rPr>
                <w:rFonts w:ascii="Cambria Math" w:hAnsi="Cambria Math"/>
                <w:i/>
                <w:sz w:val="20"/>
                <w:szCs w:val="18"/>
              </w:rPr>
            </m:ctrlPr>
          </m:fPr>
          <m:num>
            <m:sSub>
              <m:sSubPr>
                <m:ctrlPr>
                  <w:rPr>
                    <w:rFonts w:ascii="Cambria Math" w:hAnsi="Cambria Math"/>
                    <w:i/>
                    <w:sz w:val="20"/>
                    <w:szCs w:val="18"/>
                  </w:rPr>
                </m:ctrlPr>
              </m:sSubPr>
              <m:e>
                <m:r>
                  <w:rPr>
                    <w:rFonts w:ascii="Cambria Math" w:hAnsi="Cambria Math"/>
                    <w:sz w:val="20"/>
                    <w:szCs w:val="18"/>
                  </w:rPr>
                  <m:t>σ</m:t>
                </m:r>
              </m:e>
              <m:sub>
                <m:r>
                  <w:rPr>
                    <w:rFonts w:ascii="Cambria Math" w:hAnsi="Cambria Math"/>
                    <w:sz w:val="20"/>
                    <w:szCs w:val="18"/>
                  </w:rPr>
                  <m:t>0</m:t>
                </m:r>
              </m:sub>
            </m:sSub>
          </m:num>
          <m:den>
            <m:r>
              <w:rPr>
                <w:rFonts w:ascii="Cambria Math" w:hAnsi="Cambria Math"/>
                <w:sz w:val="20"/>
                <w:szCs w:val="18"/>
              </w:rPr>
              <m:t>1+α×</m:t>
            </m:r>
            <m:d>
              <m:dPr>
                <m:ctrlPr>
                  <w:rPr>
                    <w:rFonts w:ascii="Cambria Math" w:hAnsi="Cambria Math"/>
                    <w:i/>
                    <w:sz w:val="20"/>
                    <w:szCs w:val="18"/>
                  </w:rPr>
                </m:ctrlPr>
              </m:dPr>
              <m:e>
                <m:r>
                  <w:rPr>
                    <w:rFonts w:ascii="Cambria Math" w:hAnsi="Cambria Math"/>
                    <w:sz w:val="20"/>
                    <w:szCs w:val="18"/>
                  </w:rPr>
                  <m:t>Τ-</m:t>
                </m:r>
                <m:sSub>
                  <m:sSubPr>
                    <m:ctrlPr>
                      <w:rPr>
                        <w:rFonts w:ascii="Cambria Math" w:hAnsi="Cambria Math"/>
                        <w:i/>
                        <w:sz w:val="20"/>
                        <w:szCs w:val="18"/>
                      </w:rPr>
                    </m:ctrlPr>
                  </m:sSubPr>
                  <m:e>
                    <m:r>
                      <w:rPr>
                        <w:rFonts w:ascii="Cambria Math" w:hAnsi="Cambria Math"/>
                        <w:sz w:val="20"/>
                        <w:szCs w:val="18"/>
                      </w:rPr>
                      <m:t>Τ</m:t>
                    </m:r>
                  </m:e>
                  <m:sub>
                    <m:r>
                      <w:rPr>
                        <w:rFonts w:ascii="Cambria Math" w:hAnsi="Cambria Math"/>
                        <w:sz w:val="20"/>
                        <w:szCs w:val="18"/>
                      </w:rPr>
                      <m:t>0</m:t>
                    </m:r>
                  </m:sub>
                </m:sSub>
              </m:e>
            </m:d>
          </m:den>
        </m:f>
      </m:oMath>
      <w:r w:rsidRPr="006D5F54">
        <w:rPr>
          <w:sz w:val="20"/>
          <w:szCs w:val="18"/>
        </w:rPr>
        <w:t>, where σ</w:t>
      </w:r>
      <w:r w:rsidRPr="006D5F54">
        <w:rPr>
          <w:sz w:val="20"/>
          <w:szCs w:val="18"/>
          <w:vertAlign w:val="subscript"/>
        </w:rPr>
        <w:t>0</w:t>
      </w:r>
      <w:r w:rsidRPr="006D5F54">
        <w:rPr>
          <w:sz w:val="20"/>
          <w:szCs w:val="18"/>
        </w:rPr>
        <w:t xml:space="preserve"> is the resistivity at 20</w:t>
      </w:r>
      <w:r w:rsidRPr="006D5F54">
        <w:rPr>
          <w:rFonts w:cstheme="minorHAnsi"/>
          <w:sz w:val="20"/>
          <w:szCs w:val="18"/>
        </w:rPr>
        <w:t>⁰</w:t>
      </w:r>
      <w:r w:rsidRPr="006D5F54">
        <w:rPr>
          <w:sz w:val="20"/>
          <w:szCs w:val="18"/>
        </w:rPr>
        <w:t xml:space="preserve">C, α is the temperature coefficient of resistance, and </w:t>
      </w:r>
      <w:r w:rsidRPr="006D5F54">
        <w:rPr>
          <w:i/>
          <w:iCs/>
          <w:sz w:val="20"/>
          <w:szCs w:val="18"/>
        </w:rPr>
        <w:t>T</w:t>
      </w:r>
      <w:r w:rsidRPr="006D5F54">
        <w:rPr>
          <w:i/>
          <w:iCs/>
          <w:sz w:val="20"/>
          <w:szCs w:val="18"/>
          <w:vertAlign w:val="subscript"/>
        </w:rPr>
        <w:t>0</w:t>
      </w:r>
      <w:r w:rsidRPr="006D5F54">
        <w:rPr>
          <w:sz w:val="20"/>
          <w:szCs w:val="18"/>
        </w:rPr>
        <w:t xml:space="preserve"> is the reference temperature.</w:t>
      </w:r>
    </w:p>
    <w:p w14:paraId="45C7BCDC" w14:textId="77777777" w:rsidR="00A83058" w:rsidRPr="006D5F54" w:rsidRDefault="00A83058" w:rsidP="00A83058">
      <w:pPr>
        <w:rPr>
          <w:sz w:val="20"/>
          <w:szCs w:val="18"/>
        </w:rPr>
      </w:pPr>
      <w:r w:rsidRPr="006D5F54">
        <w:rPr>
          <w:sz w:val="20"/>
          <w:szCs w:val="18"/>
        </w:rPr>
        <w:t>**The specific heat equation is linearly fitted in the experimental data presented in the referenced publications.</w:t>
      </w:r>
    </w:p>
    <w:p w14:paraId="1AA5184B" w14:textId="77777777" w:rsidR="00A83058" w:rsidRPr="007F0CBF" w:rsidRDefault="00A83058" w:rsidP="00A83058">
      <w:pPr>
        <w:ind w:firstLine="720"/>
      </w:pPr>
      <w:r w:rsidRPr="007F0CBF">
        <w:t xml:space="preserve">The elastic modulus </w:t>
      </w:r>
      <m:oMath>
        <m:sSub>
          <m:sSubPr>
            <m:ctrlPr>
              <w:rPr>
                <w:rFonts w:ascii="Cambria Math" w:hAnsi="Cambria Math"/>
                <w:i/>
              </w:rPr>
            </m:ctrlPr>
          </m:sSubPr>
          <m:e>
            <m:r>
              <w:rPr>
                <w:rFonts w:ascii="Cambria Math" w:hAnsi="Cambria Math"/>
              </w:rPr>
              <m:t>E</m:t>
            </m:r>
          </m:e>
          <m:sub>
            <m:d>
              <m:dPr>
                <m:ctrlPr>
                  <w:rPr>
                    <w:rFonts w:ascii="Cambria Math" w:hAnsi="Cambria Math"/>
                    <w:i/>
                  </w:rPr>
                </m:ctrlPr>
              </m:dPr>
              <m:e>
                <m:r>
                  <w:rPr>
                    <w:rFonts w:ascii="Cambria Math" w:hAnsi="Cambria Math"/>
                  </w:rPr>
                  <m:t>t</m:t>
                </m:r>
              </m:e>
            </m:d>
          </m:sub>
        </m:sSub>
      </m:oMath>
      <w:r w:rsidRPr="007F0CBF">
        <w:t xml:space="preserve"> for PVB was modelled using the following equation:</w:t>
      </w: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121"/>
      </w:tblGrid>
      <w:tr w:rsidR="00A83058" w:rsidRPr="007F0CBF" w14:paraId="159D499C" w14:textId="77777777" w:rsidTr="008117BF">
        <w:tc>
          <w:tcPr>
            <w:tcW w:w="7905" w:type="dxa"/>
            <w:vAlign w:val="center"/>
          </w:tcPr>
          <w:p w14:paraId="4AA1BCF4" w14:textId="77777777" w:rsidR="00A83058" w:rsidRPr="007F0CBF" w:rsidRDefault="00582A1B" w:rsidP="008117BF">
            <w:pPr>
              <w:pStyle w:val="Equation"/>
              <w:spacing w:before="60"/>
              <w:rPr>
                <w:lang w:val="en-GB"/>
              </w:rPr>
            </w:pPr>
            <m:oMathPara>
              <m:oMath>
                <m:sSub>
                  <m:sSubPr>
                    <m:ctrlPr>
                      <w:rPr>
                        <w:lang w:val="en-GB"/>
                      </w:rPr>
                    </m:ctrlPr>
                  </m:sSubPr>
                  <m:e>
                    <m:r>
                      <w:rPr>
                        <w:lang w:val="en-GB"/>
                      </w:rPr>
                      <m:t>E</m:t>
                    </m:r>
                  </m:e>
                  <m:sub>
                    <m:d>
                      <m:dPr>
                        <m:ctrlPr>
                          <w:rPr>
                            <w:lang w:val="en-GB"/>
                          </w:rPr>
                        </m:ctrlPr>
                      </m:dPr>
                      <m:e>
                        <m:r>
                          <w:rPr>
                            <w:lang w:val="en-GB"/>
                          </w:rPr>
                          <m:t>t</m:t>
                        </m:r>
                      </m:e>
                    </m:d>
                  </m:sub>
                </m:sSub>
                <m:r>
                  <w:rPr>
                    <w:lang w:val="en-GB"/>
                  </w:rPr>
                  <m:t>=</m:t>
                </m:r>
                <m:sSub>
                  <m:sSubPr>
                    <m:ctrlPr>
                      <w:rPr>
                        <w:lang w:val="en-GB"/>
                      </w:rPr>
                    </m:ctrlPr>
                  </m:sSubPr>
                  <m:e>
                    <m:r>
                      <w:rPr>
                        <w:lang w:val="en-GB"/>
                      </w:rPr>
                      <m:t>E</m:t>
                    </m:r>
                  </m:e>
                  <m:sub>
                    <m:r>
                      <w:rPr>
                        <w:lang w:val="en-GB"/>
                      </w:rPr>
                      <m:t>∞</m:t>
                    </m:r>
                  </m:sub>
                </m:sSub>
                <m:r>
                  <w:rPr>
                    <w:lang w:val="en-GB"/>
                  </w:rPr>
                  <m:t>+</m:t>
                </m:r>
                <m:nary>
                  <m:naryPr>
                    <m:chr m:val="∑"/>
                    <m:limLoc m:val="undOvr"/>
                    <m:ctrlPr>
                      <w:rPr>
                        <w:lang w:val="en-GB"/>
                      </w:rPr>
                    </m:ctrlPr>
                  </m:naryPr>
                  <m:sub>
                    <m:r>
                      <w:rPr>
                        <w:lang w:val="en-GB"/>
                      </w:rPr>
                      <m:t>i</m:t>
                    </m:r>
                    <m:r>
                      <w:rPr>
                        <w:lang w:val="en-GB"/>
                      </w:rPr>
                      <m:t>=1</m:t>
                    </m:r>
                  </m:sub>
                  <m:sup>
                    <m:r>
                      <w:rPr>
                        <w:lang w:val="en-GB"/>
                      </w:rPr>
                      <m:t>n</m:t>
                    </m:r>
                  </m:sup>
                  <m:e>
                    <m:sSub>
                      <m:sSubPr>
                        <m:ctrlPr>
                          <w:rPr>
                            <w:lang w:val="en-GB"/>
                          </w:rPr>
                        </m:ctrlPr>
                      </m:sSubPr>
                      <m:e>
                        <m:r>
                          <w:rPr>
                            <w:lang w:val="en-GB"/>
                          </w:rPr>
                          <m:t>E</m:t>
                        </m:r>
                      </m:e>
                      <m:sub>
                        <m:r>
                          <w:rPr>
                            <w:lang w:val="en-GB"/>
                          </w:rPr>
                          <m:t>i</m:t>
                        </m:r>
                      </m:sub>
                    </m:sSub>
                    <m:r>
                      <w:rPr>
                        <w:lang w:val="en-GB"/>
                      </w:rPr>
                      <m:t>×</m:t>
                    </m:r>
                    <m:sSup>
                      <m:sSupPr>
                        <m:ctrlPr>
                          <w:rPr>
                            <w:lang w:val="en-GB"/>
                          </w:rPr>
                        </m:ctrlPr>
                      </m:sSupPr>
                      <m:e>
                        <m:r>
                          <w:rPr>
                            <w:lang w:val="en-GB"/>
                          </w:rPr>
                          <m:t>e</m:t>
                        </m:r>
                      </m:e>
                      <m:sup>
                        <m:r>
                          <w:rPr>
                            <w:lang w:val="en-GB"/>
                          </w:rPr>
                          <m:t>-</m:t>
                        </m:r>
                        <m:f>
                          <m:fPr>
                            <m:ctrlPr>
                              <w:rPr>
                                <w:lang w:val="en-GB"/>
                              </w:rPr>
                            </m:ctrlPr>
                          </m:fPr>
                          <m:num>
                            <m:r>
                              <w:rPr>
                                <w:lang w:val="en-GB"/>
                              </w:rPr>
                              <m:t>t</m:t>
                            </m:r>
                          </m:num>
                          <m:den>
                            <m:sSub>
                              <m:sSubPr>
                                <m:ctrlPr>
                                  <w:rPr>
                                    <w:lang w:val="el-GR"/>
                                  </w:rPr>
                                </m:ctrlPr>
                              </m:sSubPr>
                              <m:e>
                                <m:r>
                                  <w:rPr>
                                    <w:lang w:val="el-GR"/>
                                  </w:rPr>
                                  <m:t>τ</m:t>
                                </m:r>
                                <m:ctrlPr>
                                  <w:rPr>
                                    <w:lang w:val="en-GB"/>
                                  </w:rPr>
                                </m:ctrlPr>
                              </m:e>
                              <m:sub>
                                <m:r>
                                  <w:rPr>
                                    <w:lang w:eastAsia="zh-CN"/>
                                  </w:rPr>
                                  <m:t>i</m:t>
                                </m:r>
                              </m:sub>
                            </m:sSub>
                          </m:den>
                        </m:f>
                      </m:sup>
                    </m:sSup>
                  </m:e>
                </m:nary>
              </m:oMath>
            </m:oMathPara>
          </w:p>
        </w:tc>
        <w:tc>
          <w:tcPr>
            <w:tcW w:w="1121" w:type="dxa"/>
            <w:vAlign w:val="center"/>
          </w:tcPr>
          <w:p w14:paraId="39DAAFF6" w14:textId="0EF12265" w:rsidR="00A83058" w:rsidRPr="007F0CBF" w:rsidRDefault="00A83058" w:rsidP="008117BF">
            <w:pPr>
              <w:pStyle w:val="Equation"/>
              <w:rPr>
                <w:lang w:val="en-GB"/>
              </w:rPr>
            </w:pPr>
            <w:r>
              <w:t xml:space="preserve">(S - </w:t>
            </w:r>
            <w:r>
              <w:fldChar w:fldCharType="begin"/>
            </w:r>
            <w:r w:rsidRPr="00BB4E19">
              <w:instrText xml:space="preserve"> SEQ (S_- \* ARABIC </w:instrText>
            </w:r>
            <w:r>
              <w:fldChar w:fldCharType="separate"/>
            </w:r>
            <w:r w:rsidR="0095472F">
              <w:rPr>
                <w:noProof/>
              </w:rPr>
              <w:t>1</w:t>
            </w:r>
            <w:r>
              <w:fldChar w:fldCharType="end"/>
            </w:r>
            <w:r w:rsidRPr="007F0CBF">
              <w:rPr>
                <w:lang w:val="en-GB"/>
              </w:rPr>
              <w:t>)</w:t>
            </w:r>
          </w:p>
        </w:tc>
      </w:tr>
    </w:tbl>
    <w:p w14:paraId="4E1DA5F6" w14:textId="7760706A" w:rsidR="00A83058" w:rsidRDefault="00A83058" w:rsidP="00BB4EEF">
      <w:r w:rsidRPr="007F0CBF">
        <w:t xml:space="preserve">where </w:t>
      </w:r>
      <m:oMath>
        <m:sSub>
          <m:sSubPr>
            <m:ctrlPr>
              <w:rPr>
                <w:rFonts w:ascii="Cambria Math" w:hAnsi="Cambria Math"/>
                <w:i/>
              </w:rPr>
            </m:ctrlPr>
          </m:sSubPr>
          <m:e>
            <m:r>
              <w:rPr>
                <w:rFonts w:ascii="Cambria Math" w:hAnsi="Cambria Math"/>
              </w:rPr>
              <m:t>E</m:t>
            </m:r>
          </m:e>
          <m:sub>
            <m:r>
              <w:rPr>
                <w:rFonts w:ascii="Cambria Math" w:hAnsi="Cambria Math"/>
              </w:rPr>
              <m:t>∞</m:t>
            </m:r>
          </m:sub>
        </m:sSub>
      </m:oMath>
      <w:r w:rsidRPr="007F0CBF">
        <w:t xml:space="preserve"> is the long-term elastic modulus, </w:t>
      </w:r>
      <m:oMath>
        <m:sSub>
          <m:sSubPr>
            <m:ctrlPr>
              <w:rPr>
                <w:rFonts w:ascii="Cambria Math" w:hAnsi="Cambria Math"/>
                <w:i/>
              </w:rPr>
            </m:ctrlPr>
          </m:sSubPr>
          <m:e>
            <m:r>
              <w:rPr>
                <w:rFonts w:ascii="Cambria Math" w:hAnsi="Cambria Math"/>
              </w:rPr>
              <m:t>E</m:t>
            </m:r>
          </m:e>
          <m:sub>
            <m:r>
              <w:rPr>
                <w:rFonts w:ascii="Cambria Math" w:hAnsi="Cambria Math"/>
              </w:rPr>
              <m:t>i</m:t>
            </m:r>
          </m:sub>
        </m:sSub>
      </m:oMath>
      <w:r w:rsidRPr="007F0CBF">
        <w:t xml:space="preserve"> is the elastic modulus associated with the relaxation time, and </w:t>
      </w:r>
      <m:oMath>
        <m:sSub>
          <m:sSubPr>
            <m:ctrlPr>
              <w:rPr>
                <w:rFonts w:ascii="Cambria Math" w:hAnsi="Cambria Math"/>
                <w:i/>
              </w:rPr>
            </m:ctrlPr>
          </m:sSubPr>
          <m:e>
            <m:r>
              <w:rPr>
                <w:rFonts w:ascii="Cambria Math" w:hAnsi="Cambria Math"/>
              </w:rPr>
              <m:t>τ</m:t>
            </m:r>
          </m:e>
          <m:sub>
            <m:r>
              <w:rPr>
                <w:rFonts w:ascii="Cambria Math" w:hAnsi="Cambria Math"/>
              </w:rPr>
              <m:t>i</m:t>
            </m:r>
          </m:sub>
        </m:sSub>
      </m:oMath>
      <w:r w:rsidRPr="007F0CBF">
        <w:t xml:space="preserve"> is the relaxation time. The </w:t>
      </w:r>
      <w:r>
        <w:t>materials was assessed using</w:t>
      </w:r>
      <w:r w:rsidRPr="007F0CBF">
        <w:t xml:space="preserve"> DMA </w:t>
      </w:r>
      <w:r>
        <w:t xml:space="preserve">and the results were used </w:t>
      </w:r>
      <w:r w:rsidRPr="007F0CBF">
        <w:t xml:space="preserve">to calibrate the viscoelastic parameters </w:t>
      </w:r>
      <m:oMath>
        <m:sSub>
          <m:sSubPr>
            <m:ctrlPr>
              <w:rPr>
                <w:rFonts w:ascii="Cambria Math" w:hAnsi="Cambria Math"/>
                <w:i/>
              </w:rPr>
            </m:ctrlPr>
          </m:sSubPr>
          <m:e>
            <m:r>
              <w:rPr>
                <w:rFonts w:ascii="Cambria Math" w:hAnsi="Cambria Math"/>
              </w:rPr>
              <m:t>E</m:t>
            </m:r>
          </m:e>
          <m:sub>
            <m:r>
              <w:rPr>
                <w:rFonts w:ascii="Cambria Math" w:hAnsi="Cambria Math"/>
              </w:rPr>
              <m:t>i</m:t>
            </m:r>
          </m:sub>
        </m:sSub>
      </m:oMath>
      <w:r w:rsidRPr="007F0CBF">
        <w:t xml:space="preserve"> and the relaxation time </w:t>
      </w:r>
      <m:oMath>
        <m:sSub>
          <m:sSubPr>
            <m:ctrlPr>
              <w:rPr>
                <w:rFonts w:ascii="Cambria Math" w:hAnsi="Cambria Math"/>
                <w:i/>
              </w:rPr>
            </m:ctrlPr>
          </m:sSubPr>
          <m:e>
            <m:r>
              <w:rPr>
                <w:rFonts w:ascii="Cambria Math" w:hAnsi="Cambria Math"/>
              </w:rPr>
              <m:t>τ</m:t>
            </m:r>
          </m:e>
          <m:sub>
            <m:r>
              <w:rPr>
                <w:rFonts w:ascii="Cambria Math" w:hAnsi="Cambria Math"/>
              </w:rPr>
              <m:t>i</m:t>
            </m:r>
          </m:sub>
        </m:sSub>
      </m:oMath>
      <w:r w:rsidRPr="007F0CBF">
        <w:t xml:space="preserve">. The values can be found in </w:t>
      </w:r>
      <w:r>
        <w:fldChar w:fldCharType="begin"/>
      </w:r>
      <w:r>
        <w:instrText xml:space="preserve"> REF _Ref170246483 \h </w:instrText>
      </w:r>
      <w:r w:rsidR="00BB4EEF">
        <w:instrText xml:space="preserve"> \* MERGEFORMAT </w:instrText>
      </w:r>
      <w:r>
        <w:fldChar w:fldCharType="separate"/>
      </w:r>
      <w:r w:rsidR="0095472F" w:rsidRPr="00BB4E19">
        <w:t xml:space="preserve">Table S - </w:t>
      </w:r>
      <w:r w:rsidR="0095472F">
        <w:rPr>
          <w:noProof/>
        </w:rPr>
        <w:t>2</w:t>
      </w:r>
      <w:r>
        <w:fldChar w:fldCharType="end"/>
      </w:r>
      <w:r w:rsidRPr="007F0CBF">
        <w:t>.</w:t>
      </w:r>
    </w:p>
    <w:p w14:paraId="6274A25C" w14:textId="77777777" w:rsidR="00A83058" w:rsidRPr="00BB4E19" w:rsidRDefault="00A83058" w:rsidP="00A83058">
      <w:pPr>
        <w:pStyle w:val="Table"/>
      </w:pPr>
      <w:bookmarkStart w:id="1" w:name="_Ref170246483"/>
      <w:r w:rsidRPr="00BB4E19">
        <w:t xml:space="preserve">Table S - </w:t>
      </w:r>
      <w:fldSimple w:instr=" SEQ Table_S_- \* ARABIC ">
        <w:r>
          <w:rPr>
            <w:noProof/>
          </w:rPr>
          <w:t>2</w:t>
        </w:r>
      </w:fldSimple>
      <w:bookmarkEnd w:id="1"/>
      <w:r w:rsidRPr="00BB4E19">
        <w:t xml:space="preserve">. Viscoelastic parameters and relaxation times for the characterisation of the mechanical properties of PVB. The instantaneous modulus </w:t>
      </w:r>
      <m:oMath>
        <m:sSub>
          <m:sSubPr>
            <m:ctrlPr>
              <w:rPr>
                <w:rFonts w:ascii="Cambria Math" w:hAnsi="Cambria Math"/>
              </w:rPr>
            </m:ctrlPr>
          </m:sSubPr>
          <m:e>
            <m:r>
              <w:rPr>
                <w:rFonts w:ascii="Cambria Math" w:hAnsi="Cambria Math"/>
              </w:rPr>
              <m:t>E</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m:rPr>
                <m:sty m:val="p"/>
              </m:rPr>
              <w:rPr>
                <w:rFonts w:ascii="Cambria Math" w:hAnsi="Cambria Math"/>
              </w:rPr>
              <m:t>∞</m:t>
            </m:r>
          </m:sub>
        </m:sSub>
        <m:r>
          <m:rPr>
            <m:sty m:val="p"/>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E</m:t>
                </m:r>
              </m:e>
              <m:sub>
                <m:r>
                  <w:rPr>
                    <w:rFonts w:ascii="Cambria Math" w:hAnsi="Cambria Math"/>
                  </w:rPr>
                  <m:t>i</m:t>
                </m:r>
              </m:sub>
            </m:sSub>
          </m:e>
        </m:nary>
      </m:oMath>
      <w:r w:rsidRPr="00BB4E19">
        <w:t xml:space="preserve"> and </w:t>
      </w:r>
      <m:oMath>
        <m:sSub>
          <m:sSubPr>
            <m:ctrlPr>
              <w:rPr>
                <w:rFonts w:ascii="Cambria Math" w:hAnsi="Cambria Math"/>
              </w:rPr>
            </m:ctrlPr>
          </m:sSubPr>
          <m:e>
            <m:r>
              <w:rPr>
                <w:rFonts w:ascii="Cambria Math" w:hAnsi="Cambria Math"/>
              </w:rPr>
              <m:t>E</m:t>
            </m:r>
          </m:e>
          <m:sub>
            <m:r>
              <m:rPr>
                <m:sty m:val="p"/>
              </m:rPr>
              <w:rPr>
                <w:rFonts w:ascii="Cambria Math" w:hAnsi="Cambria Math"/>
              </w:rPr>
              <m:t>∞</m:t>
            </m:r>
          </m:sub>
        </m:sSub>
        <m:r>
          <m:rPr>
            <m:sty m:val="p"/>
          </m:rPr>
          <w:rPr>
            <w:rFonts w:ascii="Cambria Math" w:hAnsi="Cambria Math"/>
          </w:rPr>
          <m:t>=0.5</m:t>
        </m:r>
        <m:r>
          <w:rPr>
            <w:rFonts w:ascii="Cambria Math" w:hAnsi="Cambria Math"/>
          </w:rPr>
          <m:t>MPa</m:t>
        </m:r>
        <m:r>
          <m:rPr>
            <m:sty m:val="p"/>
          </m:rPr>
          <w:rPr>
            <w:rFonts w:ascii="Cambria Math" w:hAnsi="Cambria Math"/>
          </w:rPr>
          <m:t>.</m:t>
        </m:r>
      </m:oMath>
    </w:p>
    <w:tbl>
      <w:tblPr>
        <w:tblStyle w:val="TableGrid"/>
        <w:tblW w:w="5415" w:type="dxa"/>
        <w:jc w:val="center"/>
        <w:tblLook w:val="04A0" w:firstRow="1" w:lastRow="0" w:firstColumn="1" w:lastColumn="0" w:noHBand="0" w:noVBand="1"/>
      </w:tblPr>
      <w:tblGrid>
        <w:gridCol w:w="465"/>
        <w:gridCol w:w="1080"/>
        <w:gridCol w:w="1125"/>
        <w:gridCol w:w="525"/>
        <w:gridCol w:w="1095"/>
        <w:gridCol w:w="1125"/>
      </w:tblGrid>
      <w:tr w:rsidR="00A83058" w:rsidRPr="007F0CBF" w14:paraId="2623A4C1" w14:textId="77777777" w:rsidTr="008117BF">
        <w:trPr>
          <w:trHeight w:val="300"/>
          <w:jc w:val="center"/>
        </w:trPr>
        <w:tc>
          <w:tcPr>
            <w:tcW w:w="465" w:type="dxa"/>
            <w:vAlign w:val="center"/>
          </w:tcPr>
          <w:p w14:paraId="2F859504" w14:textId="77777777" w:rsidR="00A83058" w:rsidRPr="007F0CBF" w:rsidRDefault="00A83058" w:rsidP="008117BF">
            <w:pPr>
              <w:jc w:val="center"/>
              <w:rPr>
                <w:sz w:val="20"/>
                <w:szCs w:val="20"/>
              </w:rPr>
            </w:pPr>
          </w:p>
        </w:tc>
        <w:tc>
          <w:tcPr>
            <w:tcW w:w="1080" w:type="dxa"/>
            <w:vAlign w:val="center"/>
          </w:tcPr>
          <w:p w14:paraId="32B27C04" w14:textId="77777777" w:rsidR="00A83058" w:rsidRPr="007F0CBF" w:rsidRDefault="00582A1B" w:rsidP="008117BF">
            <w:pPr>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0</m:t>
                    </m:r>
                  </m:sub>
                </m:sSub>
              </m:oMath>
            </m:oMathPara>
          </w:p>
        </w:tc>
        <w:tc>
          <w:tcPr>
            <w:tcW w:w="1125" w:type="dxa"/>
            <w:vAlign w:val="center"/>
          </w:tcPr>
          <w:p w14:paraId="044C7CD3" w14:textId="77777777" w:rsidR="00A83058" w:rsidRPr="007F0CBF" w:rsidRDefault="00582A1B" w:rsidP="008117BF">
            <w:pPr>
              <w:jc w:val="center"/>
              <w:rPr>
                <w:sz w:val="20"/>
                <w:szCs w:val="20"/>
              </w:rPr>
            </w:pPr>
            <m:oMathPara>
              <m:oMath>
                <m:sSub>
                  <m:sSubPr>
                    <m:ctrlPr>
                      <w:rPr>
                        <w:rFonts w:ascii="Cambria Math" w:hAnsi="Cambria Math"/>
                        <w:sz w:val="20"/>
                        <w:szCs w:val="20"/>
                      </w:rPr>
                    </m:ctrlPr>
                  </m:sSubPr>
                  <m:e>
                    <m:r>
                      <w:rPr>
                        <w:rFonts w:ascii="Cambria Math" w:hAnsi="Cambria Math"/>
                        <w:sz w:val="20"/>
                        <w:szCs w:val="20"/>
                      </w:rPr>
                      <m:t>τ</m:t>
                    </m:r>
                  </m:e>
                  <m:sub>
                    <m:r>
                      <w:rPr>
                        <w:rFonts w:ascii="Cambria Math" w:hAnsi="Cambria Math"/>
                        <w:sz w:val="20"/>
                        <w:szCs w:val="20"/>
                      </w:rPr>
                      <m:t>i</m:t>
                    </m:r>
                  </m:sub>
                </m:sSub>
              </m:oMath>
            </m:oMathPara>
          </w:p>
        </w:tc>
        <w:tc>
          <w:tcPr>
            <w:tcW w:w="525" w:type="dxa"/>
            <w:vAlign w:val="center"/>
          </w:tcPr>
          <w:p w14:paraId="055D5631" w14:textId="77777777" w:rsidR="00A83058" w:rsidRPr="007F0CBF" w:rsidRDefault="00A83058" w:rsidP="008117BF">
            <w:pPr>
              <w:jc w:val="center"/>
              <w:rPr>
                <w:rFonts w:ascii="Calibri Light" w:eastAsia="Times New Roman" w:hAnsi="Calibri Light" w:cs="Times New Roman"/>
                <w:sz w:val="20"/>
                <w:szCs w:val="20"/>
              </w:rPr>
            </w:pPr>
          </w:p>
        </w:tc>
        <w:tc>
          <w:tcPr>
            <w:tcW w:w="1095" w:type="dxa"/>
            <w:vAlign w:val="center"/>
          </w:tcPr>
          <w:p w14:paraId="68C0375E" w14:textId="77777777" w:rsidR="00A83058" w:rsidRPr="007F0CBF" w:rsidRDefault="00582A1B" w:rsidP="008117BF">
            <w:pPr>
              <w:jc w:val="center"/>
              <w:rPr>
                <w:rFonts w:ascii="Calibri Light" w:eastAsia="Times New Roman" w:hAnsi="Calibri Light" w:cs="Times New Roman"/>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0</m:t>
                    </m:r>
                  </m:sub>
                </m:sSub>
              </m:oMath>
            </m:oMathPara>
          </w:p>
        </w:tc>
        <w:tc>
          <w:tcPr>
            <w:tcW w:w="1125" w:type="dxa"/>
            <w:vAlign w:val="center"/>
          </w:tcPr>
          <w:p w14:paraId="3118F960" w14:textId="77777777" w:rsidR="00A83058" w:rsidRPr="007F0CBF" w:rsidRDefault="00582A1B" w:rsidP="008117BF">
            <w:pPr>
              <w:jc w:val="center"/>
              <w:rPr>
                <w:rFonts w:ascii="Calibri Light" w:eastAsia="Times New Roman" w:hAnsi="Calibri Light" w:cs="Times New Roman"/>
                <w:sz w:val="20"/>
                <w:szCs w:val="20"/>
              </w:rPr>
            </w:pPr>
            <m:oMathPara>
              <m:oMath>
                <m:sSub>
                  <m:sSubPr>
                    <m:ctrlPr>
                      <w:rPr>
                        <w:rFonts w:ascii="Cambria Math" w:hAnsi="Cambria Math"/>
                        <w:sz w:val="20"/>
                        <w:szCs w:val="20"/>
                      </w:rPr>
                    </m:ctrlPr>
                  </m:sSubPr>
                  <m:e>
                    <m:r>
                      <w:rPr>
                        <w:rFonts w:ascii="Cambria Math" w:hAnsi="Cambria Math"/>
                        <w:sz w:val="20"/>
                        <w:szCs w:val="20"/>
                      </w:rPr>
                      <m:t>τ</m:t>
                    </m:r>
                  </m:e>
                  <m:sub>
                    <m:r>
                      <w:rPr>
                        <w:rFonts w:ascii="Cambria Math" w:hAnsi="Cambria Math"/>
                        <w:sz w:val="20"/>
                        <w:szCs w:val="20"/>
                      </w:rPr>
                      <m:t>i</m:t>
                    </m:r>
                  </m:sub>
                </m:sSub>
              </m:oMath>
            </m:oMathPara>
          </w:p>
        </w:tc>
      </w:tr>
      <w:tr w:rsidR="00A83058" w:rsidRPr="007F0CBF" w14:paraId="6F9D5EB8" w14:textId="77777777" w:rsidTr="008117BF">
        <w:trPr>
          <w:trHeight w:val="300"/>
          <w:jc w:val="center"/>
        </w:trPr>
        <w:tc>
          <w:tcPr>
            <w:tcW w:w="465" w:type="dxa"/>
            <w:vAlign w:val="center"/>
          </w:tcPr>
          <w:p w14:paraId="40744187" w14:textId="77777777" w:rsidR="00A83058" w:rsidRPr="007F0CBF" w:rsidRDefault="00A83058" w:rsidP="008117BF">
            <w:pPr>
              <w:jc w:val="center"/>
              <w:rPr>
                <w:sz w:val="20"/>
                <w:szCs w:val="20"/>
              </w:rPr>
            </w:pPr>
            <w:r w:rsidRPr="007F0CBF">
              <w:rPr>
                <w:sz w:val="20"/>
                <w:szCs w:val="20"/>
              </w:rPr>
              <w:t>1</w:t>
            </w:r>
          </w:p>
        </w:tc>
        <w:tc>
          <w:tcPr>
            <w:tcW w:w="1080" w:type="dxa"/>
            <w:vAlign w:val="center"/>
          </w:tcPr>
          <w:p w14:paraId="4702A179" w14:textId="77777777" w:rsidR="00A83058" w:rsidRPr="007F0CBF" w:rsidRDefault="00A83058" w:rsidP="008117BF">
            <w:pPr>
              <w:jc w:val="center"/>
              <w:rPr>
                <w:rFonts w:cs="Calibri"/>
                <w:color w:val="000000" w:themeColor="text1"/>
                <w:sz w:val="20"/>
                <w:szCs w:val="20"/>
              </w:rPr>
            </w:pPr>
            <w:r w:rsidRPr="007F0CBF">
              <w:rPr>
                <w:rFonts w:cs="Calibri"/>
                <w:color w:val="000000" w:themeColor="text1"/>
                <w:sz w:val="20"/>
                <w:szCs w:val="20"/>
              </w:rPr>
              <w:t>3.72E-01</w:t>
            </w:r>
          </w:p>
        </w:tc>
        <w:tc>
          <w:tcPr>
            <w:tcW w:w="1125" w:type="dxa"/>
            <w:vAlign w:val="center"/>
          </w:tcPr>
          <w:p w14:paraId="4AF97918" w14:textId="77777777" w:rsidR="00A83058" w:rsidRPr="007F0CBF" w:rsidRDefault="00A83058" w:rsidP="008117BF">
            <w:pPr>
              <w:jc w:val="center"/>
              <w:rPr>
                <w:rFonts w:cs="Calibri"/>
                <w:color w:val="000000" w:themeColor="text1"/>
                <w:sz w:val="20"/>
                <w:szCs w:val="20"/>
              </w:rPr>
            </w:pPr>
            <w:r w:rsidRPr="007F0CBF">
              <w:rPr>
                <w:rFonts w:cs="Calibri"/>
                <w:color w:val="000000" w:themeColor="text1"/>
                <w:sz w:val="20"/>
                <w:szCs w:val="20"/>
              </w:rPr>
              <w:t>1.00E-09</w:t>
            </w:r>
          </w:p>
        </w:tc>
        <w:tc>
          <w:tcPr>
            <w:tcW w:w="525" w:type="dxa"/>
            <w:vAlign w:val="center"/>
          </w:tcPr>
          <w:p w14:paraId="5FA77B43" w14:textId="77777777" w:rsidR="00A83058" w:rsidRPr="007F0CBF" w:rsidRDefault="00A83058" w:rsidP="008117BF">
            <w:pPr>
              <w:jc w:val="center"/>
              <w:rPr>
                <w:rFonts w:cs="Calibri"/>
                <w:color w:val="000000"/>
                <w:sz w:val="20"/>
                <w:szCs w:val="20"/>
              </w:rPr>
            </w:pPr>
            <w:r w:rsidRPr="007F0CBF">
              <w:rPr>
                <w:sz w:val="20"/>
                <w:szCs w:val="20"/>
              </w:rPr>
              <w:t>9</w:t>
            </w:r>
          </w:p>
        </w:tc>
        <w:tc>
          <w:tcPr>
            <w:tcW w:w="1095" w:type="dxa"/>
            <w:vAlign w:val="center"/>
          </w:tcPr>
          <w:p w14:paraId="3730A89C" w14:textId="77777777" w:rsidR="00A83058" w:rsidRPr="007F0CBF" w:rsidRDefault="00A83058" w:rsidP="008117BF">
            <w:pPr>
              <w:jc w:val="center"/>
              <w:rPr>
                <w:rFonts w:cs="Calibri"/>
                <w:color w:val="000000"/>
                <w:sz w:val="20"/>
                <w:szCs w:val="20"/>
              </w:rPr>
            </w:pPr>
            <w:r w:rsidRPr="007F0CBF">
              <w:rPr>
                <w:rFonts w:cs="Calibri"/>
                <w:color w:val="000000" w:themeColor="text1"/>
                <w:sz w:val="20"/>
                <w:szCs w:val="20"/>
              </w:rPr>
              <w:t>6.38E-02</w:t>
            </w:r>
          </w:p>
        </w:tc>
        <w:tc>
          <w:tcPr>
            <w:tcW w:w="1125" w:type="dxa"/>
            <w:vAlign w:val="center"/>
          </w:tcPr>
          <w:p w14:paraId="60C13865" w14:textId="77777777" w:rsidR="00A83058" w:rsidRPr="007F0CBF" w:rsidRDefault="00A83058" w:rsidP="008117BF">
            <w:pPr>
              <w:jc w:val="center"/>
              <w:rPr>
                <w:rFonts w:cs="Calibri"/>
                <w:color w:val="000000"/>
                <w:sz w:val="20"/>
                <w:szCs w:val="20"/>
              </w:rPr>
            </w:pPr>
            <w:r w:rsidRPr="007F0CBF">
              <w:rPr>
                <w:rFonts w:cs="Calibri"/>
                <w:color w:val="000000" w:themeColor="text1"/>
                <w:sz w:val="20"/>
                <w:szCs w:val="20"/>
              </w:rPr>
              <w:t>1.00E-01</w:t>
            </w:r>
          </w:p>
        </w:tc>
      </w:tr>
      <w:tr w:rsidR="00A83058" w:rsidRPr="007F0CBF" w14:paraId="03DEF660" w14:textId="77777777" w:rsidTr="008117BF">
        <w:trPr>
          <w:trHeight w:val="300"/>
          <w:jc w:val="center"/>
        </w:trPr>
        <w:tc>
          <w:tcPr>
            <w:tcW w:w="465" w:type="dxa"/>
            <w:vAlign w:val="center"/>
          </w:tcPr>
          <w:p w14:paraId="0347A57E" w14:textId="77777777" w:rsidR="00A83058" w:rsidRPr="007F0CBF" w:rsidRDefault="00A83058" w:rsidP="008117BF">
            <w:pPr>
              <w:jc w:val="center"/>
              <w:rPr>
                <w:sz w:val="20"/>
                <w:szCs w:val="20"/>
              </w:rPr>
            </w:pPr>
            <w:r w:rsidRPr="007F0CBF">
              <w:rPr>
                <w:sz w:val="20"/>
                <w:szCs w:val="20"/>
              </w:rPr>
              <w:t>2</w:t>
            </w:r>
          </w:p>
        </w:tc>
        <w:tc>
          <w:tcPr>
            <w:tcW w:w="1080" w:type="dxa"/>
            <w:vAlign w:val="center"/>
          </w:tcPr>
          <w:p w14:paraId="6EA494EF" w14:textId="77777777" w:rsidR="00A83058" w:rsidRPr="007F0CBF" w:rsidRDefault="00A83058" w:rsidP="008117BF">
            <w:pPr>
              <w:jc w:val="center"/>
              <w:rPr>
                <w:rFonts w:cs="Calibri"/>
                <w:color w:val="000000" w:themeColor="text1"/>
                <w:sz w:val="20"/>
                <w:szCs w:val="20"/>
              </w:rPr>
            </w:pPr>
            <w:r w:rsidRPr="007F0CBF">
              <w:rPr>
                <w:rFonts w:cs="Calibri"/>
                <w:color w:val="000000" w:themeColor="text1"/>
                <w:sz w:val="20"/>
                <w:szCs w:val="20"/>
              </w:rPr>
              <w:t>1.43E-15</w:t>
            </w:r>
          </w:p>
        </w:tc>
        <w:tc>
          <w:tcPr>
            <w:tcW w:w="1125" w:type="dxa"/>
            <w:vAlign w:val="center"/>
          </w:tcPr>
          <w:p w14:paraId="3AF27D94" w14:textId="77777777" w:rsidR="00A83058" w:rsidRPr="007F0CBF" w:rsidRDefault="00A83058" w:rsidP="008117BF">
            <w:pPr>
              <w:jc w:val="center"/>
              <w:rPr>
                <w:rFonts w:cs="Calibri"/>
                <w:color w:val="000000" w:themeColor="text1"/>
                <w:sz w:val="20"/>
                <w:szCs w:val="20"/>
              </w:rPr>
            </w:pPr>
            <w:r w:rsidRPr="007F0CBF">
              <w:rPr>
                <w:rFonts w:cs="Calibri"/>
                <w:color w:val="000000" w:themeColor="text1"/>
                <w:sz w:val="20"/>
                <w:szCs w:val="20"/>
              </w:rPr>
              <w:t>1.00E-08</w:t>
            </w:r>
          </w:p>
        </w:tc>
        <w:tc>
          <w:tcPr>
            <w:tcW w:w="525" w:type="dxa"/>
            <w:vAlign w:val="center"/>
          </w:tcPr>
          <w:p w14:paraId="03C85EC7" w14:textId="77777777" w:rsidR="00A83058" w:rsidRPr="007F0CBF" w:rsidRDefault="00A83058" w:rsidP="008117BF">
            <w:pPr>
              <w:jc w:val="center"/>
              <w:rPr>
                <w:rFonts w:cs="Calibri"/>
                <w:color w:val="000000"/>
                <w:sz w:val="20"/>
                <w:szCs w:val="20"/>
              </w:rPr>
            </w:pPr>
            <w:r w:rsidRPr="007F0CBF">
              <w:rPr>
                <w:sz w:val="20"/>
                <w:szCs w:val="20"/>
              </w:rPr>
              <w:t>10</w:t>
            </w:r>
          </w:p>
        </w:tc>
        <w:tc>
          <w:tcPr>
            <w:tcW w:w="1095" w:type="dxa"/>
            <w:vAlign w:val="center"/>
          </w:tcPr>
          <w:p w14:paraId="38E89AC3" w14:textId="77777777" w:rsidR="00A83058" w:rsidRPr="007F0CBF" w:rsidRDefault="00A83058" w:rsidP="008117BF">
            <w:pPr>
              <w:jc w:val="center"/>
              <w:rPr>
                <w:rFonts w:cs="Calibri"/>
                <w:color w:val="000000"/>
                <w:sz w:val="20"/>
                <w:szCs w:val="20"/>
              </w:rPr>
            </w:pPr>
            <w:r w:rsidRPr="007F0CBF">
              <w:rPr>
                <w:rFonts w:cs="Calibri"/>
                <w:color w:val="000000" w:themeColor="text1"/>
                <w:sz w:val="20"/>
                <w:szCs w:val="20"/>
              </w:rPr>
              <w:t>4.07E-02</w:t>
            </w:r>
          </w:p>
        </w:tc>
        <w:tc>
          <w:tcPr>
            <w:tcW w:w="1125" w:type="dxa"/>
            <w:vAlign w:val="center"/>
          </w:tcPr>
          <w:p w14:paraId="4E85F398" w14:textId="77777777" w:rsidR="00A83058" w:rsidRPr="007F0CBF" w:rsidRDefault="00A83058" w:rsidP="008117BF">
            <w:pPr>
              <w:jc w:val="center"/>
              <w:rPr>
                <w:rFonts w:cs="Calibri"/>
                <w:color w:val="000000"/>
                <w:sz w:val="20"/>
                <w:szCs w:val="20"/>
              </w:rPr>
            </w:pPr>
            <w:r w:rsidRPr="007F0CBF">
              <w:rPr>
                <w:rFonts w:cs="Calibri"/>
                <w:color w:val="000000" w:themeColor="text1"/>
                <w:sz w:val="20"/>
                <w:szCs w:val="20"/>
              </w:rPr>
              <w:t>1.00E+00</w:t>
            </w:r>
          </w:p>
        </w:tc>
      </w:tr>
      <w:tr w:rsidR="00A83058" w:rsidRPr="007F0CBF" w14:paraId="4094AFBB" w14:textId="77777777" w:rsidTr="008117BF">
        <w:trPr>
          <w:trHeight w:val="300"/>
          <w:jc w:val="center"/>
        </w:trPr>
        <w:tc>
          <w:tcPr>
            <w:tcW w:w="465" w:type="dxa"/>
            <w:vAlign w:val="center"/>
          </w:tcPr>
          <w:p w14:paraId="1B9E606C" w14:textId="77777777" w:rsidR="00A83058" w:rsidRPr="007F0CBF" w:rsidRDefault="00A83058" w:rsidP="008117BF">
            <w:pPr>
              <w:jc w:val="center"/>
              <w:rPr>
                <w:sz w:val="20"/>
                <w:szCs w:val="20"/>
              </w:rPr>
            </w:pPr>
            <w:r w:rsidRPr="007F0CBF">
              <w:rPr>
                <w:sz w:val="20"/>
                <w:szCs w:val="20"/>
              </w:rPr>
              <w:t>3</w:t>
            </w:r>
          </w:p>
        </w:tc>
        <w:tc>
          <w:tcPr>
            <w:tcW w:w="1080" w:type="dxa"/>
            <w:vAlign w:val="center"/>
          </w:tcPr>
          <w:p w14:paraId="25E5D4C5" w14:textId="77777777" w:rsidR="00A83058" w:rsidRPr="007F0CBF" w:rsidRDefault="00A83058" w:rsidP="008117BF">
            <w:pPr>
              <w:jc w:val="center"/>
              <w:rPr>
                <w:rFonts w:cs="Calibri"/>
                <w:color w:val="000000" w:themeColor="text1"/>
                <w:sz w:val="20"/>
                <w:szCs w:val="20"/>
              </w:rPr>
            </w:pPr>
            <w:r w:rsidRPr="007F0CBF">
              <w:rPr>
                <w:rFonts w:cs="Calibri"/>
                <w:color w:val="000000" w:themeColor="text1"/>
                <w:sz w:val="20"/>
                <w:szCs w:val="20"/>
              </w:rPr>
              <w:t>9.15E-02</w:t>
            </w:r>
          </w:p>
        </w:tc>
        <w:tc>
          <w:tcPr>
            <w:tcW w:w="1125" w:type="dxa"/>
            <w:vAlign w:val="center"/>
          </w:tcPr>
          <w:p w14:paraId="7D20529E" w14:textId="77777777" w:rsidR="00A83058" w:rsidRPr="007F0CBF" w:rsidRDefault="00A83058" w:rsidP="008117BF">
            <w:pPr>
              <w:jc w:val="center"/>
              <w:rPr>
                <w:rFonts w:cs="Calibri"/>
                <w:color w:val="000000" w:themeColor="text1"/>
                <w:sz w:val="20"/>
                <w:szCs w:val="20"/>
              </w:rPr>
            </w:pPr>
            <w:r w:rsidRPr="007F0CBF">
              <w:rPr>
                <w:rFonts w:cs="Calibri"/>
                <w:color w:val="000000" w:themeColor="text1"/>
                <w:sz w:val="20"/>
                <w:szCs w:val="20"/>
              </w:rPr>
              <w:t>1.00E-07</w:t>
            </w:r>
          </w:p>
        </w:tc>
        <w:tc>
          <w:tcPr>
            <w:tcW w:w="525" w:type="dxa"/>
            <w:vAlign w:val="center"/>
          </w:tcPr>
          <w:p w14:paraId="5C0E7B6C" w14:textId="77777777" w:rsidR="00A83058" w:rsidRPr="007F0CBF" w:rsidRDefault="00A83058" w:rsidP="008117BF">
            <w:pPr>
              <w:jc w:val="center"/>
              <w:rPr>
                <w:rFonts w:cs="Calibri"/>
                <w:color w:val="000000"/>
                <w:sz w:val="20"/>
                <w:szCs w:val="20"/>
              </w:rPr>
            </w:pPr>
            <w:r w:rsidRPr="007F0CBF">
              <w:rPr>
                <w:sz w:val="20"/>
                <w:szCs w:val="20"/>
              </w:rPr>
              <w:t>11</w:t>
            </w:r>
          </w:p>
        </w:tc>
        <w:tc>
          <w:tcPr>
            <w:tcW w:w="1095" w:type="dxa"/>
            <w:vAlign w:val="center"/>
          </w:tcPr>
          <w:p w14:paraId="32A1BA2C" w14:textId="77777777" w:rsidR="00A83058" w:rsidRPr="007F0CBF" w:rsidRDefault="00A83058" w:rsidP="008117BF">
            <w:pPr>
              <w:jc w:val="center"/>
              <w:rPr>
                <w:rFonts w:cs="Calibri"/>
                <w:color w:val="000000"/>
                <w:sz w:val="20"/>
                <w:szCs w:val="20"/>
              </w:rPr>
            </w:pPr>
            <w:r w:rsidRPr="007F0CBF">
              <w:rPr>
                <w:rFonts w:cs="Calibri"/>
                <w:color w:val="000000" w:themeColor="text1"/>
                <w:sz w:val="20"/>
                <w:szCs w:val="20"/>
              </w:rPr>
              <w:t>1.54E-02</w:t>
            </w:r>
          </w:p>
        </w:tc>
        <w:tc>
          <w:tcPr>
            <w:tcW w:w="1125" w:type="dxa"/>
            <w:vAlign w:val="center"/>
          </w:tcPr>
          <w:p w14:paraId="016FFEF5" w14:textId="77777777" w:rsidR="00A83058" w:rsidRPr="007F0CBF" w:rsidRDefault="00A83058" w:rsidP="008117BF">
            <w:pPr>
              <w:jc w:val="center"/>
              <w:rPr>
                <w:rFonts w:cs="Calibri"/>
                <w:color w:val="000000"/>
                <w:sz w:val="20"/>
                <w:szCs w:val="20"/>
              </w:rPr>
            </w:pPr>
            <w:r w:rsidRPr="007F0CBF">
              <w:rPr>
                <w:rFonts w:cs="Calibri"/>
                <w:color w:val="000000" w:themeColor="text1"/>
                <w:sz w:val="20"/>
                <w:szCs w:val="20"/>
              </w:rPr>
              <w:t>1.00E+01</w:t>
            </w:r>
          </w:p>
        </w:tc>
      </w:tr>
      <w:tr w:rsidR="00A83058" w:rsidRPr="007F0CBF" w14:paraId="4F99D7F3" w14:textId="77777777" w:rsidTr="008117BF">
        <w:trPr>
          <w:trHeight w:val="300"/>
          <w:jc w:val="center"/>
        </w:trPr>
        <w:tc>
          <w:tcPr>
            <w:tcW w:w="465" w:type="dxa"/>
            <w:vAlign w:val="center"/>
          </w:tcPr>
          <w:p w14:paraId="232671A7" w14:textId="77777777" w:rsidR="00A83058" w:rsidRPr="007F0CBF" w:rsidRDefault="00A83058" w:rsidP="008117BF">
            <w:pPr>
              <w:jc w:val="center"/>
              <w:rPr>
                <w:sz w:val="20"/>
                <w:szCs w:val="20"/>
              </w:rPr>
            </w:pPr>
            <w:r w:rsidRPr="007F0CBF">
              <w:rPr>
                <w:sz w:val="20"/>
                <w:szCs w:val="20"/>
              </w:rPr>
              <w:t>4</w:t>
            </w:r>
          </w:p>
        </w:tc>
        <w:tc>
          <w:tcPr>
            <w:tcW w:w="1080" w:type="dxa"/>
            <w:vAlign w:val="center"/>
          </w:tcPr>
          <w:p w14:paraId="14E2D502" w14:textId="77777777" w:rsidR="00A83058" w:rsidRPr="007F0CBF" w:rsidRDefault="00A83058" w:rsidP="008117BF">
            <w:pPr>
              <w:jc w:val="center"/>
              <w:rPr>
                <w:sz w:val="20"/>
                <w:szCs w:val="20"/>
              </w:rPr>
            </w:pPr>
            <w:r w:rsidRPr="007F0CBF">
              <w:rPr>
                <w:rFonts w:cs="Calibri"/>
                <w:color w:val="000000" w:themeColor="text1"/>
                <w:sz w:val="20"/>
                <w:szCs w:val="20"/>
              </w:rPr>
              <w:t>7.18E-02</w:t>
            </w:r>
          </w:p>
        </w:tc>
        <w:tc>
          <w:tcPr>
            <w:tcW w:w="1125" w:type="dxa"/>
            <w:vAlign w:val="center"/>
          </w:tcPr>
          <w:p w14:paraId="5D127030" w14:textId="77777777" w:rsidR="00A83058" w:rsidRPr="007F0CBF" w:rsidRDefault="00A83058" w:rsidP="008117BF">
            <w:pPr>
              <w:jc w:val="center"/>
              <w:rPr>
                <w:sz w:val="20"/>
                <w:szCs w:val="20"/>
              </w:rPr>
            </w:pPr>
            <w:r w:rsidRPr="007F0CBF">
              <w:rPr>
                <w:rFonts w:cs="Calibri"/>
                <w:color w:val="000000" w:themeColor="text1"/>
                <w:sz w:val="20"/>
                <w:szCs w:val="20"/>
              </w:rPr>
              <w:t>1.00E-06</w:t>
            </w:r>
          </w:p>
        </w:tc>
        <w:tc>
          <w:tcPr>
            <w:tcW w:w="525" w:type="dxa"/>
            <w:vAlign w:val="center"/>
          </w:tcPr>
          <w:p w14:paraId="2766BFB3" w14:textId="77777777" w:rsidR="00A83058" w:rsidRPr="007F0CBF" w:rsidRDefault="00A83058" w:rsidP="008117BF">
            <w:pPr>
              <w:jc w:val="center"/>
              <w:rPr>
                <w:rFonts w:cs="Calibri"/>
                <w:color w:val="000000"/>
                <w:sz w:val="20"/>
                <w:szCs w:val="20"/>
              </w:rPr>
            </w:pPr>
            <w:r w:rsidRPr="007F0CBF">
              <w:rPr>
                <w:sz w:val="20"/>
                <w:szCs w:val="20"/>
              </w:rPr>
              <w:t>12</w:t>
            </w:r>
          </w:p>
        </w:tc>
        <w:tc>
          <w:tcPr>
            <w:tcW w:w="1095" w:type="dxa"/>
            <w:vAlign w:val="center"/>
          </w:tcPr>
          <w:p w14:paraId="2BD4FCD6" w14:textId="77777777" w:rsidR="00A83058" w:rsidRPr="007F0CBF" w:rsidRDefault="00A83058" w:rsidP="008117BF">
            <w:pPr>
              <w:jc w:val="center"/>
              <w:rPr>
                <w:rFonts w:cs="Calibri"/>
                <w:color w:val="000000"/>
                <w:sz w:val="20"/>
                <w:szCs w:val="20"/>
              </w:rPr>
            </w:pPr>
            <w:r w:rsidRPr="007F0CBF">
              <w:rPr>
                <w:rFonts w:cs="Calibri"/>
                <w:color w:val="000000" w:themeColor="text1"/>
                <w:sz w:val="20"/>
                <w:szCs w:val="20"/>
              </w:rPr>
              <w:t>5.26E-03</w:t>
            </w:r>
          </w:p>
        </w:tc>
        <w:tc>
          <w:tcPr>
            <w:tcW w:w="1125" w:type="dxa"/>
            <w:vAlign w:val="center"/>
          </w:tcPr>
          <w:p w14:paraId="24F46A2C" w14:textId="77777777" w:rsidR="00A83058" w:rsidRPr="007F0CBF" w:rsidRDefault="00A83058" w:rsidP="008117BF">
            <w:pPr>
              <w:jc w:val="center"/>
              <w:rPr>
                <w:rFonts w:cs="Calibri"/>
                <w:color w:val="000000"/>
                <w:sz w:val="20"/>
                <w:szCs w:val="20"/>
              </w:rPr>
            </w:pPr>
            <w:r w:rsidRPr="007F0CBF">
              <w:rPr>
                <w:rFonts w:cs="Calibri"/>
                <w:color w:val="000000" w:themeColor="text1"/>
                <w:sz w:val="20"/>
                <w:szCs w:val="20"/>
              </w:rPr>
              <w:t>1.00E+02</w:t>
            </w:r>
          </w:p>
        </w:tc>
      </w:tr>
      <w:tr w:rsidR="00A83058" w:rsidRPr="007F0CBF" w14:paraId="05880353" w14:textId="77777777" w:rsidTr="008117BF">
        <w:trPr>
          <w:trHeight w:val="300"/>
          <w:jc w:val="center"/>
        </w:trPr>
        <w:tc>
          <w:tcPr>
            <w:tcW w:w="465" w:type="dxa"/>
            <w:vAlign w:val="center"/>
          </w:tcPr>
          <w:p w14:paraId="5BFE676F" w14:textId="77777777" w:rsidR="00A83058" w:rsidRPr="007F0CBF" w:rsidRDefault="00A83058" w:rsidP="008117BF">
            <w:pPr>
              <w:jc w:val="center"/>
              <w:rPr>
                <w:sz w:val="20"/>
                <w:szCs w:val="20"/>
              </w:rPr>
            </w:pPr>
            <w:r w:rsidRPr="007F0CBF">
              <w:rPr>
                <w:sz w:val="20"/>
                <w:szCs w:val="20"/>
              </w:rPr>
              <w:t>5</w:t>
            </w:r>
          </w:p>
        </w:tc>
        <w:tc>
          <w:tcPr>
            <w:tcW w:w="1080" w:type="dxa"/>
            <w:vAlign w:val="center"/>
          </w:tcPr>
          <w:p w14:paraId="49D2E537" w14:textId="77777777" w:rsidR="00A83058" w:rsidRPr="007F0CBF" w:rsidRDefault="00A83058" w:rsidP="008117BF">
            <w:pPr>
              <w:jc w:val="center"/>
              <w:rPr>
                <w:sz w:val="20"/>
                <w:szCs w:val="20"/>
              </w:rPr>
            </w:pPr>
            <w:r w:rsidRPr="007F0CBF">
              <w:rPr>
                <w:rFonts w:cs="Calibri"/>
                <w:color w:val="000000" w:themeColor="text1"/>
                <w:sz w:val="20"/>
                <w:szCs w:val="20"/>
              </w:rPr>
              <w:t>7.97E-02</w:t>
            </w:r>
          </w:p>
        </w:tc>
        <w:tc>
          <w:tcPr>
            <w:tcW w:w="1125" w:type="dxa"/>
            <w:vAlign w:val="center"/>
          </w:tcPr>
          <w:p w14:paraId="3AB04B4B" w14:textId="77777777" w:rsidR="00A83058" w:rsidRPr="007F0CBF" w:rsidRDefault="00A83058" w:rsidP="008117BF">
            <w:pPr>
              <w:jc w:val="center"/>
              <w:rPr>
                <w:sz w:val="20"/>
                <w:szCs w:val="20"/>
              </w:rPr>
            </w:pPr>
            <w:r w:rsidRPr="007F0CBF">
              <w:rPr>
                <w:rFonts w:cs="Calibri"/>
                <w:color w:val="000000" w:themeColor="text1"/>
                <w:sz w:val="20"/>
                <w:szCs w:val="20"/>
              </w:rPr>
              <w:t>1.00E-05</w:t>
            </w:r>
          </w:p>
        </w:tc>
        <w:tc>
          <w:tcPr>
            <w:tcW w:w="525" w:type="dxa"/>
            <w:vAlign w:val="center"/>
          </w:tcPr>
          <w:p w14:paraId="18454DB2" w14:textId="77777777" w:rsidR="00A83058" w:rsidRPr="007F0CBF" w:rsidRDefault="00A83058" w:rsidP="008117BF">
            <w:pPr>
              <w:jc w:val="center"/>
              <w:rPr>
                <w:rFonts w:cs="Calibri"/>
                <w:color w:val="000000"/>
                <w:sz w:val="20"/>
                <w:szCs w:val="20"/>
              </w:rPr>
            </w:pPr>
            <w:r w:rsidRPr="007F0CBF">
              <w:rPr>
                <w:sz w:val="20"/>
                <w:szCs w:val="20"/>
              </w:rPr>
              <w:t>13</w:t>
            </w:r>
          </w:p>
        </w:tc>
        <w:tc>
          <w:tcPr>
            <w:tcW w:w="1095" w:type="dxa"/>
            <w:vAlign w:val="center"/>
          </w:tcPr>
          <w:p w14:paraId="35C26A26" w14:textId="77777777" w:rsidR="00A83058" w:rsidRPr="007F0CBF" w:rsidRDefault="00A83058" w:rsidP="008117BF">
            <w:pPr>
              <w:jc w:val="center"/>
              <w:rPr>
                <w:rFonts w:cs="Calibri"/>
                <w:color w:val="000000"/>
                <w:sz w:val="20"/>
                <w:szCs w:val="20"/>
              </w:rPr>
            </w:pPr>
            <w:r w:rsidRPr="007F0CBF">
              <w:rPr>
                <w:rFonts w:cs="Calibri"/>
                <w:color w:val="000000" w:themeColor="text1"/>
                <w:sz w:val="20"/>
                <w:szCs w:val="20"/>
              </w:rPr>
              <w:t>6.04E-04</w:t>
            </w:r>
          </w:p>
        </w:tc>
        <w:tc>
          <w:tcPr>
            <w:tcW w:w="1125" w:type="dxa"/>
            <w:vAlign w:val="center"/>
          </w:tcPr>
          <w:p w14:paraId="7E6F0E64" w14:textId="77777777" w:rsidR="00A83058" w:rsidRPr="007F0CBF" w:rsidRDefault="00A83058" w:rsidP="008117BF">
            <w:pPr>
              <w:jc w:val="center"/>
              <w:rPr>
                <w:rFonts w:cs="Calibri"/>
                <w:color w:val="000000"/>
                <w:sz w:val="20"/>
                <w:szCs w:val="20"/>
              </w:rPr>
            </w:pPr>
            <w:r w:rsidRPr="007F0CBF">
              <w:rPr>
                <w:rFonts w:cs="Calibri"/>
                <w:color w:val="000000" w:themeColor="text1"/>
                <w:sz w:val="20"/>
                <w:szCs w:val="20"/>
              </w:rPr>
              <w:t>1.00E+03</w:t>
            </w:r>
          </w:p>
        </w:tc>
      </w:tr>
      <w:tr w:rsidR="00A83058" w:rsidRPr="007F0CBF" w14:paraId="52666B0B" w14:textId="77777777" w:rsidTr="008117BF">
        <w:trPr>
          <w:trHeight w:val="300"/>
          <w:jc w:val="center"/>
        </w:trPr>
        <w:tc>
          <w:tcPr>
            <w:tcW w:w="465" w:type="dxa"/>
            <w:vAlign w:val="center"/>
          </w:tcPr>
          <w:p w14:paraId="4DF43755" w14:textId="77777777" w:rsidR="00A83058" w:rsidRPr="007F0CBF" w:rsidRDefault="00A83058" w:rsidP="008117BF">
            <w:pPr>
              <w:jc w:val="center"/>
              <w:rPr>
                <w:sz w:val="20"/>
                <w:szCs w:val="20"/>
              </w:rPr>
            </w:pPr>
            <w:r w:rsidRPr="007F0CBF">
              <w:rPr>
                <w:sz w:val="20"/>
                <w:szCs w:val="20"/>
              </w:rPr>
              <w:t>6</w:t>
            </w:r>
          </w:p>
        </w:tc>
        <w:tc>
          <w:tcPr>
            <w:tcW w:w="1080" w:type="dxa"/>
            <w:vAlign w:val="center"/>
          </w:tcPr>
          <w:p w14:paraId="2CFB89DA" w14:textId="77777777" w:rsidR="00A83058" w:rsidRPr="007F0CBF" w:rsidRDefault="00A83058" w:rsidP="008117BF">
            <w:pPr>
              <w:jc w:val="center"/>
              <w:rPr>
                <w:sz w:val="20"/>
                <w:szCs w:val="20"/>
              </w:rPr>
            </w:pPr>
            <w:r w:rsidRPr="007F0CBF">
              <w:rPr>
                <w:rFonts w:cs="Calibri"/>
                <w:color w:val="000000" w:themeColor="text1"/>
                <w:sz w:val="20"/>
                <w:szCs w:val="20"/>
              </w:rPr>
              <w:t>8.52E-02</w:t>
            </w:r>
          </w:p>
        </w:tc>
        <w:tc>
          <w:tcPr>
            <w:tcW w:w="1125" w:type="dxa"/>
            <w:vAlign w:val="center"/>
          </w:tcPr>
          <w:p w14:paraId="48E43F18" w14:textId="77777777" w:rsidR="00A83058" w:rsidRPr="007F0CBF" w:rsidRDefault="00A83058" w:rsidP="008117BF">
            <w:pPr>
              <w:jc w:val="center"/>
              <w:rPr>
                <w:sz w:val="20"/>
                <w:szCs w:val="20"/>
              </w:rPr>
            </w:pPr>
            <w:r w:rsidRPr="007F0CBF">
              <w:rPr>
                <w:rFonts w:cs="Calibri"/>
                <w:color w:val="000000" w:themeColor="text1"/>
                <w:sz w:val="20"/>
                <w:szCs w:val="20"/>
              </w:rPr>
              <w:t>1.00E-04</w:t>
            </w:r>
          </w:p>
        </w:tc>
        <w:tc>
          <w:tcPr>
            <w:tcW w:w="525" w:type="dxa"/>
            <w:vAlign w:val="center"/>
          </w:tcPr>
          <w:p w14:paraId="77555FD2" w14:textId="77777777" w:rsidR="00A83058" w:rsidRPr="007F0CBF" w:rsidRDefault="00A83058" w:rsidP="008117BF">
            <w:pPr>
              <w:jc w:val="center"/>
              <w:rPr>
                <w:rFonts w:cs="Calibri"/>
                <w:color w:val="000000"/>
                <w:sz w:val="20"/>
                <w:szCs w:val="20"/>
              </w:rPr>
            </w:pPr>
            <w:r w:rsidRPr="007F0CBF">
              <w:rPr>
                <w:sz w:val="20"/>
                <w:szCs w:val="20"/>
              </w:rPr>
              <w:t>14</w:t>
            </w:r>
          </w:p>
        </w:tc>
        <w:tc>
          <w:tcPr>
            <w:tcW w:w="1095" w:type="dxa"/>
            <w:vAlign w:val="center"/>
          </w:tcPr>
          <w:p w14:paraId="2149EEE8" w14:textId="77777777" w:rsidR="00A83058" w:rsidRPr="007F0CBF" w:rsidRDefault="00A83058" w:rsidP="008117BF">
            <w:pPr>
              <w:jc w:val="center"/>
              <w:rPr>
                <w:rFonts w:cs="Calibri"/>
                <w:color w:val="000000"/>
                <w:sz w:val="20"/>
                <w:szCs w:val="20"/>
              </w:rPr>
            </w:pPr>
            <w:r w:rsidRPr="007F0CBF">
              <w:rPr>
                <w:rFonts w:cs="Calibri"/>
                <w:color w:val="000000" w:themeColor="text1"/>
                <w:sz w:val="20"/>
                <w:szCs w:val="20"/>
              </w:rPr>
              <w:t>3.74E-04</w:t>
            </w:r>
          </w:p>
        </w:tc>
        <w:tc>
          <w:tcPr>
            <w:tcW w:w="1125" w:type="dxa"/>
            <w:vAlign w:val="center"/>
          </w:tcPr>
          <w:p w14:paraId="2C5EF840" w14:textId="77777777" w:rsidR="00A83058" w:rsidRPr="007F0CBF" w:rsidRDefault="00A83058" w:rsidP="008117BF">
            <w:pPr>
              <w:jc w:val="center"/>
              <w:rPr>
                <w:rFonts w:cs="Calibri"/>
                <w:color w:val="000000"/>
                <w:sz w:val="20"/>
                <w:szCs w:val="20"/>
              </w:rPr>
            </w:pPr>
            <w:r w:rsidRPr="007F0CBF">
              <w:rPr>
                <w:rFonts w:cs="Calibri"/>
                <w:color w:val="000000" w:themeColor="text1"/>
                <w:sz w:val="20"/>
                <w:szCs w:val="20"/>
              </w:rPr>
              <w:t>1.00E+04</w:t>
            </w:r>
          </w:p>
        </w:tc>
      </w:tr>
      <w:tr w:rsidR="00A83058" w:rsidRPr="007F0CBF" w14:paraId="44267AE9" w14:textId="77777777" w:rsidTr="008117BF">
        <w:trPr>
          <w:trHeight w:val="300"/>
          <w:jc w:val="center"/>
        </w:trPr>
        <w:tc>
          <w:tcPr>
            <w:tcW w:w="465" w:type="dxa"/>
            <w:vAlign w:val="center"/>
          </w:tcPr>
          <w:p w14:paraId="3E255CE3" w14:textId="77777777" w:rsidR="00A83058" w:rsidRPr="007F0CBF" w:rsidRDefault="00A83058" w:rsidP="008117BF">
            <w:pPr>
              <w:jc w:val="center"/>
              <w:rPr>
                <w:sz w:val="20"/>
                <w:szCs w:val="20"/>
              </w:rPr>
            </w:pPr>
            <w:r w:rsidRPr="007F0CBF">
              <w:rPr>
                <w:sz w:val="20"/>
                <w:szCs w:val="20"/>
              </w:rPr>
              <w:t>7</w:t>
            </w:r>
          </w:p>
        </w:tc>
        <w:tc>
          <w:tcPr>
            <w:tcW w:w="1080" w:type="dxa"/>
            <w:vAlign w:val="center"/>
          </w:tcPr>
          <w:p w14:paraId="3A694CC7" w14:textId="77777777" w:rsidR="00A83058" w:rsidRPr="007F0CBF" w:rsidRDefault="00A83058" w:rsidP="008117BF">
            <w:pPr>
              <w:jc w:val="center"/>
              <w:rPr>
                <w:sz w:val="20"/>
                <w:szCs w:val="20"/>
              </w:rPr>
            </w:pPr>
            <w:r w:rsidRPr="007F0CBF">
              <w:rPr>
                <w:rFonts w:cs="Calibri"/>
                <w:color w:val="000000" w:themeColor="text1"/>
                <w:sz w:val="20"/>
                <w:szCs w:val="20"/>
              </w:rPr>
              <w:t>8.98E-02</w:t>
            </w:r>
          </w:p>
        </w:tc>
        <w:tc>
          <w:tcPr>
            <w:tcW w:w="1125" w:type="dxa"/>
            <w:vAlign w:val="center"/>
          </w:tcPr>
          <w:p w14:paraId="74B33FBD" w14:textId="77777777" w:rsidR="00A83058" w:rsidRPr="007F0CBF" w:rsidRDefault="00A83058" w:rsidP="008117BF">
            <w:pPr>
              <w:jc w:val="center"/>
              <w:rPr>
                <w:sz w:val="20"/>
                <w:szCs w:val="20"/>
              </w:rPr>
            </w:pPr>
            <w:r w:rsidRPr="007F0CBF">
              <w:rPr>
                <w:rFonts w:cs="Calibri"/>
                <w:color w:val="000000" w:themeColor="text1"/>
                <w:sz w:val="20"/>
                <w:szCs w:val="20"/>
              </w:rPr>
              <w:t>1.00E-03</w:t>
            </w:r>
          </w:p>
        </w:tc>
        <w:tc>
          <w:tcPr>
            <w:tcW w:w="525" w:type="dxa"/>
            <w:vAlign w:val="center"/>
          </w:tcPr>
          <w:p w14:paraId="1BA12083" w14:textId="77777777" w:rsidR="00A83058" w:rsidRPr="007F0CBF" w:rsidRDefault="00A83058" w:rsidP="008117BF">
            <w:pPr>
              <w:jc w:val="center"/>
              <w:rPr>
                <w:rFonts w:cs="Calibri"/>
                <w:color w:val="000000"/>
                <w:sz w:val="20"/>
                <w:szCs w:val="20"/>
              </w:rPr>
            </w:pPr>
            <w:r w:rsidRPr="007F0CBF">
              <w:rPr>
                <w:sz w:val="20"/>
                <w:szCs w:val="20"/>
              </w:rPr>
              <w:t>15</w:t>
            </w:r>
          </w:p>
        </w:tc>
        <w:tc>
          <w:tcPr>
            <w:tcW w:w="1095" w:type="dxa"/>
            <w:vAlign w:val="center"/>
          </w:tcPr>
          <w:p w14:paraId="0F68F5F8" w14:textId="77777777" w:rsidR="00A83058" w:rsidRPr="007F0CBF" w:rsidRDefault="00A83058" w:rsidP="008117BF">
            <w:pPr>
              <w:jc w:val="center"/>
              <w:rPr>
                <w:rFonts w:cs="Calibri"/>
                <w:color w:val="000000"/>
                <w:sz w:val="20"/>
                <w:szCs w:val="20"/>
              </w:rPr>
            </w:pPr>
            <w:r w:rsidRPr="007F0CBF">
              <w:rPr>
                <w:rFonts w:cs="Calibri"/>
                <w:color w:val="000000" w:themeColor="text1"/>
                <w:sz w:val="20"/>
                <w:szCs w:val="20"/>
              </w:rPr>
              <w:t>1.94E-04</w:t>
            </w:r>
          </w:p>
        </w:tc>
        <w:tc>
          <w:tcPr>
            <w:tcW w:w="1125" w:type="dxa"/>
            <w:vAlign w:val="center"/>
          </w:tcPr>
          <w:p w14:paraId="48B0DD4C" w14:textId="77777777" w:rsidR="00A83058" w:rsidRPr="007F0CBF" w:rsidRDefault="00A83058" w:rsidP="008117BF">
            <w:pPr>
              <w:jc w:val="center"/>
              <w:rPr>
                <w:rFonts w:cs="Calibri"/>
                <w:color w:val="000000"/>
                <w:sz w:val="20"/>
                <w:szCs w:val="20"/>
              </w:rPr>
            </w:pPr>
            <w:r w:rsidRPr="007F0CBF">
              <w:rPr>
                <w:rFonts w:cs="Calibri"/>
                <w:color w:val="000000" w:themeColor="text1"/>
                <w:sz w:val="20"/>
                <w:szCs w:val="20"/>
              </w:rPr>
              <w:t>1.00E+05</w:t>
            </w:r>
          </w:p>
        </w:tc>
      </w:tr>
      <w:tr w:rsidR="00A83058" w:rsidRPr="007F0CBF" w14:paraId="1019A81E" w14:textId="77777777" w:rsidTr="008117BF">
        <w:trPr>
          <w:trHeight w:val="300"/>
          <w:jc w:val="center"/>
        </w:trPr>
        <w:tc>
          <w:tcPr>
            <w:tcW w:w="465" w:type="dxa"/>
            <w:vAlign w:val="center"/>
          </w:tcPr>
          <w:p w14:paraId="13460F5E" w14:textId="77777777" w:rsidR="00A83058" w:rsidRPr="007F0CBF" w:rsidRDefault="00A83058" w:rsidP="008117BF">
            <w:pPr>
              <w:jc w:val="center"/>
              <w:rPr>
                <w:sz w:val="20"/>
                <w:szCs w:val="20"/>
              </w:rPr>
            </w:pPr>
            <w:r w:rsidRPr="007F0CBF">
              <w:rPr>
                <w:sz w:val="20"/>
                <w:szCs w:val="20"/>
              </w:rPr>
              <w:t>8</w:t>
            </w:r>
          </w:p>
        </w:tc>
        <w:tc>
          <w:tcPr>
            <w:tcW w:w="1080" w:type="dxa"/>
            <w:vAlign w:val="center"/>
          </w:tcPr>
          <w:p w14:paraId="01C85102" w14:textId="77777777" w:rsidR="00A83058" w:rsidRPr="007F0CBF" w:rsidRDefault="00A83058" w:rsidP="008117BF">
            <w:pPr>
              <w:jc w:val="center"/>
              <w:rPr>
                <w:sz w:val="20"/>
                <w:szCs w:val="20"/>
              </w:rPr>
            </w:pPr>
            <w:r w:rsidRPr="007F0CBF">
              <w:rPr>
                <w:rFonts w:cs="Calibri"/>
                <w:color w:val="000000" w:themeColor="text1"/>
                <w:sz w:val="20"/>
                <w:szCs w:val="20"/>
              </w:rPr>
              <w:t>8.33E-02</w:t>
            </w:r>
          </w:p>
        </w:tc>
        <w:tc>
          <w:tcPr>
            <w:tcW w:w="1125" w:type="dxa"/>
            <w:vAlign w:val="center"/>
          </w:tcPr>
          <w:p w14:paraId="7CD8749E" w14:textId="77777777" w:rsidR="00A83058" w:rsidRPr="007F0CBF" w:rsidRDefault="00A83058" w:rsidP="008117BF">
            <w:pPr>
              <w:jc w:val="center"/>
              <w:rPr>
                <w:sz w:val="20"/>
                <w:szCs w:val="20"/>
              </w:rPr>
            </w:pPr>
            <w:r w:rsidRPr="007F0CBF">
              <w:rPr>
                <w:rFonts w:cs="Calibri"/>
                <w:color w:val="000000" w:themeColor="text1"/>
                <w:sz w:val="20"/>
                <w:szCs w:val="20"/>
              </w:rPr>
              <w:t>1.00E-02</w:t>
            </w:r>
          </w:p>
        </w:tc>
        <w:tc>
          <w:tcPr>
            <w:tcW w:w="525" w:type="dxa"/>
            <w:vAlign w:val="center"/>
          </w:tcPr>
          <w:p w14:paraId="16FEC8C4" w14:textId="77777777" w:rsidR="00A83058" w:rsidRPr="007F0CBF" w:rsidRDefault="00A83058" w:rsidP="008117BF">
            <w:pPr>
              <w:jc w:val="center"/>
              <w:rPr>
                <w:rFonts w:cs="Calibri"/>
                <w:color w:val="000000"/>
                <w:sz w:val="20"/>
                <w:szCs w:val="20"/>
              </w:rPr>
            </w:pPr>
            <w:r w:rsidRPr="007F0CBF">
              <w:rPr>
                <w:rFonts w:cs="Calibri"/>
                <w:color w:val="000000" w:themeColor="text1"/>
                <w:sz w:val="20"/>
                <w:szCs w:val="20"/>
              </w:rPr>
              <w:t>16</w:t>
            </w:r>
          </w:p>
        </w:tc>
        <w:tc>
          <w:tcPr>
            <w:tcW w:w="1095" w:type="dxa"/>
            <w:vAlign w:val="center"/>
          </w:tcPr>
          <w:p w14:paraId="4768B8E1" w14:textId="77777777" w:rsidR="00A83058" w:rsidRPr="007F0CBF" w:rsidRDefault="00A83058" w:rsidP="008117BF">
            <w:pPr>
              <w:jc w:val="center"/>
              <w:rPr>
                <w:rFonts w:cs="Calibri"/>
                <w:color w:val="000000"/>
                <w:sz w:val="20"/>
                <w:szCs w:val="20"/>
              </w:rPr>
            </w:pPr>
            <w:r w:rsidRPr="007F0CBF">
              <w:rPr>
                <w:rFonts w:cs="Calibri"/>
                <w:color w:val="000000" w:themeColor="text1"/>
                <w:sz w:val="20"/>
                <w:szCs w:val="20"/>
              </w:rPr>
              <w:t>2.29E-04</w:t>
            </w:r>
          </w:p>
        </w:tc>
        <w:tc>
          <w:tcPr>
            <w:tcW w:w="1125" w:type="dxa"/>
            <w:vAlign w:val="center"/>
          </w:tcPr>
          <w:p w14:paraId="178979FD" w14:textId="77777777" w:rsidR="00A83058" w:rsidRPr="007F0CBF" w:rsidRDefault="00A83058" w:rsidP="008117BF">
            <w:pPr>
              <w:jc w:val="center"/>
              <w:rPr>
                <w:rFonts w:cs="Calibri"/>
                <w:color w:val="000000"/>
                <w:sz w:val="20"/>
                <w:szCs w:val="20"/>
              </w:rPr>
            </w:pPr>
            <w:r w:rsidRPr="007F0CBF">
              <w:rPr>
                <w:rFonts w:cs="Calibri"/>
                <w:color w:val="000000" w:themeColor="text1"/>
                <w:sz w:val="20"/>
                <w:szCs w:val="20"/>
              </w:rPr>
              <w:t>1.00E+06</w:t>
            </w:r>
          </w:p>
        </w:tc>
      </w:tr>
    </w:tbl>
    <w:p w14:paraId="0223ECCF" w14:textId="77777777" w:rsidR="00A83058" w:rsidRPr="006E1082" w:rsidRDefault="00A83058" w:rsidP="00427D6B"/>
    <w:p w14:paraId="40FB1A8A" w14:textId="50AE6284" w:rsidR="00FF3F97" w:rsidRDefault="00FF3F97" w:rsidP="00BB4EEF">
      <w:pPr>
        <w:ind w:firstLine="426"/>
      </w:pPr>
      <w:r>
        <w:t>The PET is modelled as linear body without viscoelastic properties due to its glass transition temperature being greater than the attained temperature profiles in the experiments. A comparison of the tan delta between the PVB and PET can be seen in</w:t>
      </w:r>
      <w:r w:rsidR="00BB4EEF">
        <w:t xml:space="preserve"> </w:t>
      </w:r>
      <w:r w:rsidR="00626400">
        <w:fldChar w:fldCharType="begin"/>
      </w:r>
      <w:r w:rsidR="00626400">
        <w:instrText xml:space="preserve"> REF _Ref155909427 \h </w:instrText>
      </w:r>
      <w:r w:rsidR="00626400">
        <w:fldChar w:fldCharType="separate"/>
      </w:r>
      <w:r w:rsidR="00626400">
        <w:t xml:space="preserve">Figure S - </w:t>
      </w:r>
      <w:r w:rsidR="00626400">
        <w:rPr>
          <w:noProof/>
        </w:rPr>
        <w:t>1</w:t>
      </w:r>
      <w:r w:rsidR="00626400">
        <w:fldChar w:fldCharType="end"/>
      </w:r>
      <w:r>
        <w:t>. The peak of the graphs designate the glass transition area for each material. PVB exhibits a peaks close to 31.6</w:t>
      </w:r>
      <w:r>
        <w:rPr>
          <w:rFonts w:cstheme="minorHAnsi"/>
        </w:rPr>
        <w:t>⁰</w:t>
      </w:r>
      <w:r>
        <w:t>C, and PET close to 104.1</w:t>
      </w:r>
      <w:r>
        <w:rPr>
          <w:rFonts w:cstheme="minorHAnsi"/>
        </w:rPr>
        <w:t>⁰</w:t>
      </w:r>
      <w:r>
        <w:t xml:space="preserve">C. The high glass transition temperature of </w:t>
      </w:r>
      <w:r>
        <w:lastRenderedPageBreak/>
        <w:t>PET, combined with the studied temperature range in the experiments (&lt; 70</w:t>
      </w:r>
      <w:r>
        <w:rPr>
          <w:rFonts w:cstheme="minorHAnsi"/>
        </w:rPr>
        <w:t>⁰</w:t>
      </w:r>
      <w:r>
        <w:t>C) signifies that PET is in its glassy state, while PVB experiences glass transition.</w:t>
      </w:r>
    </w:p>
    <w:tbl>
      <w:tblPr>
        <w:tblW w:w="0" w:type="auto"/>
        <w:tblInd w:w="10" w:type="dxa"/>
        <w:tblCellMar>
          <w:left w:w="10" w:type="dxa"/>
          <w:right w:w="10" w:type="dxa"/>
        </w:tblCellMar>
        <w:tblLook w:val="04A0" w:firstRow="1" w:lastRow="0" w:firstColumn="1" w:lastColumn="0" w:noHBand="0" w:noVBand="1"/>
      </w:tblPr>
      <w:tblGrid>
        <w:gridCol w:w="9016"/>
      </w:tblGrid>
      <w:tr w:rsidR="00FF3F97" w14:paraId="3A9BDB78" w14:textId="77777777" w:rsidTr="0095472F">
        <w:tc>
          <w:tcPr>
            <w:tcW w:w="9242" w:type="dxa"/>
            <w:vAlign w:val="center"/>
          </w:tcPr>
          <w:p w14:paraId="7C35E4EA" w14:textId="77777777" w:rsidR="00FF3F97" w:rsidRDefault="00FF3F97" w:rsidP="008C5AE1">
            <w:pPr>
              <w:keepNext/>
              <w:jc w:val="center"/>
            </w:pPr>
            <w:r>
              <w:rPr>
                <w:noProof/>
              </w:rPr>
              <w:drawing>
                <wp:inline distT="0" distB="0" distL="0" distR="0" wp14:anchorId="03FF7C5C" wp14:editId="7B52952F">
                  <wp:extent cx="2397431" cy="1800000"/>
                  <wp:effectExtent l="0" t="0" r="0" b="0"/>
                  <wp:docPr id="1200872847" name="Picture 1" descr="A graph of a temper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872847" name="Picture 1" descr="A graph of a temperatur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7431" cy="1800000"/>
                          </a:xfrm>
                          <a:prstGeom prst="rect">
                            <a:avLst/>
                          </a:prstGeom>
                        </pic:spPr>
                      </pic:pic>
                    </a:graphicData>
                  </a:graphic>
                </wp:inline>
              </w:drawing>
            </w:r>
          </w:p>
        </w:tc>
      </w:tr>
    </w:tbl>
    <w:p w14:paraId="083F6B2E" w14:textId="76FD6BF8" w:rsidR="00FF3F97" w:rsidRDefault="008C5AE1" w:rsidP="00BB4EEF">
      <w:pPr>
        <w:pStyle w:val="Figures"/>
      </w:pPr>
      <w:bookmarkStart w:id="2" w:name="_Ref155909427"/>
      <w:r>
        <w:t xml:space="preserve">Figure S - </w:t>
      </w:r>
      <w:fldSimple w:instr=" SEQ Figure_S_- \* ARABIC ">
        <w:r>
          <w:rPr>
            <w:noProof/>
          </w:rPr>
          <w:t>1</w:t>
        </w:r>
      </w:fldSimple>
      <w:bookmarkEnd w:id="2"/>
      <w:r w:rsidR="00FF3F97">
        <w:t xml:space="preserve"> Tan delta of PET and PVB with the corresponding glass transition temperature.</w:t>
      </w:r>
    </w:p>
    <w:p w14:paraId="424D7A46" w14:textId="379F1949" w:rsidR="00582A1B" w:rsidRDefault="00582A1B">
      <w:pPr>
        <w:jc w:val="left"/>
      </w:pPr>
      <w:r>
        <w:br w:type="page"/>
      </w:r>
    </w:p>
    <w:p w14:paraId="5B213ED7" w14:textId="77777777" w:rsidR="00626400" w:rsidRDefault="00626400" w:rsidP="00582A1B">
      <w:pPr>
        <w:pStyle w:val="Heading1"/>
      </w:pPr>
      <w:r w:rsidRPr="00CE7777">
        <w:lastRenderedPageBreak/>
        <w:t>Bibliography</w:t>
      </w:r>
    </w:p>
    <w:p w14:paraId="00A58A87" w14:textId="77777777" w:rsidR="00582A1B" w:rsidRPr="00582A1B" w:rsidRDefault="00582A1B" w:rsidP="00582A1B"/>
    <w:p w14:paraId="2C9F2A5A" w14:textId="64D1FF62" w:rsidR="00582A1B" w:rsidRPr="00582A1B" w:rsidRDefault="00582A1B" w:rsidP="00582A1B">
      <w:pPr>
        <w:widowControl w:val="0"/>
        <w:autoSpaceDE w:val="0"/>
        <w:autoSpaceDN w:val="0"/>
        <w:adjustRightInd w:val="0"/>
        <w:spacing w:line="240" w:lineRule="auto"/>
        <w:ind w:left="640" w:hanging="640"/>
        <w:rPr>
          <w:rFonts w:ascii="Calibri" w:hAnsi="Calibri" w:cs="Calibri"/>
          <w:noProof/>
          <w:kern w:val="0"/>
        </w:rPr>
      </w:pPr>
      <w:r>
        <w:fldChar w:fldCharType="begin" w:fldLock="1"/>
      </w:r>
      <w:r>
        <w:instrText xml:space="preserve">ADDIN Mendeley Bibliography CSL_BIBLIOGRAPHY </w:instrText>
      </w:r>
      <w:r>
        <w:fldChar w:fldCharType="separate"/>
      </w:r>
      <w:r w:rsidRPr="00582A1B">
        <w:rPr>
          <w:rFonts w:ascii="Calibri" w:hAnsi="Calibri" w:cs="Calibri"/>
          <w:noProof/>
          <w:kern w:val="0"/>
        </w:rPr>
        <w:t>1.</w:t>
      </w:r>
      <w:r w:rsidRPr="00582A1B">
        <w:rPr>
          <w:rFonts w:ascii="Calibri" w:hAnsi="Calibri" w:cs="Calibri"/>
          <w:noProof/>
          <w:kern w:val="0"/>
        </w:rPr>
        <w:tab/>
        <w:t xml:space="preserve">Sorel, S., Bellet, D. &amp; Coleman, J. N. Relationship between material properties and transparent heater performance for both bulk-like and percolative nanostructured networks. </w:t>
      </w:r>
      <w:r w:rsidRPr="00582A1B">
        <w:rPr>
          <w:rFonts w:ascii="Calibri" w:hAnsi="Calibri" w:cs="Calibri"/>
          <w:i/>
          <w:iCs/>
          <w:noProof/>
          <w:kern w:val="0"/>
        </w:rPr>
        <w:t>ACS Nano</w:t>
      </w:r>
      <w:r w:rsidRPr="00582A1B">
        <w:rPr>
          <w:rFonts w:ascii="Calibri" w:hAnsi="Calibri" w:cs="Calibri"/>
          <w:noProof/>
          <w:kern w:val="0"/>
        </w:rPr>
        <w:t xml:space="preserve"> vol. 8 4805–4814 (2014).</w:t>
      </w:r>
    </w:p>
    <w:p w14:paraId="71287B9C" w14:textId="77777777" w:rsidR="00582A1B" w:rsidRPr="00582A1B" w:rsidRDefault="00582A1B" w:rsidP="00582A1B">
      <w:pPr>
        <w:widowControl w:val="0"/>
        <w:autoSpaceDE w:val="0"/>
        <w:autoSpaceDN w:val="0"/>
        <w:adjustRightInd w:val="0"/>
        <w:spacing w:line="240" w:lineRule="auto"/>
        <w:ind w:left="640" w:hanging="640"/>
        <w:rPr>
          <w:rFonts w:ascii="Calibri" w:hAnsi="Calibri" w:cs="Calibri"/>
          <w:noProof/>
          <w:kern w:val="0"/>
        </w:rPr>
      </w:pPr>
      <w:r w:rsidRPr="00582A1B">
        <w:rPr>
          <w:rFonts w:ascii="Calibri" w:hAnsi="Calibri" w:cs="Calibri"/>
          <w:noProof/>
          <w:kern w:val="0"/>
        </w:rPr>
        <w:t>2.</w:t>
      </w:r>
      <w:r w:rsidRPr="00582A1B">
        <w:rPr>
          <w:rFonts w:ascii="Calibri" w:hAnsi="Calibri" w:cs="Calibri"/>
          <w:noProof/>
          <w:kern w:val="0"/>
        </w:rPr>
        <w:tab/>
        <w:t xml:space="preserve">Ji, S., He, W., Wang, K., Ran, Y. &amp; Ye, C. Thermal response of transparent silver nanowire/PEDOT:PSS film heaters. </w:t>
      </w:r>
      <w:r w:rsidRPr="00582A1B">
        <w:rPr>
          <w:rFonts w:ascii="Calibri" w:hAnsi="Calibri" w:cs="Calibri"/>
          <w:i/>
          <w:iCs/>
          <w:noProof/>
          <w:kern w:val="0"/>
        </w:rPr>
        <w:t>Small</w:t>
      </w:r>
      <w:r w:rsidRPr="00582A1B">
        <w:rPr>
          <w:rFonts w:ascii="Calibri" w:hAnsi="Calibri" w:cs="Calibri"/>
          <w:noProof/>
          <w:kern w:val="0"/>
        </w:rPr>
        <w:t xml:space="preserve"> </w:t>
      </w:r>
      <w:r w:rsidRPr="00582A1B">
        <w:rPr>
          <w:rFonts w:ascii="Calibri" w:hAnsi="Calibri" w:cs="Calibri"/>
          <w:b/>
          <w:bCs/>
          <w:noProof/>
          <w:kern w:val="0"/>
        </w:rPr>
        <w:t>10</w:t>
      </w:r>
      <w:r w:rsidRPr="00582A1B">
        <w:rPr>
          <w:rFonts w:ascii="Calibri" w:hAnsi="Calibri" w:cs="Calibri"/>
          <w:noProof/>
          <w:kern w:val="0"/>
        </w:rPr>
        <w:t>, 4951–4960 (2014).</w:t>
      </w:r>
    </w:p>
    <w:p w14:paraId="391B035D" w14:textId="77777777" w:rsidR="00582A1B" w:rsidRPr="00582A1B" w:rsidRDefault="00582A1B" w:rsidP="00582A1B">
      <w:pPr>
        <w:widowControl w:val="0"/>
        <w:autoSpaceDE w:val="0"/>
        <w:autoSpaceDN w:val="0"/>
        <w:adjustRightInd w:val="0"/>
        <w:spacing w:line="240" w:lineRule="auto"/>
        <w:ind w:left="640" w:hanging="640"/>
        <w:rPr>
          <w:rFonts w:ascii="Calibri" w:hAnsi="Calibri" w:cs="Calibri"/>
          <w:noProof/>
          <w:kern w:val="0"/>
        </w:rPr>
      </w:pPr>
      <w:r w:rsidRPr="00582A1B">
        <w:rPr>
          <w:rFonts w:ascii="Calibri" w:hAnsi="Calibri" w:cs="Calibri"/>
          <w:noProof/>
          <w:kern w:val="0"/>
        </w:rPr>
        <w:t>3.</w:t>
      </w:r>
      <w:r w:rsidRPr="00582A1B">
        <w:rPr>
          <w:rFonts w:ascii="Calibri" w:hAnsi="Calibri" w:cs="Calibri"/>
          <w:noProof/>
          <w:kern w:val="0"/>
        </w:rPr>
        <w:tab/>
        <w:t xml:space="preserve">Matula, R. A. Electrical Resistivity of Copper, Gold, Palladium and Silver. </w:t>
      </w:r>
      <w:r w:rsidRPr="00582A1B">
        <w:rPr>
          <w:rFonts w:ascii="Calibri" w:hAnsi="Calibri" w:cs="Calibri"/>
          <w:i/>
          <w:iCs/>
          <w:noProof/>
          <w:kern w:val="0"/>
        </w:rPr>
        <w:t>J. Phys. Chem.</w:t>
      </w:r>
      <w:r w:rsidRPr="00582A1B">
        <w:rPr>
          <w:rFonts w:ascii="Calibri" w:hAnsi="Calibri" w:cs="Calibri"/>
          <w:noProof/>
          <w:kern w:val="0"/>
        </w:rPr>
        <w:t xml:space="preserve"> </w:t>
      </w:r>
      <w:r w:rsidRPr="00582A1B">
        <w:rPr>
          <w:rFonts w:ascii="Calibri" w:hAnsi="Calibri" w:cs="Calibri"/>
          <w:b/>
          <w:bCs/>
          <w:noProof/>
          <w:kern w:val="0"/>
        </w:rPr>
        <w:t>8</w:t>
      </w:r>
      <w:r w:rsidRPr="00582A1B">
        <w:rPr>
          <w:rFonts w:ascii="Calibri" w:hAnsi="Calibri" w:cs="Calibri"/>
          <w:noProof/>
          <w:kern w:val="0"/>
        </w:rPr>
        <w:t>, 1147–1298 (1979).</w:t>
      </w:r>
    </w:p>
    <w:p w14:paraId="5C5CCBA5" w14:textId="77777777" w:rsidR="00582A1B" w:rsidRPr="00582A1B" w:rsidRDefault="00582A1B" w:rsidP="00582A1B">
      <w:pPr>
        <w:widowControl w:val="0"/>
        <w:autoSpaceDE w:val="0"/>
        <w:autoSpaceDN w:val="0"/>
        <w:adjustRightInd w:val="0"/>
        <w:spacing w:line="240" w:lineRule="auto"/>
        <w:ind w:left="640" w:hanging="640"/>
        <w:rPr>
          <w:rFonts w:ascii="Calibri" w:hAnsi="Calibri" w:cs="Calibri"/>
          <w:noProof/>
          <w:kern w:val="0"/>
        </w:rPr>
      </w:pPr>
      <w:r w:rsidRPr="00582A1B">
        <w:rPr>
          <w:rFonts w:ascii="Calibri" w:hAnsi="Calibri" w:cs="Calibri"/>
          <w:noProof/>
          <w:kern w:val="0"/>
        </w:rPr>
        <w:t>4.</w:t>
      </w:r>
      <w:r w:rsidRPr="00582A1B">
        <w:rPr>
          <w:rFonts w:ascii="Calibri" w:hAnsi="Calibri" w:cs="Calibri"/>
          <w:noProof/>
          <w:kern w:val="0"/>
        </w:rPr>
        <w:tab/>
        <w:t xml:space="preserve">Cheng, Z., Liu, L., Xu, S., Lu, M. &amp; Wang, X. Temperature dependence of electrical and thermal conduction in single silver nanowire. </w:t>
      </w:r>
      <w:r w:rsidRPr="00582A1B">
        <w:rPr>
          <w:rFonts w:ascii="Calibri" w:hAnsi="Calibri" w:cs="Calibri"/>
          <w:i/>
          <w:iCs/>
          <w:noProof/>
          <w:kern w:val="0"/>
        </w:rPr>
        <w:t>Sci. Rep.</w:t>
      </w:r>
      <w:r w:rsidRPr="00582A1B">
        <w:rPr>
          <w:rFonts w:ascii="Calibri" w:hAnsi="Calibri" w:cs="Calibri"/>
          <w:noProof/>
          <w:kern w:val="0"/>
        </w:rPr>
        <w:t xml:space="preserve"> </w:t>
      </w:r>
      <w:r w:rsidRPr="00582A1B">
        <w:rPr>
          <w:rFonts w:ascii="Calibri" w:hAnsi="Calibri" w:cs="Calibri"/>
          <w:b/>
          <w:bCs/>
          <w:noProof/>
          <w:kern w:val="0"/>
        </w:rPr>
        <w:t>5</w:t>
      </w:r>
      <w:r w:rsidRPr="00582A1B">
        <w:rPr>
          <w:rFonts w:ascii="Calibri" w:hAnsi="Calibri" w:cs="Calibri"/>
          <w:noProof/>
          <w:kern w:val="0"/>
        </w:rPr>
        <w:t>, (2015).</w:t>
      </w:r>
    </w:p>
    <w:p w14:paraId="6EFD5001" w14:textId="77777777" w:rsidR="00582A1B" w:rsidRPr="00582A1B" w:rsidRDefault="00582A1B" w:rsidP="00582A1B">
      <w:pPr>
        <w:widowControl w:val="0"/>
        <w:autoSpaceDE w:val="0"/>
        <w:autoSpaceDN w:val="0"/>
        <w:adjustRightInd w:val="0"/>
        <w:spacing w:line="240" w:lineRule="auto"/>
        <w:ind w:left="640" w:hanging="640"/>
        <w:rPr>
          <w:rFonts w:ascii="Calibri" w:hAnsi="Calibri" w:cs="Calibri"/>
          <w:noProof/>
          <w:kern w:val="0"/>
        </w:rPr>
      </w:pPr>
      <w:r w:rsidRPr="00582A1B">
        <w:rPr>
          <w:rFonts w:ascii="Calibri" w:hAnsi="Calibri" w:cs="Calibri"/>
          <w:noProof/>
          <w:kern w:val="0"/>
        </w:rPr>
        <w:t>5.</w:t>
      </w:r>
      <w:r w:rsidRPr="00582A1B">
        <w:rPr>
          <w:rFonts w:ascii="Calibri" w:hAnsi="Calibri" w:cs="Calibri"/>
          <w:noProof/>
          <w:kern w:val="0"/>
        </w:rPr>
        <w:tab/>
        <w:t>Furukawa, G., Saba, W. &amp; Reilly, M. Critical Analysis of the Heat-Capacity Data of the Literature and Evaluation of Thermodynamic Properties of Copper, Silver, and Gold from 0 to 300K. (1968) doi:10.7312/schw92626-006.</w:t>
      </w:r>
    </w:p>
    <w:p w14:paraId="06F3391E" w14:textId="77777777" w:rsidR="00582A1B" w:rsidRPr="00582A1B" w:rsidRDefault="00582A1B" w:rsidP="00582A1B">
      <w:pPr>
        <w:widowControl w:val="0"/>
        <w:autoSpaceDE w:val="0"/>
        <w:autoSpaceDN w:val="0"/>
        <w:adjustRightInd w:val="0"/>
        <w:spacing w:line="240" w:lineRule="auto"/>
        <w:ind w:left="640" w:hanging="640"/>
        <w:rPr>
          <w:rFonts w:ascii="Calibri" w:hAnsi="Calibri" w:cs="Calibri"/>
          <w:noProof/>
          <w:kern w:val="0"/>
        </w:rPr>
      </w:pPr>
      <w:r w:rsidRPr="00582A1B">
        <w:rPr>
          <w:rFonts w:ascii="Calibri" w:hAnsi="Calibri" w:cs="Calibri"/>
          <w:noProof/>
          <w:kern w:val="0"/>
        </w:rPr>
        <w:t>6.</w:t>
      </w:r>
      <w:r w:rsidRPr="00582A1B">
        <w:rPr>
          <w:rFonts w:ascii="Calibri" w:hAnsi="Calibri" w:cs="Calibri"/>
          <w:noProof/>
          <w:kern w:val="0"/>
        </w:rPr>
        <w:tab/>
        <w:t>Goodfellow. Material Properties. (2022).</w:t>
      </w:r>
    </w:p>
    <w:p w14:paraId="3BE2E607" w14:textId="77777777" w:rsidR="00582A1B" w:rsidRPr="00582A1B" w:rsidRDefault="00582A1B" w:rsidP="00582A1B">
      <w:pPr>
        <w:widowControl w:val="0"/>
        <w:autoSpaceDE w:val="0"/>
        <w:autoSpaceDN w:val="0"/>
        <w:adjustRightInd w:val="0"/>
        <w:spacing w:line="240" w:lineRule="auto"/>
        <w:ind w:left="640" w:hanging="640"/>
        <w:rPr>
          <w:rFonts w:ascii="Calibri" w:hAnsi="Calibri" w:cs="Calibri"/>
          <w:noProof/>
          <w:kern w:val="0"/>
        </w:rPr>
      </w:pPr>
      <w:r w:rsidRPr="00582A1B">
        <w:rPr>
          <w:rFonts w:ascii="Calibri" w:hAnsi="Calibri" w:cs="Calibri"/>
          <w:noProof/>
          <w:kern w:val="0"/>
        </w:rPr>
        <w:t>7.</w:t>
      </w:r>
      <w:r w:rsidRPr="00582A1B">
        <w:rPr>
          <w:rFonts w:ascii="Calibri" w:hAnsi="Calibri" w:cs="Calibri"/>
          <w:noProof/>
          <w:kern w:val="0"/>
        </w:rPr>
        <w:tab/>
        <w:t xml:space="preserve">Bowler, N. &amp; Huang, Y. Electrical conductivity measurement of metal plates using broadband eddy-current and four-point methods. </w:t>
      </w:r>
      <w:r w:rsidRPr="00582A1B">
        <w:rPr>
          <w:rFonts w:ascii="Calibri" w:hAnsi="Calibri" w:cs="Calibri"/>
          <w:i/>
          <w:iCs/>
          <w:noProof/>
          <w:kern w:val="0"/>
        </w:rPr>
        <w:t>Meas. Sci. Technol.</w:t>
      </w:r>
      <w:r w:rsidRPr="00582A1B">
        <w:rPr>
          <w:rFonts w:ascii="Calibri" w:hAnsi="Calibri" w:cs="Calibri"/>
          <w:noProof/>
          <w:kern w:val="0"/>
        </w:rPr>
        <w:t xml:space="preserve"> </w:t>
      </w:r>
      <w:r w:rsidRPr="00582A1B">
        <w:rPr>
          <w:rFonts w:ascii="Calibri" w:hAnsi="Calibri" w:cs="Calibri"/>
          <w:b/>
          <w:bCs/>
          <w:noProof/>
          <w:kern w:val="0"/>
        </w:rPr>
        <w:t>16</w:t>
      </w:r>
      <w:r w:rsidRPr="00582A1B">
        <w:rPr>
          <w:rFonts w:ascii="Calibri" w:hAnsi="Calibri" w:cs="Calibri"/>
          <w:noProof/>
          <w:kern w:val="0"/>
        </w:rPr>
        <w:t>, 2193–2200 (2005).</w:t>
      </w:r>
    </w:p>
    <w:p w14:paraId="0A9F61E1" w14:textId="77777777" w:rsidR="00582A1B" w:rsidRPr="00582A1B" w:rsidRDefault="00582A1B" w:rsidP="00582A1B">
      <w:pPr>
        <w:widowControl w:val="0"/>
        <w:autoSpaceDE w:val="0"/>
        <w:autoSpaceDN w:val="0"/>
        <w:adjustRightInd w:val="0"/>
        <w:spacing w:line="240" w:lineRule="auto"/>
        <w:ind w:left="640" w:hanging="640"/>
        <w:rPr>
          <w:rFonts w:ascii="Calibri" w:hAnsi="Calibri" w:cs="Calibri"/>
          <w:noProof/>
          <w:kern w:val="0"/>
        </w:rPr>
      </w:pPr>
      <w:r w:rsidRPr="00582A1B">
        <w:rPr>
          <w:rFonts w:ascii="Calibri" w:hAnsi="Calibri" w:cs="Calibri"/>
          <w:noProof/>
          <w:kern w:val="0"/>
        </w:rPr>
        <w:t>8.</w:t>
      </w:r>
      <w:r w:rsidRPr="00582A1B">
        <w:rPr>
          <w:rFonts w:ascii="Calibri" w:hAnsi="Calibri" w:cs="Calibri"/>
          <w:noProof/>
          <w:kern w:val="0"/>
        </w:rPr>
        <w:tab/>
        <w:t xml:space="preserve">Adineh, M. &amp; Doostmohammadi, H. Microstructure, mechanical properties and machinability of Cu–Zn–Mg and Cu–Zn–Sb brass alloys. </w:t>
      </w:r>
      <w:r w:rsidRPr="00582A1B">
        <w:rPr>
          <w:rFonts w:ascii="Calibri" w:hAnsi="Calibri" w:cs="Calibri"/>
          <w:i/>
          <w:iCs/>
          <w:noProof/>
          <w:kern w:val="0"/>
        </w:rPr>
        <w:t>Mater. Sci. Technol. (United Kingdom)</w:t>
      </w:r>
      <w:r w:rsidRPr="00582A1B">
        <w:rPr>
          <w:rFonts w:ascii="Calibri" w:hAnsi="Calibri" w:cs="Calibri"/>
          <w:noProof/>
          <w:kern w:val="0"/>
        </w:rPr>
        <w:t xml:space="preserve"> </w:t>
      </w:r>
      <w:r w:rsidRPr="00582A1B">
        <w:rPr>
          <w:rFonts w:ascii="Calibri" w:hAnsi="Calibri" w:cs="Calibri"/>
          <w:b/>
          <w:bCs/>
          <w:noProof/>
          <w:kern w:val="0"/>
        </w:rPr>
        <w:t>35</w:t>
      </w:r>
      <w:r w:rsidRPr="00582A1B">
        <w:rPr>
          <w:rFonts w:ascii="Calibri" w:hAnsi="Calibri" w:cs="Calibri"/>
          <w:noProof/>
          <w:kern w:val="0"/>
        </w:rPr>
        <w:t>, 1504–1514 (2019).</w:t>
      </w:r>
    </w:p>
    <w:p w14:paraId="1F7AA538" w14:textId="77777777" w:rsidR="00582A1B" w:rsidRPr="00582A1B" w:rsidRDefault="00582A1B" w:rsidP="00582A1B">
      <w:pPr>
        <w:widowControl w:val="0"/>
        <w:autoSpaceDE w:val="0"/>
        <w:autoSpaceDN w:val="0"/>
        <w:adjustRightInd w:val="0"/>
        <w:spacing w:line="240" w:lineRule="auto"/>
        <w:ind w:left="640" w:hanging="640"/>
        <w:rPr>
          <w:rFonts w:ascii="Calibri" w:hAnsi="Calibri" w:cs="Calibri"/>
          <w:noProof/>
        </w:rPr>
      </w:pPr>
      <w:r w:rsidRPr="00582A1B">
        <w:rPr>
          <w:rFonts w:ascii="Calibri" w:hAnsi="Calibri" w:cs="Calibri"/>
          <w:noProof/>
          <w:kern w:val="0"/>
        </w:rPr>
        <w:t>9.</w:t>
      </w:r>
      <w:r w:rsidRPr="00582A1B">
        <w:rPr>
          <w:rFonts w:ascii="Calibri" w:hAnsi="Calibri" w:cs="Calibri"/>
          <w:noProof/>
          <w:kern w:val="0"/>
        </w:rPr>
        <w:tab/>
        <w:t xml:space="preserve">Wilski, V. H. Die spezifische Wärme des Polyvinylbutyrals. </w:t>
      </w:r>
      <w:r w:rsidRPr="00582A1B">
        <w:rPr>
          <w:rFonts w:ascii="Calibri" w:hAnsi="Calibri" w:cs="Calibri"/>
          <w:i/>
          <w:iCs/>
          <w:noProof/>
          <w:kern w:val="0"/>
        </w:rPr>
        <w:t>Die Angewandte Makromolekulare Chemie</w:t>
      </w:r>
      <w:r w:rsidRPr="00582A1B">
        <w:rPr>
          <w:rFonts w:ascii="Calibri" w:hAnsi="Calibri" w:cs="Calibri"/>
          <w:noProof/>
          <w:kern w:val="0"/>
        </w:rPr>
        <w:t xml:space="preserve"> vol. 6 101–108 (1969).</w:t>
      </w:r>
    </w:p>
    <w:p w14:paraId="5B213EE8" w14:textId="693A1C2D" w:rsidR="00626400" w:rsidRPr="003A6F87" w:rsidRDefault="00582A1B" w:rsidP="00CE7777">
      <w:r>
        <w:fldChar w:fldCharType="end"/>
      </w:r>
    </w:p>
    <w:sectPr w:rsidR="00626400" w:rsidRPr="003A6F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C6F94"/>
    <w:multiLevelType w:val="multilevel"/>
    <w:tmpl w:val="B9B255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31482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68"/>
    <w:rsid w:val="000C03AB"/>
    <w:rsid w:val="00260C68"/>
    <w:rsid w:val="003D0292"/>
    <w:rsid w:val="00427D6B"/>
    <w:rsid w:val="00466DDE"/>
    <w:rsid w:val="00582A1B"/>
    <w:rsid w:val="00605B71"/>
    <w:rsid w:val="00626400"/>
    <w:rsid w:val="007E71C8"/>
    <w:rsid w:val="00840C20"/>
    <w:rsid w:val="008C5AE1"/>
    <w:rsid w:val="0095472F"/>
    <w:rsid w:val="009C4398"/>
    <w:rsid w:val="00A83058"/>
    <w:rsid w:val="00B75741"/>
    <w:rsid w:val="00BB4EEF"/>
    <w:rsid w:val="00FF3F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13C91"/>
  <w15:docId w15:val="{FEE685CE-DC0D-42E5-B4D5-04B2347D7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EEF"/>
    <w:pPr>
      <w:jc w:val="both"/>
    </w:pPr>
  </w:style>
  <w:style w:type="paragraph" w:styleId="Heading1">
    <w:name w:val="heading 1"/>
    <w:basedOn w:val="Normal"/>
    <w:next w:val="Normal"/>
    <w:link w:val="Heading1Char"/>
    <w:uiPriority w:val="9"/>
    <w:qFormat/>
    <w:rsid w:val="00FF3F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03AB"/>
    <w:pPr>
      <w:keepNext/>
      <w:keepLines/>
      <w:spacing w:before="160" w:after="0" w:line="276" w:lineRule="auto"/>
      <w:outlineLvl w:val="1"/>
    </w:pPr>
    <w:rPr>
      <w:rFonts w:asciiTheme="majorHAnsi" w:eastAsiaTheme="majorEastAsia" w:hAnsiTheme="majorHAnsi" w:cstheme="majorBidi"/>
      <w:color w:val="2F5496" w:themeColor="accent1" w:themeShade="BF"/>
      <w:kern w:val="0"/>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03AB"/>
    <w:rPr>
      <w:rFonts w:asciiTheme="majorHAnsi" w:eastAsiaTheme="majorEastAsia" w:hAnsiTheme="majorHAnsi" w:cstheme="majorBidi"/>
      <w:color w:val="2F5496" w:themeColor="accent1" w:themeShade="BF"/>
      <w:kern w:val="0"/>
      <w:sz w:val="32"/>
      <w:szCs w:val="32"/>
      <w:lang w:eastAsia="en-US"/>
    </w:rPr>
  </w:style>
  <w:style w:type="character" w:styleId="SubtleEmphasis">
    <w:name w:val="Subtle Emphasis"/>
    <w:basedOn w:val="DefaultParagraphFont"/>
    <w:uiPriority w:val="19"/>
    <w:qFormat/>
    <w:rsid w:val="000C03AB"/>
    <w:rPr>
      <w:i/>
      <w:iCs/>
      <w:color w:val="404040" w:themeColor="text1" w:themeTint="BF"/>
    </w:rPr>
  </w:style>
  <w:style w:type="character" w:customStyle="1" w:styleId="Heading1Char">
    <w:name w:val="Heading 1 Char"/>
    <w:basedOn w:val="DefaultParagraphFont"/>
    <w:link w:val="Heading1"/>
    <w:uiPriority w:val="9"/>
    <w:rsid w:val="00FF3F9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27D6B"/>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A83058"/>
    <w:pPr>
      <w:spacing w:before="120" w:after="120" w:line="240" w:lineRule="auto"/>
    </w:pPr>
    <w:rPr>
      <w:rFonts w:ascii="Calibri" w:eastAsia="SimSun" w:hAnsi="Calibri"/>
      <w:kern w:val="0"/>
      <w:sz w:val="18"/>
      <w:lang w:eastAsia="en-US"/>
    </w:rPr>
  </w:style>
  <w:style w:type="character" w:customStyle="1" w:styleId="TableChar">
    <w:name w:val="Table Char"/>
    <w:basedOn w:val="DefaultParagraphFont"/>
    <w:link w:val="Table"/>
    <w:rsid w:val="00A83058"/>
    <w:rPr>
      <w:rFonts w:ascii="Calibri" w:eastAsia="SimSun" w:hAnsi="Calibri"/>
      <w:kern w:val="0"/>
      <w:sz w:val="18"/>
      <w:lang w:eastAsia="en-US"/>
    </w:rPr>
  </w:style>
  <w:style w:type="paragraph" w:customStyle="1" w:styleId="Equation">
    <w:name w:val="Equation"/>
    <w:basedOn w:val="Normal"/>
    <w:qFormat/>
    <w:rsid w:val="00A83058"/>
    <w:pPr>
      <w:spacing w:before="120" w:after="120" w:line="240" w:lineRule="auto"/>
      <w:jc w:val="center"/>
    </w:pPr>
    <w:rPr>
      <w:rFonts w:ascii="Cambria Math" w:eastAsia="SimSun" w:hAnsi="Cambria Math"/>
      <w:i/>
      <w:iCs/>
      <w:kern w:val="0"/>
      <w:lang w:val="en-US" w:eastAsia="en-US"/>
    </w:rPr>
  </w:style>
  <w:style w:type="paragraph" w:styleId="Caption">
    <w:name w:val="caption"/>
    <w:basedOn w:val="Normal"/>
    <w:next w:val="Normal"/>
    <w:uiPriority w:val="35"/>
    <w:unhideWhenUsed/>
    <w:qFormat/>
    <w:rsid w:val="008C5AE1"/>
    <w:pPr>
      <w:spacing w:after="200" w:line="240" w:lineRule="auto"/>
    </w:pPr>
    <w:rPr>
      <w:i/>
      <w:iCs/>
      <w:color w:val="44546A" w:themeColor="text2"/>
      <w:sz w:val="18"/>
      <w:szCs w:val="18"/>
    </w:rPr>
  </w:style>
  <w:style w:type="paragraph" w:customStyle="1" w:styleId="Figures">
    <w:name w:val="Figures"/>
    <w:basedOn w:val="Normal"/>
    <w:qFormat/>
    <w:rsid w:val="00BB4EEF"/>
    <w:pPr>
      <w:tabs>
        <w:tab w:val="left" w:pos="567"/>
      </w:tabs>
      <w:spacing w:before="120" w:after="120" w:line="264" w:lineRule="auto"/>
      <w:jc w:val="center"/>
    </w:pPr>
    <w:rPr>
      <w:rFonts w:ascii="Times New Roman" w:hAnsi="Times New Roman"/>
      <w:i/>
      <w:kern w:val="0"/>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CD7B1-8E90-4F5C-A606-93536EF24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3408</Words>
  <Characters>18779</Characters>
  <Application>Microsoft Office Word</Application>
  <DocSecurity>0</DocSecurity>
  <Lines>569</Lines>
  <Paragraphs>369</Paragraphs>
  <ScaleCrop>false</ScaleCrop>
  <Company/>
  <LinksUpToDate>false</LinksUpToDate>
  <CharactersWithSpaces>21818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Dimitrios Charaklias</dc:creator>
  <cp:lastModifiedBy>Dimitrios Charaklias</cp:lastModifiedBy>
  <cp:revision>14</cp:revision>
  <dcterms:created xsi:type="dcterms:W3CDTF">2025-11-16T00:02:00Z</dcterms:created>
  <dcterms:modified xsi:type="dcterms:W3CDTF">2025-11-17T19:51:00Z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a47e77a1-5fca-3965-8127-8a5afe417610</vt:lpwstr>
  </property>
  <property fmtid="{D5CDD505-2E9C-101B-9397-08002B2CF9AE}" pid="24" name="Mendeley Citation Style_1">
    <vt:lpwstr>http://www.zotero.org/styles/nature</vt:lpwstr>
  </property>
</Properties>
</file>