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40535" w14:textId="77777777" w:rsidR="0052402D" w:rsidRPr="009573C8" w:rsidRDefault="0052402D" w:rsidP="0052402D">
      <w:pPr>
        <w:spacing w:after="200" w:line="480" w:lineRule="auto"/>
        <w:rPr>
          <w:rFonts w:ascii="Arial" w:eastAsia="Calibri" w:hAnsi="Arial" w:cs="Arial"/>
          <w:kern w:val="0"/>
          <w14:ligatures w14:val="standardContextual"/>
        </w:rPr>
      </w:pPr>
      <w:r w:rsidRPr="009573C8">
        <w:rPr>
          <w:rFonts w:ascii="Arial" w:eastAsia="Calibri" w:hAnsi="Arial" w:cs="Arial"/>
          <w:kern w:val="0"/>
          <w14:ligatures w14:val="standardContextual"/>
        </w:rPr>
        <w:t>Table 1: Sex distribution of patients in the two study groups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2402D" w:rsidRPr="009573C8" w14:paraId="16074364" w14:textId="77777777" w:rsidTr="002B45CA">
        <w:tc>
          <w:tcPr>
            <w:tcW w:w="9576" w:type="dxa"/>
          </w:tcPr>
          <w:p w14:paraId="6C487CD8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Sex       N (%)                                  Treatment                                                     p-value</w:t>
            </w:r>
          </w:p>
          <w:p w14:paraId="33EA6C52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Vicryl-plus                     Antibiotics</w:t>
            </w:r>
          </w:p>
          <w:p w14:paraId="434A5763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          N        (%)                      N       (%)</w:t>
            </w:r>
          </w:p>
        </w:tc>
      </w:tr>
      <w:tr w:rsidR="0052402D" w:rsidRPr="009573C8" w14:paraId="0BEDF95A" w14:textId="77777777" w:rsidTr="002B45CA">
        <w:tc>
          <w:tcPr>
            <w:tcW w:w="9576" w:type="dxa"/>
          </w:tcPr>
          <w:p w14:paraId="2FB0FF50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Male   63 (73.3)             29    (33.7)                   34     (39.5)                                 0.223</w:t>
            </w:r>
          </w:p>
          <w:p w14:paraId="343F6B71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00099D8E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Female  23 (26.7)             14     (16.3)                    9     (10.5)</w:t>
            </w:r>
          </w:p>
        </w:tc>
      </w:tr>
    </w:tbl>
    <w:p w14:paraId="43839DFB" w14:textId="77777777" w:rsidR="0052402D" w:rsidRPr="009573C8" w:rsidRDefault="0052402D" w:rsidP="0052402D">
      <w:pPr>
        <w:spacing w:after="200" w:line="480" w:lineRule="auto"/>
        <w:rPr>
          <w:rFonts w:ascii="Arial" w:eastAsia="Calibri" w:hAnsi="Arial" w:cs="Arial"/>
          <w:kern w:val="0"/>
          <w14:ligatures w14:val="standardContextual"/>
        </w:rPr>
      </w:pPr>
    </w:p>
    <w:p w14:paraId="2B5074BB" w14:textId="77777777" w:rsidR="0052402D" w:rsidRPr="00FF6C05" w:rsidRDefault="0052402D" w:rsidP="0052402D">
      <w:pPr>
        <w:spacing w:after="200" w:line="480" w:lineRule="auto"/>
        <w:rPr>
          <w:rFonts w:ascii="Arial" w:eastAsia="Calibri" w:hAnsi="Arial" w:cs="Arial"/>
          <w:kern w:val="0"/>
        </w:rPr>
      </w:pPr>
    </w:p>
    <w:p w14:paraId="4AD9AC48" w14:textId="77777777" w:rsidR="0052402D" w:rsidRPr="009573C8" w:rsidRDefault="0052402D" w:rsidP="0052402D">
      <w:pPr>
        <w:spacing w:after="200" w:line="480" w:lineRule="auto"/>
        <w:rPr>
          <w:rFonts w:ascii="Arial" w:eastAsia="Calibri" w:hAnsi="Arial" w:cs="Arial"/>
          <w:kern w:val="0"/>
          <w14:ligatures w14:val="standardContextual"/>
        </w:rPr>
      </w:pPr>
      <w:r w:rsidRPr="009573C8">
        <w:rPr>
          <w:rFonts w:ascii="Arial" w:eastAsia="Calibri" w:hAnsi="Arial" w:cs="Arial"/>
          <w:kern w:val="0"/>
          <w14:ligatures w14:val="standardContextual"/>
        </w:rPr>
        <w:t>Table 2: Age distribution of patients in the two study groups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2402D" w:rsidRPr="009573C8" w14:paraId="7F513188" w14:textId="77777777" w:rsidTr="002B45CA">
        <w:tc>
          <w:tcPr>
            <w:tcW w:w="9576" w:type="dxa"/>
          </w:tcPr>
          <w:p w14:paraId="1BB31954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Age(Years)                                      Treatment                                                     P-value</w:t>
            </w:r>
          </w:p>
          <w:p w14:paraId="40DF76D2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Vicryl-plus(n=43)                Antibiotic(n=43)</w:t>
            </w:r>
          </w:p>
          <w:p w14:paraId="57DE1ED2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             N(%)                                   N(%)</w:t>
            </w:r>
          </w:p>
        </w:tc>
      </w:tr>
      <w:tr w:rsidR="0052402D" w:rsidRPr="009573C8" w14:paraId="011B33F4" w14:textId="77777777" w:rsidTr="002B45CA">
        <w:tc>
          <w:tcPr>
            <w:tcW w:w="9576" w:type="dxa"/>
          </w:tcPr>
          <w:p w14:paraId="68E6270A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2months-5years               27(62.8)                               27(62.8)                             0.913</w:t>
            </w:r>
          </w:p>
          <w:p w14:paraId="6074958E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6-10years                           12(27.9)                              13(30.2)</w:t>
            </w:r>
          </w:p>
          <w:p w14:paraId="739A4A24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lastRenderedPageBreak/>
              <w:t>11-15years                                 4(9.3)                                   3(7.0)</w:t>
            </w:r>
          </w:p>
        </w:tc>
      </w:tr>
    </w:tbl>
    <w:p w14:paraId="0BA4C846" w14:textId="77777777" w:rsidR="0052402D" w:rsidRPr="00FF6C05" w:rsidRDefault="0052402D" w:rsidP="0052402D">
      <w:pPr>
        <w:spacing w:after="200" w:line="480" w:lineRule="auto"/>
        <w:rPr>
          <w:rFonts w:ascii="Arial" w:eastAsia="Calibri" w:hAnsi="Arial" w:cs="Arial"/>
          <w:kern w:val="0"/>
        </w:rPr>
      </w:pPr>
    </w:p>
    <w:p w14:paraId="1E3DD549" w14:textId="77777777" w:rsidR="0052402D" w:rsidRPr="009573C8" w:rsidRDefault="0052402D" w:rsidP="0052402D">
      <w:pPr>
        <w:spacing w:after="200" w:line="480" w:lineRule="auto"/>
        <w:rPr>
          <w:rFonts w:ascii="Arial" w:eastAsia="Calibri" w:hAnsi="Arial" w:cs="Arial"/>
          <w:kern w:val="0"/>
          <w14:ligatures w14:val="standardContextual"/>
        </w:rPr>
      </w:pPr>
      <w:r w:rsidRPr="009573C8">
        <w:rPr>
          <w:rFonts w:ascii="Arial" w:eastAsia="Calibri" w:hAnsi="Arial" w:cs="Arial"/>
          <w:kern w:val="0"/>
          <w14:ligatures w14:val="standardContextual"/>
        </w:rPr>
        <w:t>Table 3: The number of groin surgeries (wounds) in each age group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2402D" w:rsidRPr="009573C8" w14:paraId="78DB283A" w14:textId="77777777" w:rsidTr="002B45CA">
        <w:tc>
          <w:tcPr>
            <w:tcW w:w="9576" w:type="dxa"/>
          </w:tcPr>
          <w:p w14:paraId="452C26DD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Age(Years)                                      Treatment                                                     P-value</w:t>
            </w:r>
          </w:p>
          <w:p w14:paraId="49DBC1DA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color w:val="000000"/>
                <w:sz w:val="24"/>
                <w:szCs w:val="24"/>
              </w:rPr>
              <w:t>Vicryl-plus(n=48)                Antibiotic(n=48)</w:t>
            </w:r>
          </w:p>
          <w:p w14:paraId="0EA8B2AC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                 N(%)                                   N(%)</w:t>
            </w:r>
          </w:p>
        </w:tc>
      </w:tr>
      <w:tr w:rsidR="0052402D" w:rsidRPr="009573C8" w14:paraId="688B0274" w14:textId="77777777" w:rsidTr="002B45CA">
        <w:tc>
          <w:tcPr>
            <w:tcW w:w="9576" w:type="dxa"/>
          </w:tcPr>
          <w:p w14:paraId="0AA33EAC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2months-5years              32(66.7)                               32(66.7)                              0.913</w:t>
            </w:r>
          </w:p>
          <w:p w14:paraId="33A7FADE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6-10years                         12(25.0)                              13(27.1)</w:t>
            </w:r>
          </w:p>
          <w:p w14:paraId="4E4FDAD5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11-15years                        4(8.3)                                   3(6.2)</w:t>
            </w:r>
          </w:p>
        </w:tc>
      </w:tr>
    </w:tbl>
    <w:p w14:paraId="37EA1D9E" w14:textId="77777777" w:rsidR="0052402D" w:rsidRPr="00FF6C05" w:rsidRDefault="0052402D" w:rsidP="0052402D">
      <w:pPr>
        <w:spacing w:after="200" w:line="480" w:lineRule="auto"/>
        <w:rPr>
          <w:rFonts w:ascii="Arial" w:eastAsia="Calibri" w:hAnsi="Arial" w:cs="Arial"/>
          <w:kern w:val="0"/>
        </w:rPr>
      </w:pPr>
    </w:p>
    <w:p w14:paraId="26959BBC" w14:textId="77777777" w:rsidR="0052402D" w:rsidRPr="009573C8" w:rsidRDefault="0052402D" w:rsidP="0052402D">
      <w:pPr>
        <w:spacing w:after="200" w:line="480" w:lineRule="auto"/>
        <w:rPr>
          <w:rFonts w:ascii="Arial" w:eastAsia="Calibri" w:hAnsi="Arial" w:cs="Arial"/>
          <w:kern w:val="0"/>
          <w14:ligatures w14:val="standardContextual"/>
        </w:rPr>
      </w:pPr>
      <w:r w:rsidRPr="009573C8">
        <w:rPr>
          <w:rFonts w:ascii="Arial" w:eastAsia="Calibri" w:hAnsi="Arial" w:cs="Arial"/>
          <w:kern w:val="0"/>
          <w14:ligatures w14:val="standardContextual"/>
        </w:rPr>
        <w:t>Table 4: The diagnosis of the patients in each study group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2402D" w:rsidRPr="009573C8" w14:paraId="58BEE01A" w14:textId="77777777" w:rsidTr="002B45CA">
        <w:tc>
          <w:tcPr>
            <w:tcW w:w="9576" w:type="dxa"/>
          </w:tcPr>
          <w:p w14:paraId="54845044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Diagnosis                                             Treatment                                            p-value</w:t>
            </w:r>
          </w:p>
          <w:p w14:paraId="730819CA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Vicryl-plus (n=43)Antibiotic (n=43)</w:t>
            </w:r>
          </w:p>
          <w:p w14:paraId="18D25977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color w:val="FFFFFF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                           N(%)                         N(%)</w:t>
            </w:r>
          </w:p>
        </w:tc>
      </w:tr>
      <w:tr w:rsidR="0052402D" w:rsidRPr="009573C8" w14:paraId="383AC3DD" w14:textId="77777777" w:rsidTr="002B45CA">
        <w:tc>
          <w:tcPr>
            <w:tcW w:w="9576" w:type="dxa"/>
          </w:tcPr>
          <w:p w14:paraId="2DA8364A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Right inguinal hernia                       18(41.9)                     12(27.9)                   0.134</w:t>
            </w:r>
          </w:p>
          <w:p w14:paraId="29377D7D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Left inguinal hernia                        8(18.6)                         3(7.0)</w:t>
            </w:r>
          </w:p>
          <w:p w14:paraId="50D5FEA0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lastRenderedPageBreak/>
              <w:t>Bilateral inguinal hernia                  5(11.6)                        5(11.6)</w:t>
            </w:r>
          </w:p>
          <w:p w14:paraId="3C960E47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Right hydrocele                               7(16.3)                       12(27.9)</w:t>
            </w:r>
          </w:p>
          <w:p w14:paraId="63AE7E93" w14:textId="77777777" w:rsidR="0052402D" w:rsidRPr="009573C8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573C8">
              <w:rPr>
                <w:rFonts w:ascii="Arial" w:eastAsia="Calibri" w:hAnsi="Arial" w:cs="Arial"/>
                <w:sz w:val="24"/>
                <w:szCs w:val="24"/>
              </w:rPr>
              <w:t>Left hydrocele                                 5(11.6)                       11(25.6)</w:t>
            </w:r>
          </w:p>
        </w:tc>
      </w:tr>
    </w:tbl>
    <w:p w14:paraId="4178D5CB" w14:textId="77777777" w:rsidR="0052402D" w:rsidRPr="009573C8" w:rsidRDefault="0052402D" w:rsidP="0052402D">
      <w:pPr>
        <w:spacing w:after="200" w:line="480" w:lineRule="auto"/>
        <w:rPr>
          <w:rFonts w:ascii="Arial" w:eastAsia="Calibri" w:hAnsi="Arial" w:cs="Arial"/>
          <w:kern w:val="0"/>
          <w14:ligatures w14:val="standardContextual"/>
        </w:rPr>
      </w:pPr>
    </w:p>
    <w:p w14:paraId="067BA6C4" w14:textId="77777777" w:rsidR="0052402D" w:rsidRPr="0023001D" w:rsidRDefault="0052402D" w:rsidP="0052402D">
      <w:pPr>
        <w:spacing w:after="200" w:line="480" w:lineRule="auto"/>
        <w:rPr>
          <w:rFonts w:ascii="Arial" w:eastAsia="Calibri" w:hAnsi="Arial" w:cs="Arial"/>
          <w:kern w:val="0"/>
          <w14:ligatures w14:val="standardContextual"/>
        </w:rPr>
      </w:pPr>
      <w:r w:rsidRPr="0023001D">
        <w:rPr>
          <w:rFonts w:ascii="Arial" w:eastAsia="Calibri" w:hAnsi="Arial" w:cs="Arial"/>
          <w:kern w:val="0"/>
          <w14:ligatures w14:val="standardContextual"/>
        </w:rPr>
        <w:t>Table 5: Effect of prophylactic intravenous antibiotic and vicryl coated suture on the wound outcome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522"/>
      </w:tblGrid>
      <w:tr w:rsidR="0052402D" w:rsidRPr="0023001D" w14:paraId="08F876BF" w14:textId="77777777" w:rsidTr="002B45CA">
        <w:tc>
          <w:tcPr>
            <w:tcW w:w="8522" w:type="dxa"/>
          </w:tcPr>
          <w:p w14:paraId="50B957B0" w14:textId="77777777" w:rsidR="0052402D" w:rsidRPr="0023001D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23001D">
              <w:rPr>
                <w:rFonts w:ascii="Arial" w:eastAsia="Calibri" w:hAnsi="Arial" w:cs="Arial"/>
                <w:sz w:val="24"/>
                <w:szCs w:val="24"/>
              </w:rPr>
              <w:t>Wound outcome                                       P-value</w:t>
            </w:r>
          </w:p>
          <w:p w14:paraId="7165D466" w14:textId="77777777" w:rsidR="0052402D" w:rsidRPr="0023001D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23001D">
              <w:rPr>
                <w:rFonts w:ascii="Arial" w:eastAsia="Calibri" w:hAnsi="Arial" w:cs="Arial"/>
                <w:sz w:val="24"/>
                <w:szCs w:val="24"/>
              </w:rPr>
              <w:t xml:space="preserve"> Study group                     Uninfected                Infected(n=48)</w:t>
            </w:r>
          </w:p>
          <w:p w14:paraId="6A92489C" w14:textId="77777777" w:rsidR="0052402D" w:rsidRPr="0023001D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23001D"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            N (%)                      N(%)</w:t>
            </w:r>
          </w:p>
        </w:tc>
      </w:tr>
      <w:tr w:rsidR="0052402D" w:rsidRPr="0023001D" w14:paraId="3A429647" w14:textId="77777777" w:rsidTr="002B45CA">
        <w:tc>
          <w:tcPr>
            <w:tcW w:w="8522" w:type="dxa"/>
          </w:tcPr>
          <w:p w14:paraId="3EF02A58" w14:textId="77777777" w:rsidR="0052402D" w:rsidRPr="0023001D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23001D">
              <w:rPr>
                <w:rFonts w:ascii="Arial" w:eastAsia="Calibri" w:hAnsi="Arial" w:cs="Arial"/>
                <w:sz w:val="24"/>
                <w:szCs w:val="24"/>
              </w:rPr>
              <w:t xml:space="preserve">Vicryl-plus                     48 (50.0)                 0 (0.0)                            0.315 </w:t>
            </w:r>
          </w:p>
          <w:p w14:paraId="1E954B36" w14:textId="77777777" w:rsidR="0052402D" w:rsidRPr="0023001D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607316E7" w14:textId="77777777" w:rsidR="0052402D" w:rsidRPr="0023001D" w:rsidRDefault="0052402D" w:rsidP="002B45CA">
            <w:pPr>
              <w:spacing w:after="200"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23001D">
              <w:rPr>
                <w:rFonts w:ascii="Arial" w:eastAsia="Calibri" w:hAnsi="Arial" w:cs="Arial"/>
                <w:sz w:val="24"/>
                <w:szCs w:val="24"/>
              </w:rPr>
              <w:t xml:space="preserve">Antibiotic                          47(49.0)                   1 (1.0)    </w:t>
            </w:r>
          </w:p>
        </w:tc>
      </w:tr>
    </w:tbl>
    <w:p w14:paraId="278BED06" w14:textId="77777777" w:rsidR="0052402D" w:rsidRPr="00FF6C05" w:rsidRDefault="0052402D" w:rsidP="0052402D">
      <w:pPr>
        <w:spacing w:after="200" w:line="480" w:lineRule="auto"/>
        <w:rPr>
          <w:rFonts w:ascii="Arial" w:eastAsia="Calibri" w:hAnsi="Arial" w:cs="Arial"/>
          <w:b/>
          <w:bCs/>
          <w:kern w:val="0"/>
        </w:rPr>
      </w:pPr>
    </w:p>
    <w:p w14:paraId="3E10C0BE" w14:textId="77777777" w:rsidR="0052402D" w:rsidRPr="00FF6C05" w:rsidRDefault="0052402D" w:rsidP="0052402D">
      <w:pPr>
        <w:spacing w:after="200" w:line="480" w:lineRule="auto"/>
        <w:rPr>
          <w:rFonts w:ascii="Arial" w:eastAsia="Calibri" w:hAnsi="Arial" w:cs="Arial"/>
          <w:b/>
          <w:bCs/>
          <w:kern w:val="0"/>
        </w:rPr>
      </w:pPr>
    </w:p>
    <w:p w14:paraId="23BF1064" w14:textId="77777777" w:rsidR="0052402D" w:rsidRPr="00FF6C05" w:rsidRDefault="0052402D" w:rsidP="0052402D">
      <w:pPr>
        <w:spacing w:after="200" w:line="480" w:lineRule="auto"/>
        <w:rPr>
          <w:rFonts w:ascii="Arial" w:eastAsia="Calibri" w:hAnsi="Arial" w:cs="Arial"/>
          <w:b/>
          <w:bCs/>
          <w:kern w:val="0"/>
        </w:rPr>
      </w:pPr>
    </w:p>
    <w:p w14:paraId="52EE914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02D"/>
    <w:rsid w:val="00195413"/>
    <w:rsid w:val="003D0186"/>
    <w:rsid w:val="0052402D"/>
    <w:rsid w:val="00660D87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38915"/>
  <w15:chartTrackingRefBased/>
  <w15:docId w15:val="{E914FCB0-613D-4EEF-9C26-A154A73CE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02D"/>
    <w:rPr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40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40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40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40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40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40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40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40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40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40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40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40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40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40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40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40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40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40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40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4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40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40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402D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40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402D"/>
    <w:pPr>
      <w:ind w:left="720"/>
      <w:contextualSpacing/>
    </w:pPr>
    <w:rPr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40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40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40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402D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59"/>
    <w:qFormat/>
    <w:rsid w:val="0052402D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5240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435</Words>
  <Characters>2528</Characters>
  <Application>Microsoft Office Word</Application>
  <DocSecurity>0</DocSecurity>
  <Lines>49</Lines>
  <Paragraphs>16</Paragraphs>
  <ScaleCrop>false</ScaleCrop>
  <Company>Springer Nature</Company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2026-03-18T11:48:00Z</dcterms:created>
  <dcterms:modified xsi:type="dcterms:W3CDTF">2026-03-18T11:49:00Z</dcterms:modified>
</cp:coreProperties>
</file>