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7B2773" w14:textId="77777777" w:rsidR="000A34A0" w:rsidRPr="007B5775" w:rsidRDefault="000A34A0" w:rsidP="000A34A0">
      <w:pPr>
        <w:spacing w:line="480" w:lineRule="auto"/>
        <w:jc w:val="both"/>
        <w:rPr>
          <w:rFonts w:cs="Calibri"/>
          <w:b/>
          <w:bCs/>
          <w:color w:val="000000" w:themeColor="text1"/>
          <w:sz w:val="22"/>
          <w:szCs w:val="22"/>
          <w:lang w:val="en-US"/>
        </w:rPr>
      </w:pPr>
      <w:r w:rsidRPr="007B5775">
        <w:rPr>
          <w:rFonts w:cs="Calibri"/>
          <w:b/>
          <w:bCs/>
          <w:color w:val="000000" w:themeColor="text1"/>
          <w:sz w:val="22"/>
          <w:szCs w:val="22"/>
          <w:lang w:val="en-US"/>
        </w:rPr>
        <w:t>Supplementary Figures</w:t>
      </w:r>
    </w:p>
    <w:p w14:paraId="3AA51DB3" w14:textId="77777777" w:rsidR="000A34A0" w:rsidRPr="007B5775" w:rsidRDefault="000A34A0" w:rsidP="000A34A0">
      <w:pPr>
        <w:spacing w:line="480" w:lineRule="auto"/>
        <w:jc w:val="both"/>
        <w:rPr>
          <w:rFonts w:cs="Calibri"/>
          <w:bCs/>
          <w:color w:val="000000" w:themeColor="text1"/>
          <w:sz w:val="22"/>
          <w:szCs w:val="22"/>
          <w:lang w:val="en-US"/>
        </w:rPr>
      </w:pPr>
      <w:r w:rsidRPr="007B5775">
        <w:rPr>
          <w:rFonts w:cs="Calibri"/>
          <w:bCs/>
          <w:noProof/>
          <w:color w:val="000000" w:themeColor="text1"/>
          <w:sz w:val="22"/>
          <w:szCs w:val="22"/>
          <w:lang w:val="en-US"/>
        </w:rPr>
        <w:drawing>
          <wp:inline distT="0" distB="0" distL="0" distR="0" wp14:anchorId="60BB7712" wp14:editId="12D3CB21">
            <wp:extent cx="3425952" cy="2679192"/>
            <wp:effectExtent l="0" t="0" r="3175" b="6985"/>
            <wp:docPr id="1602432850" name="Picture 1" descr="A diagram of a viru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2432850" name="Picture 1" descr="A diagram of a virus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5952" cy="2679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713B55" w14:textId="77777777" w:rsidR="000A34A0" w:rsidRPr="007B5775" w:rsidRDefault="000A34A0" w:rsidP="000A34A0">
      <w:pPr>
        <w:spacing w:line="480" w:lineRule="auto"/>
        <w:jc w:val="both"/>
        <w:rPr>
          <w:rFonts w:cs="Calibri"/>
          <w:b/>
          <w:bCs/>
          <w:color w:val="000000" w:themeColor="text1"/>
          <w:sz w:val="22"/>
          <w:szCs w:val="22"/>
          <w:lang w:val="en-US"/>
        </w:rPr>
      </w:pPr>
    </w:p>
    <w:p w14:paraId="71FE2DE0" w14:textId="77777777" w:rsidR="000A34A0" w:rsidRPr="007B5775" w:rsidRDefault="000A34A0" w:rsidP="000A34A0">
      <w:pPr>
        <w:spacing w:line="480" w:lineRule="auto"/>
        <w:jc w:val="both"/>
        <w:rPr>
          <w:rFonts w:cs="Calibri"/>
          <w:b/>
          <w:bCs/>
          <w:color w:val="000000" w:themeColor="text1"/>
          <w:sz w:val="22"/>
          <w:szCs w:val="22"/>
          <w:lang w:val="en-US"/>
        </w:rPr>
      </w:pPr>
      <w:r w:rsidRPr="007B5775">
        <w:rPr>
          <w:rFonts w:cs="Calibri"/>
          <w:b/>
          <w:bCs/>
          <w:color w:val="000000" w:themeColor="text1"/>
          <w:sz w:val="22"/>
          <w:szCs w:val="22"/>
          <w:lang w:val="en-US"/>
        </w:rPr>
        <w:t>Supplementary figure S1: Sensitivity of MEF lines for UVC light.</w:t>
      </w:r>
    </w:p>
    <w:p w14:paraId="3F32F046" w14:textId="77777777" w:rsidR="000A34A0" w:rsidRPr="007B5775" w:rsidRDefault="000A34A0" w:rsidP="000A34A0">
      <w:pPr>
        <w:spacing w:line="480" w:lineRule="auto"/>
        <w:jc w:val="both"/>
        <w:rPr>
          <w:rFonts w:cs="Calibri"/>
          <w:bCs/>
          <w:color w:val="000000" w:themeColor="text1"/>
          <w:sz w:val="22"/>
          <w:szCs w:val="22"/>
          <w:lang w:val="en-US"/>
        </w:rPr>
      </w:pPr>
      <w:r w:rsidRPr="007B5775">
        <w:rPr>
          <w:rFonts w:cs="Calibri"/>
          <w:bCs/>
          <w:color w:val="000000" w:themeColor="text1"/>
          <w:sz w:val="22"/>
          <w:szCs w:val="22"/>
          <w:lang w:val="en-US"/>
        </w:rPr>
        <w:t>Relative clonal survival of MEF lines in response to UVC light exposure. Red circles: equitoxic doses. N=3. Error bars: S.D.</w:t>
      </w:r>
    </w:p>
    <w:p w14:paraId="203877B0" w14:textId="77777777" w:rsidR="000A34A0" w:rsidRPr="007B5775" w:rsidRDefault="000A34A0" w:rsidP="000A34A0">
      <w:pPr>
        <w:spacing w:line="480" w:lineRule="auto"/>
        <w:jc w:val="both"/>
        <w:rPr>
          <w:rFonts w:cs="Calibri"/>
          <w:bCs/>
          <w:color w:val="000000" w:themeColor="text1"/>
          <w:sz w:val="22"/>
          <w:szCs w:val="22"/>
          <w:lang w:val="en-US"/>
        </w:rPr>
      </w:pPr>
      <w:r w:rsidRPr="007B5775">
        <w:rPr>
          <w:rFonts w:cs="Calibri"/>
          <w:bCs/>
          <w:color w:val="000000" w:themeColor="text1"/>
          <w:sz w:val="22"/>
          <w:szCs w:val="22"/>
          <w:lang w:val="en-US"/>
        </w:rPr>
        <w:br w:type="page"/>
      </w:r>
    </w:p>
    <w:p w14:paraId="31544EA4" w14:textId="77777777" w:rsidR="000A34A0" w:rsidRPr="007B5775" w:rsidRDefault="000A34A0" w:rsidP="000A34A0">
      <w:pPr>
        <w:spacing w:line="480" w:lineRule="auto"/>
        <w:jc w:val="both"/>
        <w:rPr>
          <w:rFonts w:cs="Calibri"/>
          <w:bCs/>
          <w:color w:val="000000" w:themeColor="text1"/>
          <w:sz w:val="22"/>
          <w:szCs w:val="22"/>
          <w:lang w:val="en-US"/>
        </w:rPr>
      </w:pPr>
      <w:r w:rsidRPr="007B5775">
        <w:rPr>
          <w:rFonts w:cs="Calibri"/>
          <w:bCs/>
          <w:noProof/>
          <w:color w:val="000000" w:themeColor="text1"/>
          <w:sz w:val="22"/>
          <w:szCs w:val="22"/>
          <w:lang w:val="en-US"/>
        </w:rPr>
        <w:lastRenderedPageBreak/>
        <w:drawing>
          <wp:anchor distT="0" distB="0" distL="114300" distR="114300" simplePos="0" relativeHeight="251662336" behindDoc="1" locked="0" layoutInCell="1" allowOverlap="1" wp14:anchorId="62245F71" wp14:editId="286E6392">
            <wp:simplePos x="0" y="0"/>
            <wp:positionH relativeFrom="column">
              <wp:posOffset>-48667</wp:posOffset>
            </wp:positionH>
            <wp:positionV relativeFrom="paragraph">
              <wp:posOffset>479</wp:posOffset>
            </wp:positionV>
            <wp:extent cx="4826000" cy="4845685"/>
            <wp:effectExtent l="0" t="0" r="0" b="0"/>
            <wp:wrapTight wrapText="bothSides">
              <wp:wrapPolygon edited="0">
                <wp:start x="0" y="0"/>
                <wp:lineTo x="0" y="21484"/>
                <wp:lineTo x="21486" y="21484"/>
                <wp:lineTo x="21486" y="0"/>
                <wp:lineTo x="0" y="0"/>
              </wp:wrapPolygon>
            </wp:wrapTight>
            <wp:docPr id="1628226413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6000" cy="4845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A59A9CC" w14:textId="77777777" w:rsidR="000A34A0" w:rsidRPr="007B5775" w:rsidRDefault="000A34A0" w:rsidP="000A34A0">
      <w:pPr>
        <w:spacing w:line="480" w:lineRule="auto"/>
        <w:jc w:val="both"/>
        <w:rPr>
          <w:rFonts w:cs="Calibri"/>
          <w:bCs/>
          <w:color w:val="000000" w:themeColor="text1"/>
          <w:sz w:val="22"/>
          <w:szCs w:val="22"/>
          <w:lang w:val="en-US"/>
        </w:rPr>
      </w:pPr>
    </w:p>
    <w:p w14:paraId="2CD39DC6" w14:textId="77777777" w:rsidR="000A34A0" w:rsidRPr="007B5775" w:rsidRDefault="000A34A0" w:rsidP="000A34A0">
      <w:pPr>
        <w:spacing w:line="480" w:lineRule="auto"/>
        <w:jc w:val="both"/>
        <w:rPr>
          <w:rFonts w:cs="Calibri"/>
          <w:bCs/>
          <w:color w:val="000000" w:themeColor="text1"/>
          <w:sz w:val="22"/>
          <w:szCs w:val="22"/>
          <w:lang w:val="en-US"/>
        </w:rPr>
      </w:pPr>
      <w:r w:rsidRPr="007B5775">
        <w:rPr>
          <w:rFonts w:cs="Calibri"/>
          <w:bCs/>
          <w:color w:val="000000" w:themeColor="text1"/>
          <w:sz w:val="22"/>
          <w:szCs w:val="22"/>
          <w:lang w:val="en-US"/>
        </w:rPr>
        <w:t>\</w:t>
      </w:r>
    </w:p>
    <w:p w14:paraId="4D588447" w14:textId="77777777" w:rsidR="000A34A0" w:rsidRPr="007B5775" w:rsidRDefault="000A34A0" w:rsidP="000A34A0">
      <w:pPr>
        <w:spacing w:line="480" w:lineRule="auto"/>
        <w:jc w:val="both"/>
        <w:rPr>
          <w:rFonts w:cs="Calibri"/>
          <w:bCs/>
          <w:color w:val="000000" w:themeColor="text1"/>
          <w:sz w:val="22"/>
          <w:szCs w:val="22"/>
          <w:lang w:val="en-US"/>
        </w:rPr>
      </w:pPr>
    </w:p>
    <w:p w14:paraId="57D77F58" w14:textId="77777777" w:rsidR="000A34A0" w:rsidRPr="007B5775" w:rsidRDefault="000A34A0" w:rsidP="000A34A0">
      <w:pPr>
        <w:spacing w:line="480" w:lineRule="auto"/>
        <w:jc w:val="both"/>
        <w:rPr>
          <w:rFonts w:cs="Calibri"/>
          <w:b/>
          <w:bCs/>
          <w:color w:val="000000" w:themeColor="text1"/>
          <w:sz w:val="22"/>
          <w:szCs w:val="22"/>
          <w:lang w:val="en-US"/>
        </w:rPr>
      </w:pPr>
      <w:r w:rsidRPr="007B5775">
        <w:rPr>
          <w:rFonts w:cs="Calibri"/>
          <w:b/>
          <w:bCs/>
          <w:color w:val="000000" w:themeColor="text1"/>
          <w:sz w:val="22"/>
          <w:szCs w:val="22"/>
          <w:lang w:val="en-US"/>
        </w:rPr>
        <w:t xml:space="preserve">Supplementary figure S2: Cell cycle progression of </w:t>
      </w:r>
      <w:proofErr w:type="spellStart"/>
      <w:r w:rsidRPr="007B5775">
        <w:rPr>
          <w:rFonts w:cs="Calibri"/>
          <w:b/>
          <w:bCs/>
          <w:i/>
          <w:iCs/>
          <w:color w:val="000000" w:themeColor="text1"/>
          <w:sz w:val="22"/>
          <w:szCs w:val="22"/>
          <w:lang w:val="en-US"/>
        </w:rPr>
        <w:t>Xpc</w:t>
      </w:r>
      <w:proofErr w:type="spellEnd"/>
      <w:r w:rsidRPr="007B5775">
        <w:rPr>
          <w:rFonts w:cs="Calibri"/>
          <w:b/>
          <w:bCs/>
          <w:i/>
          <w:iCs/>
          <w:color w:val="000000" w:themeColor="text1"/>
          <w:sz w:val="22"/>
          <w:szCs w:val="22"/>
          <w:lang w:val="en-US"/>
        </w:rPr>
        <w:t xml:space="preserve"> </w:t>
      </w:r>
      <w:r w:rsidRPr="007B5775">
        <w:rPr>
          <w:rFonts w:cs="Calibri"/>
          <w:b/>
          <w:bCs/>
          <w:color w:val="000000" w:themeColor="text1"/>
          <w:sz w:val="22"/>
          <w:szCs w:val="22"/>
          <w:lang w:val="en-US"/>
        </w:rPr>
        <w:t xml:space="preserve">and </w:t>
      </w:r>
      <w:r w:rsidRPr="007B5775">
        <w:rPr>
          <w:rFonts w:cs="Calibri"/>
          <w:b/>
          <w:bCs/>
          <w:i/>
          <w:iCs/>
          <w:color w:val="000000" w:themeColor="text1"/>
          <w:sz w:val="22"/>
          <w:szCs w:val="22"/>
          <w:lang w:val="en-US"/>
        </w:rPr>
        <w:t xml:space="preserve">Rev1Xpc </w:t>
      </w:r>
      <w:r w:rsidRPr="007B5775">
        <w:rPr>
          <w:rFonts w:cs="Calibri"/>
          <w:b/>
          <w:bCs/>
          <w:color w:val="000000" w:themeColor="text1"/>
          <w:sz w:val="22"/>
          <w:szCs w:val="22"/>
          <w:lang w:val="en-US"/>
        </w:rPr>
        <w:t>cells following low dose UVC exposure.</w:t>
      </w:r>
    </w:p>
    <w:p w14:paraId="013D2DDC" w14:textId="77777777" w:rsidR="000A34A0" w:rsidRPr="007B5775" w:rsidRDefault="000A34A0" w:rsidP="000A34A0">
      <w:pPr>
        <w:spacing w:line="480" w:lineRule="auto"/>
        <w:jc w:val="both"/>
        <w:rPr>
          <w:rFonts w:cs="Calibri"/>
          <w:bCs/>
          <w:color w:val="000000" w:themeColor="text1"/>
          <w:sz w:val="22"/>
          <w:szCs w:val="22"/>
          <w:lang w:val="en-US"/>
        </w:rPr>
      </w:pPr>
      <w:r w:rsidRPr="007B5775">
        <w:rPr>
          <w:rFonts w:cs="Calibri"/>
          <w:bCs/>
          <w:color w:val="000000" w:themeColor="text1"/>
          <w:sz w:val="22"/>
          <w:szCs w:val="22"/>
          <w:lang w:val="en-US"/>
        </w:rPr>
        <w:t xml:space="preserve">Upper panel: FACS plots of cells that were pulse-labeled with </w:t>
      </w:r>
      <w:proofErr w:type="spellStart"/>
      <w:r w:rsidRPr="007B5775">
        <w:rPr>
          <w:rFonts w:cs="Calibri"/>
          <w:bCs/>
          <w:color w:val="000000" w:themeColor="text1"/>
          <w:sz w:val="22"/>
          <w:szCs w:val="22"/>
          <w:lang w:val="en-US"/>
        </w:rPr>
        <w:t>BrdU</w:t>
      </w:r>
      <w:proofErr w:type="spellEnd"/>
      <w:r w:rsidRPr="007B5775">
        <w:rPr>
          <w:rFonts w:cs="Calibri"/>
          <w:bCs/>
          <w:color w:val="000000" w:themeColor="text1"/>
          <w:sz w:val="22"/>
          <w:szCs w:val="22"/>
          <w:lang w:val="en-US"/>
        </w:rPr>
        <w:t xml:space="preserve"> immediately after mock treatment or exposure to 0.4 J/m</w:t>
      </w:r>
      <w:r w:rsidRPr="007B5775">
        <w:rPr>
          <w:rFonts w:cs="Calibri"/>
          <w:bCs/>
          <w:color w:val="000000" w:themeColor="text1"/>
          <w:sz w:val="22"/>
          <w:szCs w:val="22"/>
          <w:vertAlign w:val="superscript"/>
          <w:lang w:val="en-US"/>
        </w:rPr>
        <w:t>2</w:t>
      </w:r>
      <w:r w:rsidRPr="007B5775">
        <w:rPr>
          <w:rFonts w:cs="Calibri"/>
          <w:bCs/>
          <w:color w:val="000000" w:themeColor="text1"/>
          <w:sz w:val="22"/>
          <w:szCs w:val="22"/>
          <w:lang w:val="en-US"/>
        </w:rPr>
        <w:t xml:space="preserve"> UVC and cultured for up to 24 hours after treatment.  Horizontal axis: DNA content per cell, Y axis: incorporated </w:t>
      </w:r>
      <w:proofErr w:type="spellStart"/>
      <w:r w:rsidRPr="007B5775">
        <w:rPr>
          <w:rFonts w:cs="Calibri"/>
          <w:bCs/>
          <w:color w:val="000000" w:themeColor="text1"/>
          <w:sz w:val="22"/>
          <w:szCs w:val="22"/>
          <w:lang w:val="en-US"/>
        </w:rPr>
        <w:t>BrdU</w:t>
      </w:r>
      <w:proofErr w:type="spellEnd"/>
      <w:r w:rsidRPr="007B5775">
        <w:rPr>
          <w:rFonts w:cs="Calibri"/>
          <w:bCs/>
          <w:color w:val="000000" w:themeColor="text1"/>
          <w:sz w:val="22"/>
          <w:szCs w:val="22"/>
          <w:lang w:val="en-US"/>
        </w:rPr>
        <w:t xml:space="preserve">. Arrows display progression of </w:t>
      </w:r>
      <w:proofErr w:type="spellStart"/>
      <w:r w:rsidRPr="007B5775">
        <w:rPr>
          <w:rFonts w:cs="Calibri"/>
          <w:bCs/>
          <w:color w:val="000000" w:themeColor="text1"/>
          <w:sz w:val="22"/>
          <w:szCs w:val="22"/>
          <w:lang w:val="en-US"/>
        </w:rPr>
        <w:t>BrdU</w:t>
      </w:r>
      <w:proofErr w:type="spellEnd"/>
      <w:r w:rsidRPr="007B5775">
        <w:rPr>
          <w:rFonts w:cs="Calibri"/>
          <w:bCs/>
          <w:color w:val="000000" w:themeColor="text1"/>
          <w:sz w:val="22"/>
          <w:szCs w:val="22"/>
          <w:lang w:val="en-US"/>
        </w:rPr>
        <w:t xml:space="preserve"> positive cells to the next cell cycle. </w:t>
      </w:r>
      <w:r w:rsidRPr="007B5775">
        <w:rPr>
          <w:rFonts w:cs="Calibri"/>
          <w:bCs/>
          <w:i/>
          <w:iCs/>
          <w:color w:val="000000" w:themeColor="text1"/>
          <w:sz w:val="22"/>
          <w:szCs w:val="22"/>
          <w:lang w:val="en-US"/>
        </w:rPr>
        <w:t>Rev1Xpc</w:t>
      </w:r>
      <w:r w:rsidRPr="007B5775">
        <w:rPr>
          <w:rFonts w:cs="Calibri"/>
          <w:bCs/>
          <w:color w:val="000000" w:themeColor="text1"/>
          <w:sz w:val="22"/>
          <w:szCs w:val="22"/>
          <w:lang w:val="en-US"/>
        </w:rPr>
        <w:t xml:space="preserve"> cells show delayed progression to the second cell cycle following 0.4J/m</w:t>
      </w:r>
      <w:r w:rsidRPr="007B5775">
        <w:rPr>
          <w:rFonts w:cs="Calibri"/>
          <w:bCs/>
          <w:color w:val="000000" w:themeColor="text1"/>
          <w:sz w:val="22"/>
          <w:szCs w:val="22"/>
          <w:vertAlign w:val="superscript"/>
          <w:lang w:val="en-US"/>
        </w:rPr>
        <w:t>2</w:t>
      </w:r>
      <w:r w:rsidRPr="007B5775">
        <w:rPr>
          <w:rFonts w:cs="Calibri"/>
          <w:bCs/>
          <w:color w:val="000000" w:themeColor="text1"/>
          <w:sz w:val="22"/>
          <w:szCs w:val="22"/>
          <w:lang w:val="en-US"/>
        </w:rPr>
        <w:t xml:space="preserve"> UV exposure. Lower panel: quantification of </w:t>
      </w:r>
      <w:proofErr w:type="spellStart"/>
      <w:r w:rsidRPr="007B5775">
        <w:rPr>
          <w:rFonts w:cs="Calibri"/>
          <w:bCs/>
          <w:color w:val="000000" w:themeColor="text1"/>
          <w:sz w:val="22"/>
          <w:szCs w:val="22"/>
          <w:lang w:val="en-US"/>
        </w:rPr>
        <w:t>BrdU</w:t>
      </w:r>
      <w:proofErr w:type="spellEnd"/>
      <w:r w:rsidRPr="007B5775">
        <w:rPr>
          <w:rFonts w:cs="Calibri"/>
          <w:bCs/>
          <w:color w:val="000000" w:themeColor="text1"/>
          <w:sz w:val="22"/>
          <w:szCs w:val="22"/>
          <w:vertAlign w:val="superscript"/>
          <w:lang w:val="en-US"/>
        </w:rPr>
        <w:t xml:space="preserve">+ </w:t>
      </w:r>
      <w:r w:rsidRPr="007B5775">
        <w:rPr>
          <w:rFonts w:cs="Calibri"/>
          <w:bCs/>
          <w:color w:val="000000" w:themeColor="text1"/>
          <w:sz w:val="22"/>
          <w:szCs w:val="22"/>
          <w:lang w:val="en-US"/>
        </w:rPr>
        <w:t xml:space="preserve"> </w:t>
      </w:r>
      <w:r w:rsidRPr="007B5775">
        <w:rPr>
          <w:rFonts w:cs="Calibri"/>
          <w:bCs/>
          <w:i/>
          <w:color w:val="000000" w:themeColor="text1"/>
          <w:sz w:val="22"/>
          <w:szCs w:val="22"/>
          <w:lang w:val="en-US"/>
        </w:rPr>
        <w:t>Rev1Xpc</w:t>
      </w:r>
      <w:r w:rsidRPr="007B5775">
        <w:rPr>
          <w:rFonts w:cs="Calibri"/>
          <w:bCs/>
          <w:color w:val="000000" w:themeColor="text1"/>
          <w:sz w:val="22"/>
          <w:szCs w:val="22"/>
          <w:lang w:val="en-US"/>
        </w:rPr>
        <w:t xml:space="preserve"> cells that reappear at the G1/early S phases of the next cell cycle following mock treatment or exposure to 0.4 – 2 J/m</w:t>
      </w:r>
      <w:r w:rsidRPr="007B5775">
        <w:rPr>
          <w:rFonts w:cs="Calibri"/>
          <w:bCs/>
          <w:color w:val="000000" w:themeColor="text1"/>
          <w:sz w:val="22"/>
          <w:szCs w:val="22"/>
          <w:vertAlign w:val="superscript"/>
          <w:lang w:val="en-US"/>
        </w:rPr>
        <w:t>2</w:t>
      </w:r>
      <w:r w:rsidRPr="007B5775">
        <w:rPr>
          <w:rFonts w:cs="Calibri"/>
          <w:bCs/>
          <w:color w:val="000000" w:themeColor="text1"/>
          <w:sz w:val="22"/>
          <w:szCs w:val="22"/>
          <w:lang w:val="en-US"/>
        </w:rPr>
        <w:t xml:space="preserve"> of UVC. Cells were pulse-labelled with </w:t>
      </w:r>
      <w:proofErr w:type="spellStart"/>
      <w:r w:rsidRPr="007B5775">
        <w:rPr>
          <w:rFonts w:cs="Calibri"/>
          <w:bCs/>
          <w:color w:val="000000" w:themeColor="text1"/>
          <w:sz w:val="22"/>
          <w:szCs w:val="22"/>
          <w:lang w:val="en-US"/>
        </w:rPr>
        <w:t>BrdU</w:t>
      </w:r>
      <w:proofErr w:type="spellEnd"/>
      <w:r w:rsidRPr="007B5775">
        <w:rPr>
          <w:rFonts w:cs="Calibri"/>
          <w:bCs/>
          <w:color w:val="000000" w:themeColor="text1"/>
          <w:sz w:val="22"/>
          <w:szCs w:val="22"/>
          <w:lang w:val="en-US"/>
        </w:rPr>
        <w:t xml:space="preserve"> immediately after UV exposure or mock treatment. </w:t>
      </w:r>
      <w:r w:rsidRPr="007B5775">
        <w:rPr>
          <w:rFonts w:cs="Calibri"/>
          <w:bCs/>
          <w:color w:val="000000" w:themeColor="text1"/>
          <w:sz w:val="22"/>
          <w:szCs w:val="22"/>
          <w:lang w:val="en-US"/>
        </w:rPr>
        <w:br w:type="page"/>
      </w:r>
    </w:p>
    <w:p w14:paraId="23151110" w14:textId="77777777" w:rsidR="000A34A0" w:rsidRPr="007B5775" w:rsidRDefault="000A34A0" w:rsidP="000A34A0">
      <w:pPr>
        <w:spacing w:line="480" w:lineRule="auto"/>
        <w:jc w:val="both"/>
        <w:rPr>
          <w:rFonts w:cs="Calibri"/>
          <w:bCs/>
          <w:color w:val="000000" w:themeColor="text1"/>
          <w:sz w:val="22"/>
          <w:szCs w:val="22"/>
          <w:lang w:val="en-US"/>
        </w:rPr>
      </w:pPr>
      <w:r w:rsidRPr="007B5775">
        <w:rPr>
          <w:rFonts w:cs="Calibri"/>
          <w:bCs/>
          <w:noProof/>
          <w:color w:val="000000" w:themeColor="text1"/>
          <w:sz w:val="22"/>
          <w:szCs w:val="22"/>
          <w:lang w:val="en-US"/>
        </w:rPr>
        <w:lastRenderedPageBreak/>
        <w:drawing>
          <wp:anchor distT="0" distB="0" distL="114300" distR="114300" simplePos="0" relativeHeight="251661312" behindDoc="1" locked="0" layoutInCell="1" allowOverlap="1" wp14:anchorId="2DEE92A2" wp14:editId="347C2C57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5222875" cy="4646930"/>
            <wp:effectExtent l="0" t="0" r="0" b="1270"/>
            <wp:wrapTight wrapText="bothSides">
              <wp:wrapPolygon edited="0">
                <wp:start x="0" y="0"/>
                <wp:lineTo x="0" y="21517"/>
                <wp:lineTo x="21508" y="21517"/>
                <wp:lineTo x="21508" y="0"/>
                <wp:lineTo x="0" y="0"/>
              </wp:wrapPolygon>
            </wp:wrapTight>
            <wp:docPr id="134123173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2875" cy="4646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B5775">
        <w:rPr>
          <w:rFonts w:cs="Calibri"/>
          <w:bCs/>
          <w:noProof/>
          <w:color w:val="000000" w:themeColor="text1"/>
          <w:sz w:val="22"/>
          <w:szCs w:val="22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BDD721" wp14:editId="7FF2D870">
                <wp:simplePos x="0" y="0"/>
                <wp:positionH relativeFrom="column">
                  <wp:posOffset>1666874</wp:posOffset>
                </wp:positionH>
                <wp:positionV relativeFrom="paragraph">
                  <wp:posOffset>3813733</wp:posOffset>
                </wp:positionV>
                <wp:extent cx="96033" cy="116910"/>
                <wp:effectExtent l="0" t="19050" r="18415" b="16510"/>
                <wp:wrapNone/>
                <wp:docPr id="872617051" name="Isosceles Tri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1718001">
                          <a:off x="0" y="0"/>
                          <a:ext cx="96033" cy="116910"/>
                        </a:xfrm>
                        <a:prstGeom prst="triangle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58B6CC9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Isosceles Triangle 1" o:spid="_x0000_s1026" type="#_x0000_t5" style="position:absolute;margin-left:131.25pt;margin-top:300.3pt;width:7.55pt;height:9.2pt;rotation:-10793778fd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" fillcolor="white [3212]" stroked="f" strokeweight="1.5pt"/>
            </w:pict>
          </mc:Fallback>
        </mc:AlternateContent>
      </w:r>
      <w:r w:rsidRPr="007B5775">
        <w:rPr>
          <w:rFonts w:cs="Calibri"/>
          <w:bCs/>
          <w:noProof/>
          <w:color w:val="000000" w:themeColor="text1"/>
          <w:sz w:val="22"/>
          <w:szCs w:val="22"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2663D85" wp14:editId="4752E278">
                <wp:simplePos x="0" y="0"/>
                <wp:positionH relativeFrom="column">
                  <wp:posOffset>1582237</wp:posOffset>
                </wp:positionH>
                <wp:positionV relativeFrom="paragraph">
                  <wp:posOffset>4058007</wp:posOffset>
                </wp:positionV>
                <wp:extent cx="96033" cy="116910"/>
                <wp:effectExtent l="0" t="0" r="0" b="0"/>
                <wp:wrapNone/>
                <wp:docPr id="1305795582" name="Isosceles Tri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96033" cy="116910"/>
                        </a:xfrm>
                        <a:prstGeom prst="triangle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8BCACE3" id="Isosceles Triangle 1" o:spid="_x0000_s1026" type="#_x0000_t5" style="position:absolute;margin-left:124.6pt;margin-top:319.55pt;width:7.55pt;height:9.2pt;rotation:180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" fillcolor="window" stroked="f" strokeweight="2pt"/>
            </w:pict>
          </mc:Fallback>
        </mc:AlternateContent>
      </w:r>
    </w:p>
    <w:p w14:paraId="7A3C58DE" w14:textId="77777777" w:rsidR="000A34A0" w:rsidRPr="007B5775" w:rsidRDefault="000A34A0" w:rsidP="000A34A0">
      <w:pPr>
        <w:spacing w:line="480" w:lineRule="auto"/>
        <w:jc w:val="both"/>
        <w:rPr>
          <w:rFonts w:cs="Calibri"/>
          <w:b/>
          <w:bCs/>
          <w:iCs/>
          <w:color w:val="000000" w:themeColor="text1"/>
          <w:sz w:val="22"/>
          <w:szCs w:val="22"/>
          <w:lang w:val="en-US"/>
        </w:rPr>
      </w:pPr>
      <w:r w:rsidRPr="007B5775">
        <w:rPr>
          <w:rFonts w:cs="Calibri"/>
          <w:b/>
          <w:bCs/>
          <w:iCs/>
          <w:color w:val="000000" w:themeColor="text1"/>
          <w:sz w:val="22"/>
          <w:szCs w:val="22"/>
          <w:lang w:val="en-US"/>
        </w:rPr>
        <w:t>Supplementary figure S3: Aberrant chromosomes following UVC exposure.</w:t>
      </w:r>
    </w:p>
    <w:p w14:paraId="782A41FB" w14:textId="77777777" w:rsidR="000A34A0" w:rsidRPr="007B5775" w:rsidRDefault="000A34A0" w:rsidP="000A34A0">
      <w:pPr>
        <w:spacing w:line="480" w:lineRule="auto"/>
        <w:jc w:val="both"/>
        <w:rPr>
          <w:rFonts w:cs="Calibri"/>
          <w:bCs/>
          <w:color w:val="000000" w:themeColor="text1"/>
          <w:sz w:val="22"/>
          <w:szCs w:val="22"/>
          <w:lang w:val="en-US"/>
        </w:rPr>
      </w:pPr>
      <w:r w:rsidRPr="007B5775">
        <w:rPr>
          <w:rFonts w:cs="Calibri"/>
          <w:bCs/>
          <w:i/>
          <w:color w:val="000000" w:themeColor="text1"/>
          <w:sz w:val="22"/>
          <w:szCs w:val="22"/>
          <w:lang w:val="en-US"/>
        </w:rPr>
        <w:t xml:space="preserve">Rev1Xpc </w:t>
      </w:r>
      <w:r w:rsidRPr="007B5775">
        <w:rPr>
          <w:rFonts w:cs="Calibri"/>
          <w:bCs/>
          <w:iCs/>
          <w:color w:val="000000" w:themeColor="text1"/>
          <w:sz w:val="22"/>
          <w:szCs w:val="22"/>
          <w:lang w:val="en-US"/>
        </w:rPr>
        <w:t xml:space="preserve">MEFs were labelled with </w:t>
      </w:r>
      <w:proofErr w:type="spellStart"/>
      <w:r w:rsidRPr="007B5775">
        <w:rPr>
          <w:rFonts w:cs="Calibri"/>
          <w:bCs/>
          <w:iCs/>
          <w:color w:val="000000" w:themeColor="text1"/>
          <w:sz w:val="22"/>
          <w:szCs w:val="22"/>
          <w:lang w:val="en-US"/>
        </w:rPr>
        <w:t>BrdU</w:t>
      </w:r>
      <w:proofErr w:type="spellEnd"/>
      <w:r w:rsidRPr="007B5775">
        <w:rPr>
          <w:rFonts w:cs="Calibri"/>
          <w:bCs/>
          <w:iCs/>
          <w:color w:val="000000" w:themeColor="text1"/>
          <w:sz w:val="22"/>
          <w:szCs w:val="22"/>
          <w:lang w:val="en-US"/>
        </w:rPr>
        <w:t xml:space="preserve"> (S phase of exposure) immediately upon UVC exposure (0,4 J/m</w:t>
      </w:r>
      <w:r w:rsidRPr="007B5775">
        <w:rPr>
          <w:rFonts w:cs="Calibri"/>
          <w:bCs/>
          <w:iCs/>
          <w:color w:val="000000" w:themeColor="text1"/>
          <w:sz w:val="22"/>
          <w:szCs w:val="22"/>
          <w:vertAlign w:val="superscript"/>
          <w:lang w:val="en-US"/>
        </w:rPr>
        <w:t>2</w:t>
      </w:r>
      <w:r w:rsidRPr="007B5775">
        <w:rPr>
          <w:rFonts w:cs="Calibri"/>
          <w:bCs/>
          <w:iCs/>
          <w:color w:val="000000" w:themeColor="text1"/>
          <w:sz w:val="22"/>
          <w:szCs w:val="22"/>
          <w:lang w:val="en-US"/>
        </w:rPr>
        <w:t xml:space="preserve">), and with </w:t>
      </w:r>
      <w:proofErr w:type="spellStart"/>
      <w:r w:rsidRPr="007B5775">
        <w:rPr>
          <w:rFonts w:cs="Calibri"/>
          <w:bCs/>
          <w:iCs/>
          <w:color w:val="000000" w:themeColor="text1"/>
          <w:sz w:val="22"/>
          <w:szCs w:val="22"/>
          <w:lang w:val="en-US"/>
        </w:rPr>
        <w:t>EdU</w:t>
      </w:r>
      <w:proofErr w:type="spellEnd"/>
      <w:r w:rsidRPr="007B5775">
        <w:rPr>
          <w:rFonts w:cs="Calibri"/>
          <w:bCs/>
          <w:iCs/>
          <w:color w:val="000000" w:themeColor="text1"/>
          <w:sz w:val="22"/>
          <w:szCs w:val="22"/>
          <w:lang w:val="en-US"/>
        </w:rPr>
        <w:t xml:space="preserve"> (second S phase), at 22 hours after exposure. Blue: DAPI. Cells were arrested at 40 hours beyond exposure using </w:t>
      </w:r>
      <w:proofErr w:type="spellStart"/>
      <w:r w:rsidRPr="007B5775">
        <w:rPr>
          <w:rFonts w:cs="Calibri"/>
          <w:bCs/>
          <w:iCs/>
          <w:color w:val="000000" w:themeColor="text1"/>
          <w:sz w:val="22"/>
          <w:szCs w:val="22"/>
          <w:lang w:val="en-US"/>
        </w:rPr>
        <w:t>Colcemid</w:t>
      </w:r>
      <w:proofErr w:type="spellEnd"/>
      <w:r w:rsidRPr="007B5775">
        <w:rPr>
          <w:rFonts w:cs="Calibri"/>
          <w:bCs/>
          <w:iCs/>
          <w:color w:val="000000" w:themeColor="text1"/>
          <w:sz w:val="22"/>
          <w:szCs w:val="22"/>
          <w:lang w:val="en-US"/>
        </w:rPr>
        <w:t>. These paired chromatids are believed to be intermediates in the generation of chromosomal rearrangements. White arrow: chromatid break.</w:t>
      </w:r>
      <w:r w:rsidRPr="007B5775">
        <w:rPr>
          <w:rFonts w:cs="Calibri"/>
          <w:bCs/>
          <w:color w:val="000000" w:themeColor="text1"/>
          <w:sz w:val="22"/>
          <w:szCs w:val="22"/>
          <w:lang w:val="en-US"/>
        </w:rPr>
        <w:t xml:space="preserve"> </w:t>
      </w:r>
    </w:p>
    <w:p w14:paraId="0832300D" w14:textId="77777777" w:rsidR="000A34A0" w:rsidRPr="007B5775" w:rsidRDefault="000A34A0" w:rsidP="000A34A0">
      <w:pPr>
        <w:spacing w:line="480" w:lineRule="auto"/>
        <w:jc w:val="both"/>
        <w:rPr>
          <w:rFonts w:cs="Calibri"/>
          <w:bCs/>
          <w:color w:val="000000" w:themeColor="text1"/>
          <w:sz w:val="22"/>
          <w:szCs w:val="22"/>
          <w:lang w:val="en-US"/>
        </w:rPr>
      </w:pPr>
      <w:r w:rsidRPr="007B5775">
        <w:rPr>
          <w:rFonts w:cs="Calibri"/>
          <w:bCs/>
          <w:color w:val="000000" w:themeColor="text1"/>
          <w:sz w:val="22"/>
          <w:szCs w:val="22"/>
          <w:lang w:val="en-US"/>
        </w:rPr>
        <w:br w:type="page"/>
      </w:r>
    </w:p>
    <w:p w14:paraId="086A0B90" w14:textId="77777777" w:rsidR="000A34A0" w:rsidRPr="007B5775" w:rsidRDefault="000A34A0" w:rsidP="000A34A0">
      <w:pPr>
        <w:spacing w:line="480" w:lineRule="auto"/>
        <w:jc w:val="both"/>
        <w:rPr>
          <w:rFonts w:cs="Calibri"/>
          <w:bCs/>
          <w:color w:val="000000" w:themeColor="text1"/>
          <w:sz w:val="22"/>
          <w:szCs w:val="22"/>
          <w:lang w:val="en-US"/>
        </w:rPr>
      </w:pPr>
      <w:r w:rsidRPr="007B5775">
        <w:rPr>
          <w:rFonts w:cs="Calibri"/>
          <w:bCs/>
          <w:noProof/>
          <w:color w:val="000000" w:themeColor="text1"/>
          <w:sz w:val="22"/>
          <w:szCs w:val="22"/>
          <w:lang w:val="en-US"/>
        </w:rPr>
        <w:lastRenderedPageBreak/>
        <w:drawing>
          <wp:inline distT="0" distB="0" distL="0" distR="0" wp14:anchorId="51C6F68D" wp14:editId="58ED5AB5">
            <wp:extent cx="2447636" cy="2641508"/>
            <wp:effectExtent l="0" t="0" r="0" b="6985"/>
            <wp:docPr id="1282237012" name="Picture 4" descr="A collage of images of different colo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2237012" name="Picture 4" descr="A collage of images of different colors&#10;&#10;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7468" cy="26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4A4690" w14:textId="77777777" w:rsidR="000A34A0" w:rsidRPr="007B5775" w:rsidRDefault="000A34A0" w:rsidP="000A34A0">
      <w:pPr>
        <w:spacing w:line="480" w:lineRule="auto"/>
        <w:jc w:val="both"/>
        <w:rPr>
          <w:rFonts w:cs="Calibri"/>
          <w:bCs/>
          <w:color w:val="000000" w:themeColor="text1"/>
          <w:sz w:val="22"/>
          <w:szCs w:val="22"/>
          <w:lang w:val="en-US"/>
        </w:rPr>
      </w:pPr>
    </w:p>
    <w:p w14:paraId="2781E572" w14:textId="77777777" w:rsidR="000A34A0" w:rsidRPr="007B5775" w:rsidRDefault="000A34A0" w:rsidP="000A34A0">
      <w:pPr>
        <w:spacing w:line="480" w:lineRule="auto"/>
        <w:jc w:val="both"/>
        <w:rPr>
          <w:rFonts w:cs="Calibri"/>
          <w:b/>
          <w:bCs/>
          <w:color w:val="000000" w:themeColor="text1"/>
          <w:sz w:val="22"/>
          <w:szCs w:val="22"/>
          <w:lang w:val="en-US"/>
        </w:rPr>
      </w:pPr>
      <w:r w:rsidRPr="007B5775">
        <w:rPr>
          <w:rFonts w:cs="Calibri"/>
          <w:b/>
          <w:bCs/>
          <w:color w:val="000000" w:themeColor="text1"/>
          <w:sz w:val="22"/>
          <w:szCs w:val="22"/>
          <w:lang w:val="en-US"/>
        </w:rPr>
        <w:t xml:space="preserve">Supplementary figure S4: Chk1 phosphorylation in </w:t>
      </w:r>
      <w:r w:rsidRPr="007B5775">
        <w:rPr>
          <w:rFonts w:cs="Calibri"/>
          <w:b/>
          <w:bCs/>
          <w:i/>
          <w:iCs/>
          <w:color w:val="000000" w:themeColor="text1"/>
          <w:sz w:val="22"/>
          <w:szCs w:val="22"/>
          <w:lang w:val="en-US"/>
        </w:rPr>
        <w:t>Rev1Xpc</w:t>
      </w:r>
      <w:r w:rsidRPr="007B5775">
        <w:rPr>
          <w:rFonts w:cs="Calibri"/>
          <w:b/>
          <w:bCs/>
          <w:color w:val="000000" w:themeColor="text1"/>
          <w:sz w:val="22"/>
          <w:szCs w:val="22"/>
          <w:lang w:val="en-US"/>
        </w:rPr>
        <w:t xml:space="preserve"> cells following low dose UVC exposure.</w:t>
      </w:r>
    </w:p>
    <w:p w14:paraId="3D4C05CE" w14:textId="77777777" w:rsidR="000A34A0" w:rsidRPr="007B5775" w:rsidRDefault="000A34A0" w:rsidP="000A34A0">
      <w:pPr>
        <w:spacing w:line="480" w:lineRule="auto"/>
        <w:jc w:val="both"/>
        <w:rPr>
          <w:rFonts w:cs="Calibri"/>
          <w:bCs/>
          <w:color w:val="000000" w:themeColor="text1"/>
          <w:sz w:val="22"/>
          <w:szCs w:val="22"/>
          <w:lang w:val="en-US"/>
        </w:rPr>
      </w:pPr>
      <w:r w:rsidRPr="007B5775">
        <w:rPr>
          <w:rFonts w:cs="Calibri"/>
          <w:bCs/>
          <w:color w:val="000000" w:themeColor="text1"/>
          <w:sz w:val="22"/>
          <w:szCs w:val="22"/>
          <w:lang w:val="en-US"/>
        </w:rPr>
        <w:t xml:space="preserve">Immediately following UVC exposure, S phase </w:t>
      </w:r>
      <w:r w:rsidRPr="007B5775">
        <w:rPr>
          <w:rFonts w:cs="Calibri"/>
          <w:bCs/>
          <w:i/>
          <w:iCs/>
          <w:color w:val="000000" w:themeColor="text1"/>
          <w:sz w:val="22"/>
          <w:szCs w:val="22"/>
          <w:lang w:val="en-US"/>
        </w:rPr>
        <w:t xml:space="preserve">Rev1Xpc </w:t>
      </w:r>
      <w:r w:rsidRPr="007B5775">
        <w:rPr>
          <w:rFonts w:cs="Calibri"/>
          <w:bCs/>
          <w:color w:val="000000" w:themeColor="text1"/>
          <w:sz w:val="22"/>
          <w:szCs w:val="22"/>
          <w:lang w:val="en-US"/>
        </w:rPr>
        <w:t xml:space="preserve">cells were pulse-labelled with </w:t>
      </w:r>
      <w:proofErr w:type="spellStart"/>
      <w:r w:rsidRPr="007B5775">
        <w:rPr>
          <w:rFonts w:cs="Calibri"/>
          <w:bCs/>
          <w:color w:val="000000" w:themeColor="text1"/>
          <w:sz w:val="22"/>
          <w:szCs w:val="22"/>
          <w:lang w:val="en-US"/>
        </w:rPr>
        <w:t>EdU</w:t>
      </w:r>
      <w:proofErr w:type="spellEnd"/>
      <w:r w:rsidRPr="007B5775">
        <w:rPr>
          <w:rFonts w:cs="Calibri"/>
          <w:bCs/>
          <w:color w:val="000000" w:themeColor="text1"/>
          <w:sz w:val="22"/>
          <w:szCs w:val="22"/>
          <w:lang w:val="en-US"/>
        </w:rPr>
        <w:t>. Eight hours after UVC exposure, cells were fixed and (</w:t>
      </w:r>
      <w:proofErr w:type="spellStart"/>
      <w:r w:rsidRPr="007B5775">
        <w:rPr>
          <w:rFonts w:cs="Calibri"/>
          <w:bCs/>
          <w:color w:val="000000" w:themeColor="text1"/>
          <w:sz w:val="22"/>
          <w:szCs w:val="22"/>
          <w:lang w:val="en-US"/>
        </w:rPr>
        <w:t>immuno</w:t>
      </w:r>
      <w:proofErr w:type="spellEnd"/>
      <w:r w:rsidRPr="007B5775">
        <w:rPr>
          <w:rFonts w:cs="Calibri"/>
          <w:bCs/>
          <w:color w:val="000000" w:themeColor="text1"/>
          <w:sz w:val="22"/>
          <w:szCs w:val="22"/>
          <w:lang w:val="en-US"/>
        </w:rPr>
        <w:t xml:space="preserve">)stained for </w:t>
      </w:r>
      <w:proofErr w:type="spellStart"/>
      <w:r w:rsidRPr="007B5775">
        <w:rPr>
          <w:rFonts w:cs="Calibri"/>
          <w:bCs/>
          <w:color w:val="000000" w:themeColor="text1"/>
          <w:sz w:val="22"/>
          <w:szCs w:val="22"/>
          <w:lang w:val="en-US"/>
        </w:rPr>
        <w:t>EdU</w:t>
      </w:r>
      <w:proofErr w:type="spellEnd"/>
      <w:r w:rsidRPr="007B5775">
        <w:rPr>
          <w:rFonts w:cs="Calibri"/>
          <w:bCs/>
          <w:color w:val="000000" w:themeColor="text1"/>
          <w:sz w:val="22"/>
          <w:szCs w:val="22"/>
          <w:lang w:val="en-US"/>
        </w:rPr>
        <w:t xml:space="preserve"> and for phosphorylated Chk1 (Chk1</w:t>
      </w:r>
      <w:r w:rsidRPr="007B5775">
        <w:rPr>
          <w:rFonts w:cs="Calibri"/>
          <w:bCs/>
          <w:color w:val="000000" w:themeColor="text1"/>
          <w:sz w:val="22"/>
          <w:szCs w:val="22"/>
          <w:vertAlign w:val="superscript"/>
          <w:lang w:val="en-US"/>
        </w:rPr>
        <w:t>p</w:t>
      </w:r>
      <w:r w:rsidRPr="007B5775">
        <w:rPr>
          <w:rFonts w:cs="Calibri"/>
          <w:bCs/>
          <w:color w:val="000000" w:themeColor="text1"/>
          <w:sz w:val="22"/>
          <w:szCs w:val="22"/>
          <w:lang w:val="en-US"/>
        </w:rPr>
        <w:t xml:space="preserve">). </w:t>
      </w:r>
      <w:r w:rsidRPr="007B5775">
        <w:rPr>
          <w:rFonts w:cs="Calibri"/>
          <w:bCs/>
          <w:color w:val="000000" w:themeColor="text1"/>
          <w:sz w:val="22"/>
          <w:szCs w:val="22"/>
          <w:lang w:val="en-US"/>
        </w:rPr>
        <w:br w:type="page"/>
      </w:r>
    </w:p>
    <w:p w14:paraId="28877CF0" w14:textId="77777777" w:rsidR="000A34A0" w:rsidRPr="007B5775" w:rsidRDefault="000A34A0" w:rsidP="000A34A0">
      <w:pPr>
        <w:spacing w:line="480" w:lineRule="auto"/>
        <w:jc w:val="both"/>
        <w:rPr>
          <w:rFonts w:cs="Calibri"/>
          <w:bCs/>
          <w:color w:val="000000" w:themeColor="text1"/>
          <w:sz w:val="22"/>
          <w:szCs w:val="22"/>
          <w:lang w:val="en-US"/>
        </w:rPr>
      </w:pPr>
      <w:r w:rsidRPr="007B5775">
        <w:rPr>
          <w:rFonts w:cs="Calibri"/>
          <w:bCs/>
          <w:noProof/>
          <w:color w:val="000000" w:themeColor="text1"/>
          <w:sz w:val="22"/>
          <w:szCs w:val="22"/>
          <w:lang w:val="en-US"/>
        </w:rPr>
        <w:lastRenderedPageBreak/>
        <w:drawing>
          <wp:anchor distT="0" distB="0" distL="114300" distR="114300" simplePos="0" relativeHeight="251663360" behindDoc="1" locked="0" layoutInCell="1" allowOverlap="1" wp14:anchorId="24BDC9A4" wp14:editId="1FED6408">
            <wp:simplePos x="0" y="0"/>
            <wp:positionH relativeFrom="margin">
              <wp:posOffset>-635</wp:posOffset>
            </wp:positionH>
            <wp:positionV relativeFrom="paragraph">
              <wp:posOffset>0</wp:posOffset>
            </wp:positionV>
            <wp:extent cx="5501005" cy="6661150"/>
            <wp:effectExtent l="0" t="0" r="4445" b="6350"/>
            <wp:wrapTopAndBottom/>
            <wp:docPr id="47875218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1005" cy="666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0D0D981" w14:textId="77777777" w:rsidR="000A34A0" w:rsidRPr="007B5775" w:rsidRDefault="000A34A0" w:rsidP="000A34A0">
      <w:pPr>
        <w:spacing w:line="480" w:lineRule="auto"/>
        <w:jc w:val="both"/>
        <w:rPr>
          <w:rFonts w:cs="Calibri"/>
          <w:b/>
          <w:bCs/>
          <w:color w:val="000000" w:themeColor="text1"/>
          <w:sz w:val="22"/>
          <w:szCs w:val="22"/>
          <w:lang w:val="en-US"/>
        </w:rPr>
      </w:pPr>
      <w:r w:rsidRPr="007B5775">
        <w:rPr>
          <w:rFonts w:cs="Calibri"/>
          <w:b/>
          <w:bCs/>
          <w:color w:val="000000" w:themeColor="text1"/>
          <w:sz w:val="22"/>
          <w:szCs w:val="22"/>
          <w:lang w:val="en-US"/>
        </w:rPr>
        <w:t>Supplementary figure S5: Chromosomal aberrations in wild type cells visualized by COBRA-FISH.</w:t>
      </w:r>
    </w:p>
    <w:p w14:paraId="17350D4C" w14:textId="77777777" w:rsidR="000A34A0" w:rsidRPr="007B5775" w:rsidRDefault="000A34A0" w:rsidP="000A34A0">
      <w:pPr>
        <w:spacing w:line="480" w:lineRule="auto"/>
        <w:jc w:val="both"/>
        <w:rPr>
          <w:rFonts w:cs="Calibri"/>
          <w:bCs/>
          <w:color w:val="000000" w:themeColor="text1"/>
          <w:sz w:val="22"/>
          <w:szCs w:val="22"/>
          <w:lang w:val="en-US"/>
        </w:rPr>
      </w:pPr>
      <w:r w:rsidRPr="007B5775">
        <w:rPr>
          <w:rFonts w:cs="Calibri"/>
          <w:bCs/>
          <w:color w:val="000000" w:themeColor="text1"/>
          <w:sz w:val="22"/>
          <w:szCs w:val="22"/>
          <w:lang w:val="en-US"/>
        </w:rPr>
        <w:t>COBRA-FISH analysis of wild type MEFs, 2 or 7 days after mock treatment or exposure to a mildly toxic UVC dose (7.5 J/m</w:t>
      </w:r>
      <w:r w:rsidRPr="007B5775">
        <w:rPr>
          <w:rFonts w:cs="Calibri"/>
          <w:bCs/>
          <w:color w:val="000000" w:themeColor="text1"/>
          <w:sz w:val="22"/>
          <w:szCs w:val="22"/>
          <w:vertAlign w:val="superscript"/>
          <w:lang w:val="en-US"/>
        </w:rPr>
        <w:t>2</w:t>
      </w:r>
      <w:r w:rsidRPr="007B5775">
        <w:rPr>
          <w:rFonts w:cs="Calibri"/>
          <w:bCs/>
          <w:color w:val="000000" w:themeColor="text1"/>
          <w:sz w:val="22"/>
          <w:szCs w:val="22"/>
          <w:lang w:val="en-US"/>
        </w:rPr>
        <w:t>) showing stable chromosomal aberrations (white arrows).</w:t>
      </w:r>
    </w:p>
    <w:p w14:paraId="694BD195" w14:textId="77777777" w:rsidR="000A34A0" w:rsidRPr="007B5775" w:rsidRDefault="000A34A0" w:rsidP="000A34A0">
      <w:pPr>
        <w:spacing w:line="480" w:lineRule="auto"/>
        <w:jc w:val="both"/>
        <w:rPr>
          <w:rFonts w:cs="Calibri"/>
          <w:bCs/>
          <w:color w:val="000000" w:themeColor="text1"/>
          <w:sz w:val="22"/>
          <w:szCs w:val="22"/>
          <w:lang w:val="en-US"/>
        </w:rPr>
      </w:pPr>
      <w:r w:rsidRPr="007B5775">
        <w:rPr>
          <w:rFonts w:cs="Calibri"/>
          <w:bCs/>
          <w:color w:val="000000" w:themeColor="text1"/>
          <w:sz w:val="22"/>
          <w:szCs w:val="22"/>
          <w:lang w:val="en-US"/>
        </w:rPr>
        <w:lastRenderedPageBreak/>
        <w:br w:type="page"/>
      </w:r>
    </w:p>
    <w:tbl>
      <w:tblPr>
        <w:tblStyle w:val="LightGrid"/>
        <w:tblpPr w:leftFromText="141" w:rightFromText="141" w:horzAnchor="margin" w:tblpY="631"/>
        <w:tblW w:w="0" w:type="auto"/>
        <w:tblLook w:val="04A0" w:firstRow="1" w:lastRow="0" w:firstColumn="1" w:lastColumn="0" w:noHBand="0" w:noVBand="1"/>
      </w:tblPr>
      <w:tblGrid>
        <w:gridCol w:w="1028"/>
        <w:gridCol w:w="7482"/>
      </w:tblGrid>
      <w:tr w:rsidR="000A34A0" w:rsidRPr="007B5775" w14:paraId="6B51C015" w14:textId="77777777" w:rsidTr="00B041A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3" w:type="dxa"/>
          </w:tcPr>
          <w:p w14:paraId="1CB42B14" w14:textId="77777777" w:rsidR="000A34A0" w:rsidRPr="007B5775" w:rsidRDefault="000A34A0" w:rsidP="00B041A1">
            <w:pPr>
              <w:spacing w:line="480" w:lineRule="auto"/>
              <w:jc w:val="both"/>
              <w:rPr>
                <w:rFonts w:asciiTheme="minorHAnsi" w:eastAsiaTheme="minorHAnsi" w:hAnsiTheme="minorHAnsi" w:cs="Calibri"/>
                <w:b w:val="0"/>
                <w:color w:val="000000" w:themeColor="text1"/>
                <w:lang w:val="en-US"/>
              </w:rPr>
            </w:pPr>
            <w:r w:rsidRPr="007B5775">
              <w:rPr>
                <w:rFonts w:asciiTheme="minorHAnsi" w:eastAsiaTheme="minorHAnsi" w:hAnsiTheme="minorHAnsi" w:cs="Calibri"/>
                <w:b w:val="0"/>
                <w:color w:val="000000" w:themeColor="text1"/>
                <w:lang w:val="en-US"/>
              </w:rPr>
              <w:lastRenderedPageBreak/>
              <w:t>Pathway</w:t>
            </w:r>
          </w:p>
        </w:tc>
        <w:tc>
          <w:tcPr>
            <w:tcW w:w="7482" w:type="dxa"/>
          </w:tcPr>
          <w:p w14:paraId="46E571F6" w14:textId="77777777" w:rsidR="000A34A0" w:rsidRPr="007B5775" w:rsidRDefault="000A34A0" w:rsidP="00B041A1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 w:cs="Calibri"/>
                <w:b w:val="0"/>
                <w:color w:val="000000" w:themeColor="text1"/>
                <w:lang w:val="en-US"/>
              </w:rPr>
            </w:pPr>
            <w:r w:rsidRPr="007B5775">
              <w:rPr>
                <w:rFonts w:asciiTheme="minorHAnsi" w:eastAsiaTheme="minorHAnsi" w:hAnsiTheme="minorHAnsi" w:cs="Calibri"/>
                <w:b w:val="0"/>
                <w:color w:val="000000" w:themeColor="text1"/>
                <w:lang w:val="en-US"/>
              </w:rPr>
              <w:t>Genes</w:t>
            </w:r>
          </w:p>
        </w:tc>
      </w:tr>
      <w:tr w:rsidR="000A34A0" w:rsidRPr="007B5775" w14:paraId="4E5C1D5A" w14:textId="77777777" w:rsidTr="00B041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shd w:val="clear" w:color="auto" w:fill="auto"/>
          </w:tcPr>
          <w:p w14:paraId="3A42DE0A" w14:textId="77777777" w:rsidR="000A34A0" w:rsidRPr="007B5775" w:rsidRDefault="000A34A0" w:rsidP="00B041A1">
            <w:pPr>
              <w:spacing w:line="480" w:lineRule="auto"/>
              <w:jc w:val="both"/>
              <w:rPr>
                <w:rFonts w:asciiTheme="minorHAnsi" w:eastAsiaTheme="minorHAnsi" w:hAnsiTheme="minorHAnsi" w:cs="Calibri"/>
                <w:b w:val="0"/>
                <w:color w:val="000000" w:themeColor="text1"/>
                <w:lang w:val="en-US"/>
              </w:rPr>
            </w:pPr>
            <w:r w:rsidRPr="007B5775">
              <w:rPr>
                <w:rFonts w:asciiTheme="minorHAnsi" w:eastAsiaTheme="minorHAnsi" w:hAnsiTheme="minorHAnsi" w:cs="Calibri"/>
                <w:b w:val="0"/>
                <w:color w:val="000000" w:themeColor="text1"/>
                <w:lang w:val="en-US"/>
              </w:rPr>
              <w:t>NER</w:t>
            </w:r>
          </w:p>
        </w:tc>
        <w:tc>
          <w:tcPr>
            <w:tcW w:w="0" w:type="dxa"/>
            <w:shd w:val="clear" w:color="auto" w:fill="auto"/>
          </w:tcPr>
          <w:p w14:paraId="324CFB94" w14:textId="77777777" w:rsidR="000A34A0" w:rsidRPr="007B5775" w:rsidRDefault="000A34A0" w:rsidP="00B041A1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 w:cs="Calibri"/>
                <w:bCs/>
                <w:i/>
                <w:iCs/>
                <w:color w:val="000000" w:themeColor="text1"/>
                <w:lang w:val="en-US"/>
              </w:rPr>
            </w:pPr>
            <w:proofErr w:type="spellStart"/>
            <w:r w:rsidRPr="007B5775">
              <w:rPr>
                <w:rFonts w:eastAsiaTheme="minorHAnsi" w:cs="Calibri"/>
                <w:bCs/>
                <w:i/>
                <w:iCs/>
                <w:color w:val="000000" w:themeColor="text1"/>
                <w:lang w:val="en-US"/>
              </w:rPr>
              <w:t>Ccnh</w:t>
            </w:r>
            <w:proofErr w:type="spellEnd"/>
            <w:r w:rsidRPr="007B5775">
              <w:rPr>
                <w:rFonts w:eastAsiaTheme="minorHAnsi" w:cs="Calibri"/>
                <w:bCs/>
                <w:i/>
                <w:iCs/>
                <w:color w:val="000000" w:themeColor="text1"/>
                <w:lang w:val="en-US"/>
              </w:rPr>
              <w:t xml:space="preserve">, Cdk7, Cetn2, Ddb1, Ddb2, Ercc1, Ercc2, Ercc3, Ercc4, Ercc5, Ercc6, Ercc8, Gtf2h1, Gtf2h2, Gtf2h3, Gtf2h4, Gtf2h5, Lig1, Mms19, Mnat1, Rad23a, Rad23b, Rpa1, Rpa2, Rpa3, </w:t>
            </w:r>
            <w:proofErr w:type="spellStart"/>
            <w:r w:rsidRPr="007B5775">
              <w:rPr>
                <w:rFonts w:eastAsiaTheme="minorHAnsi" w:cs="Calibri"/>
                <w:bCs/>
                <w:i/>
                <w:iCs/>
                <w:color w:val="000000" w:themeColor="text1"/>
                <w:lang w:val="en-US"/>
              </w:rPr>
              <w:t>TfIIh</w:t>
            </w:r>
            <w:proofErr w:type="spellEnd"/>
            <w:r w:rsidRPr="007B5775">
              <w:rPr>
                <w:rFonts w:eastAsiaTheme="minorHAnsi" w:cs="Calibri"/>
                <w:bCs/>
                <w:i/>
                <w:iCs/>
                <w:color w:val="000000" w:themeColor="text1"/>
                <w:lang w:val="en-US"/>
              </w:rPr>
              <w:t xml:space="preserve">, </w:t>
            </w:r>
            <w:proofErr w:type="spellStart"/>
            <w:r w:rsidRPr="007B5775">
              <w:rPr>
                <w:rFonts w:eastAsiaTheme="minorHAnsi" w:cs="Calibri"/>
                <w:bCs/>
                <w:i/>
                <w:iCs/>
                <w:color w:val="000000" w:themeColor="text1"/>
                <w:lang w:val="en-US"/>
              </w:rPr>
              <w:t>Uvssa</w:t>
            </w:r>
            <w:proofErr w:type="spellEnd"/>
            <w:r w:rsidRPr="007B5775">
              <w:rPr>
                <w:rFonts w:eastAsiaTheme="minorHAnsi" w:cs="Calibri"/>
                <w:bCs/>
                <w:i/>
                <w:iCs/>
                <w:color w:val="000000" w:themeColor="text1"/>
                <w:lang w:val="en-US"/>
              </w:rPr>
              <w:t xml:space="preserve">, Xab2, </w:t>
            </w:r>
            <w:proofErr w:type="spellStart"/>
            <w:r w:rsidRPr="007B5775">
              <w:rPr>
                <w:rFonts w:eastAsiaTheme="minorHAnsi" w:cs="Calibri"/>
                <w:bCs/>
                <w:i/>
                <w:iCs/>
                <w:color w:val="000000" w:themeColor="text1"/>
                <w:lang w:val="en-US"/>
              </w:rPr>
              <w:t>Xpa</w:t>
            </w:r>
            <w:proofErr w:type="spellEnd"/>
            <w:r w:rsidRPr="007B5775">
              <w:rPr>
                <w:rFonts w:eastAsiaTheme="minorHAnsi" w:cs="Calibri"/>
                <w:bCs/>
                <w:i/>
                <w:iCs/>
                <w:color w:val="000000" w:themeColor="text1"/>
                <w:lang w:val="en-US"/>
              </w:rPr>
              <w:t xml:space="preserve">, </w:t>
            </w:r>
            <w:proofErr w:type="spellStart"/>
            <w:r w:rsidRPr="007B5775">
              <w:rPr>
                <w:rFonts w:eastAsiaTheme="minorHAnsi" w:cs="Calibri"/>
                <w:bCs/>
                <w:i/>
                <w:iCs/>
                <w:color w:val="000000" w:themeColor="text1"/>
                <w:lang w:val="en-US"/>
              </w:rPr>
              <w:t>Xpc</w:t>
            </w:r>
            <w:proofErr w:type="spellEnd"/>
          </w:p>
        </w:tc>
      </w:tr>
      <w:tr w:rsidR="000A34A0" w:rsidRPr="007B5775" w14:paraId="56EED04B" w14:textId="77777777" w:rsidTr="00B041A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3EDEF590" w14:textId="77777777" w:rsidR="000A34A0" w:rsidRPr="007B5775" w:rsidRDefault="000A34A0" w:rsidP="00B041A1">
            <w:pPr>
              <w:spacing w:line="480" w:lineRule="auto"/>
              <w:jc w:val="both"/>
              <w:rPr>
                <w:rFonts w:asciiTheme="minorHAnsi" w:eastAsiaTheme="minorHAnsi" w:hAnsiTheme="minorHAnsi" w:cs="Calibri"/>
                <w:b w:val="0"/>
                <w:color w:val="000000" w:themeColor="text1"/>
                <w:lang w:val="en-US"/>
              </w:rPr>
            </w:pPr>
            <w:r w:rsidRPr="007B5775">
              <w:rPr>
                <w:rFonts w:asciiTheme="minorHAnsi" w:eastAsiaTheme="minorHAnsi" w:hAnsiTheme="minorHAnsi" w:cs="Calibri"/>
                <w:b w:val="0"/>
                <w:color w:val="000000" w:themeColor="text1"/>
                <w:lang w:val="en-US"/>
              </w:rPr>
              <w:t>HR</w:t>
            </w:r>
          </w:p>
        </w:tc>
        <w:tc>
          <w:tcPr>
            <w:tcW w:w="0" w:type="dxa"/>
          </w:tcPr>
          <w:p w14:paraId="0A7F766C" w14:textId="77777777" w:rsidR="000A34A0" w:rsidRPr="007B5775" w:rsidRDefault="000A34A0" w:rsidP="00B041A1">
            <w:pPr>
              <w:spacing w:line="48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Theme="minorHAnsi" w:cs="Calibri"/>
                <w:bCs/>
                <w:i/>
                <w:iCs/>
                <w:color w:val="000000" w:themeColor="text1"/>
                <w:lang w:val="en-US"/>
              </w:rPr>
            </w:pPr>
            <w:r w:rsidRPr="007B5775">
              <w:rPr>
                <w:rFonts w:eastAsiaTheme="minorHAnsi" w:cs="Calibri"/>
                <w:bCs/>
                <w:i/>
                <w:iCs/>
                <w:color w:val="000000" w:themeColor="text1"/>
                <w:lang w:val="en-US"/>
              </w:rPr>
              <w:t>Brca1, Brca2, Rad51, Rad51b, Rad52, Xrcc2, Xrcc3</w:t>
            </w:r>
            <w:r w:rsidRPr="007B5775">
              <w:rPr>
                <w:rFonts w:eastAsiaTheme="minorHAnsi" w:cs="Calibri"/>
                <w:bCs/>
                <w:i/>
                <w:iCs/>
                <w:color w:val="000000" w:themeColor="text1"/>
                <w:lang w:val="en-US"/>
              </w:rPr>
              <w:tab/>
            </w:r>
            <w:r w:rsidRPr="007B5775">
              <w:rPr>
                <w:rFonts w:eastAsiaTheme="minorHAnsi" w:cs="Calibri"/>
                <w:bCs/>
                <w:i/>
                <w:iCs/>
                <w:color w:val="000000" w:themeColor="text1"/>
                <w:lang w:val="en-US"/>
              </w:rPr>
              <w:tab/>
            </w:r>
          </w:p>
        </w:tc>
      </w:tr>
      <w:tr w:rsidR="000A34A0" w:rsidRPr="007B5775" w14:paraId="1B685955" w14:textId="77777777" w:rsidTr="00B041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shd w:val="clear" w:color="auto" w:fill="auto"/>
          </w:tcPr>
          <w:p w14:paraId="22B9BCE4" w14:textId="77777777" w:rsidR="000A34A0" w:rsidRPr="007B5775" w:rsidRDefault="000A34A0" w:rsidP="00B041A1">
            <w:pPr>
              <w:spacing w:line="480" w:lineRule="auto"/>
              <w:jc w:val="both"/>
              <w:rPr>
                <w:rFonts w:asciiTheme="minorHAnsi" w:eastAsiaTheme="minorHAnsi" w:hAnsiTheme="minorHAnsi" w:cs="Calibri"/>
                <w:b w:val="0"/>
                <w:color w:val="000000" w:themeColor="text1"/>
                <w:lang w:val="en-US"/>
              </w:rPr>
            </w:pPr>
            <w:r w:rsidRPr="007B5775">
              <w:rPr>
                <w:rFonts w:asciiTheme="minorHAnsi" w:eastAsiaTheme="minorHAnsi" w:hAnsiTheme="minorHAnsi" w:cs="Calibri"/>
                <w:b w:val="0"/>
                <w:color w:val="000000" w:themeColor="text1"/>
                <w:lang w:val="en-US"/>
              </w:rPr>
              <w:t>FA</w:t>
            </w:r>
          </w:p>
        </w:tc>
        <w:tc>
          <w:tcPr>
            <w:tcW w:w="0" w:type="dxa"/>
            <w:shd w:val="clear" w:color="auto" w:fill="auto"/>
          </w:tcPr>
          <w:p w14:paraId="4A904308" w14:textId="77777777" w:rsidR="000A34A0" w:rsidRPr="007B5775" w:rsidRDefault="000A34A0" w:rsidP="00B041A1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 w:cs="Calibri"/>
                <w:bCs/>
                <w:i/>
                <w:iCs/>
                <w:color w:val="000000" w:themeColor="text1"/>
                <w:lang w:val="en-US"/>
              </w:rPr>
            </w:pPr>
            <w:proofErr w:type="spellStart"/>
            <w:r w:rsidRPr="007B5775">
              <w:rPr>
                <w:rFonts w:eastAsiaTheme="minorHAnsi" w:cs="Calibri"/>
                <w:b/>
                <w:bCs/>
                <w:i/>
                <w:iCs/>
                <w:color w:val="000000" w:themeColor="text1"/>
                <w:lang w:val="en-US"/>
              </w:rPr>
              <w:t>Atr</w:t>
            </w:r>
            <w:proofErr w:type="spellEnd"/>
            <w:r w:rsidRPr="007B5775">
              <w:rPr>
                <w:rFonts w:eastAsiaTheme="minorHAnsi" w:cs="Calibri"/>
                <w:bCs/>
                <w:i/>
                <w:iCs/>
                <w:color w:val="000000" w:themeColor="text1"/>
                <w:lang w:val="en-US"/>
              </w:rPr>
              <w:t xml:space="preserve">, </w:t>
            </w:r>
            <w:r w:rsidRPr="007B5775">
              <w:rPr>
                <w:rFonts w:eastAsiaTheme="minorHAnsi" w:cs="Calibri"/>
                <w:b/>
                <w:bCs/>
                <w:i/>
                <w:iCs/>
                <w:color w:val="000000" w:themeColor="text1"/>
                <w:lang w:val="en-US"/>
              </w:rPr>
              <w:t>Atrip</w:t>
            </w:r>
            <w:r w:rsidRPr="007B5775">
              <w:rPr>
                <w:rFonts w:eastAsiaTheme="minorHAnsi" w:cs="Calibri"/>
                <w:bCs/>
                <w:i/>
                <w:iCs/>
                <w:color w:val="000000" w:themeColor="text1"/>
                <w:lang w:val="en-US"/>
              </w:rPr>
              <w:t xml:space="preserve">, </w:t>
            </w:r>
            <w:proofErr w:type="spellStart"/>
            <w:r w:rsidRPr="007B5775">
              <w:rPr>
                <w:rFonts w:eastAsiaTheme="minorHAnsi" w:cs="Calibri"/>
                <w:bCs/>
                <w:i/>
                <w:iCs/>
                <w:color w:val="000000" w:themeColor="text1"/>
                <w:lang w:val="en-US"/>
              </w:rPr>
              <w:t>Blm</w:t>
            </w:r>
            <w:proofErr w:type="spellEnd"/>
            <w:r w:rsidRPr="007B5775">
              <w:rPr>
                <w:rFonts w:eastAsiaTheme="minorHAnsi" w:cs="Calibri"/>
                <w:bCs/>
                <w:i/>
                <w:iCs/>
                <w:color w:val="000000" w:themeColor="text1"/>
                <w:lang w:val="en-US"/>
              </w:rPr>
              <w:t xml:space="preserve">, Brca1, Brca2, Brip1, Eme1, Eme2, Ercc1, Ercc4, Faap24, Faap100, Fan1, </w:t>
            </w:r>
            <w:proofErr w:type="spellStart"/>
            <w:r w:rsidRPr="007B5775">
              <w:rPr>
                <w:rFonts w:eastAsiaTheme="minorHAnsi" w:cs="Calibri"/>
                <w:b/>
                <w:bCs/>
                <w:i/>
                <w:iCs/>
                <w:color w:val="000000" w:themeColor="text1"/>
                <w:lang w:val="en-US"/>
              </w:rPr>
              <w:t>Fanca</w:t>
            </w:r>
            <w:proofErr w:type="spellEnd"/>
            <w:r w:rsidRPr="007B5775">
              <w:rPr>
                <w:rFonts w:eastAsiaTheme="minorHAnsi" w:cs="Calibri"/>
                <w:b/>
                <w:bCs/>
                <w:i/>
                <w:iCs/>
                <w:color w:val="000000" w:themeColor="text1"/>
                <w:lang w:val="en-US"/>
              </w:rPr>
              <w:t xml:space="preserve">, </w:t>
            </w:r>
            <w:proofErr w:type="spellStart"/>
            <w:r w:rsidRPr="007B5775">
              <w:rPr>
                <w:rFonts w:eastAsiaTheme="minorHAnsi" w:cs="Calibri"/>
                <w:b/>
                <w:bCs/>
                <w:i/>
                <w:iCs/>
                <w:color w:val="000000" w:themeColor="text1"/>
                <w:lang w:val="en-US"/>
              </w:rPr>
              <w:t>Fancb</w:t>
            </w:r>
            <w:proofErr w:type="spellEnd"/>
            <w:r w:rsidRPr="007B5775">
              <w:rPr>
                <w:rFonts w:eastAsiaTheme="minorHAnsi" w:cs="Calibri"/>
                <w:b/>
                <w:bCs/>
                <w:i/>
                <w:iCs/>
                <w:color w:val="000000" w:themeColor="text1"/>
                <w:lang w:val="en-US"/>
              </w:rPr>
              <w:t xml:space="preserve">, Fancc, Fancd2, Fance, </w:t>
            </w:r>
            <w:proofErr w:type="spellStart"/>
            <w:r w:rsidRPr="007B5775">
              <w:rPr>
                <w:rFonts w:eastAsiaTheme="minorHAnsi" w:cs="Calibri"/>
                <w:b/>
                <w:bCs/>
                <w:i/>
                <w:iCs/>
                <w:color w:val="000000" w:themeColor="text1"/>
                <w:lang w:val="en-US"/>
              </w:rPr>
              <w:t>Fancf</w:t>
            </w:r>
            <w:proofErr w:type="spellEnd"/>
            <w:r w:rsidRPr="007B5775">
              <w:rPr>
                <w:rFonts w:eastAsiaTheme="minorHAnsi" w:cs="Calibri"/>
                <w:b/>
                <w:bCs/>
                <w:i/>
                <w:iCs/>
                <w:color w:val="000000" w:themeColor="text1"/>
                <w:lang w:val="en-US"/>
              </w:rPr>
              <w:t xml:space="preserve">, Fancg, Fanci, </w:t>
            </w:r>
            <w:proofErr w:type="spellStart"/>
            <w:r w:rsidRPr="007B5775">
              <w:rPr>
                <w:rFonts w:eastAsiaTheme="minorHAnsi" w:cs="Calibri"/>
                <w:b/>
                <w:bCs/>
                <w:i/>
                <w:iCs/>
                <w:color w:val="000000" w:themeColor="text1"/>
                <w:lang w:val="en-US"/>
              </w:rPr>
              <w:t>Fancl</w:t>
            </w:r>
            <w:proofErr w:type="spellEnd"/>
            <w:r w:rsidRPr="007B5775">
              <w:rPr>
                <w:rFonts w:eastAsiaTheme="minorHAnsi" w:cs="Calibri"/>
                <w:b/>
                <w:bCs/>
                <w:i/>
                <w:iCs/>
                <w:color w:val="000000" w:themeColor="text1"/>
                <w:lang w:val="en-US"/>
              </w:rPr>
              <w:t xml:space="preserve">, </w:t>
            </w:r>
            <w:proofErr w:type="spellStart"/>
            <w:r w:rsidRPr="007B5775">
              <w:rPr>
                <w:rFonts w:eastAsiaTheme="minorHAnsi" w:cs="Calibri"/>
                <w:b/>
                <w:bCs/>
                <w:i/>
                <w:iCs/>
                <w:color w:val="000000" w:themeColor="text1"/>
                <w:lang w:val="en-US"/>
              </w:rPr>
              <w:t>Fancm</w:t>
            </w:r>
            <w:proofErr w:type="spellEnd"/>
            <w:r w:rsidRPr="007B5775">
              <w:rPr>
                <w:rFonts w:eastAsiaTheme="minorHAnsi" w:cs="Calibri"/>
                <w:bCs/>
                <w:i/>
                <w:iCs/>
                <w:color w:val="000000" w:themeColor="text1"/>
                <w:lang w:val="en-US"/>
              </w:rPr>
              <w:t xml:space="preserve">, Hes1, Mlh1, Mus81, Palb2, Pms2, </w:t>
            </w:r>
            <w:proofErr w:type="spellStart"/>
            <w:r w:rsidRPr="007B5775">
              <w:rPr>
                <w:rFonts w:eastAsiaTheme="minorHAnsi" w:cs="Calibri"/>
                <w:b/>
                <w:bCs/>
                <w:i/>
                <w:iCs/>
                <w:color w:val="000000" w:themeColor="text1"/>
                <w:lang w:val="en-US"/>
              </w:rPr>
              <w:t>Polh</w:t>
            </w:r>
            <w:proofErr w:type="spellEnd"/>
            <w:r w:rsidRPr="007B5775">
              <w:rPr>
                <w:rFonts w:eastAsiaTheme="minorHAnsi" w:cs="Calibri"/>
                <w:b/>
                <w:bCs/>
                <w:i/>
                <w:iCs/>
                <w:color w:val="000000" w:themeColor="text1"/>
                <w:lang w:val="en-US"/>
              </w:rPr>
              <w:t xml:space="preserve">, Poli, Polk, </w:t>
            </w:r>
            <w:proofErr w:type="spellStart"/>
            <w:r w:rsidRPr="007B5775">
              <w:rPr>
                <w:rFonts w:eastAsiaTheme="minorHAnsi" w:cs="Calibri"/>
                <w:b/>
                <w:bCs/>
                <w:i/>
                <w:iCs/>
                <w:color w:val="000000" w:themeColor="text1"/>
                <w:lang w:val="en-US"/>
              </w:rPr>
              <w:t>Poln</w:t>
            </w:r>
            <w:proofErr w:type="spellEnd"/>
            <w:r w:rsidRPr="007B5775">
              <w:rPr>
                <w:rFonts w:eastAsiaTheme="minorHAnsi" w:cs="Calibri"/>
                <w:b/>
                <w:bCs/>
                <w:i/>
                <w:iCs/>
                <w:color w:val="000000" w:themeColor="text1"/>
                <w:lang w:val="en-US"/>
              </w:rPr>
              <w:t>,</w:t>
            </w:r>
            <w:r w:rsidRPr="007B5775">
              <w:rPr>
                <w:rFonts w:eastAsiaTheme="minorHAnsi" w:cs="Calibri"/>
                <w:bCs/>
                <w:i/>
                <w:iCs/>
                <w:color w:val="000000" w:themeColor="text1"/>
                <w:lang w:val="en-US"/>
              </w:rPr>
              <w:t xml:space="preserve"> Rad51, </w:t>
            </w:r>
            <w:r w:rsidRPr="007B5775">
              <w:rPr>
                <w:rFonts w:eastAsiaTheme="minorHAnsi" w:cs="Calibri"/>
                <w:b/>
                <w:bCs/>
                <w:i/>
                <w:iCs/>
                <w:color w:val="000000" w:themeColor="text1"/>
                <w:lang w:val="en-US"/>
              </w:rPr>
              <w:t>Rev1, Rev3l</w:t>
            </w:r>
            <w:r w:rsidRPr="007B5775">
              <w:rPr>
                <w:rFonts w:eastAsiaTheme="minorHAnsi" w:cs="Calibri"/>
                <w:bCs/>
                <w:i/>
                <w:iCs/>
                <w:color w:val="000000" w:themeColor="text1"/>
                <w:lang w:val="en-US"/>
              </w:rPr>
              <w:t xml:space="preserve">, Rmi1, Rmi2, Rpa3, Rpa4, Slx4, Telo2, Ube2t, </w:t>
            </w:r>
            <w:r w:rsidRPr="007B5775">
              <w:rPr>
                <w:rFonts w:eastAsiaTheme="minorHAnsi" w:cs="Calibri"/>
                <w:b/>
                <w:bCs/>
                <w:i/>
                <w:iCs/>
                <w:color w:val="000000" w:themeColor="text1"/>
                <w:lang w:val="en-US"/>
              </w:rPr>
              <w:t>Usp1,</w:t>
            </w:r>
            <w:r w:rsidRPr="007B5775">
              <w:rPr>
                <w:rFonts w:eastAsiaTheme="minorHAnsi" w:cs="Calibri"/>
                <w:bCs/>
                <w:i/>
                <w:iCs/>
                <w:color w:val="000000" w:themeColor="text1"/>
                <w:lang w:val="en-US"/>
              </w:rPr>
              <w:t xml:space="preserve"> Wdr48</w:t>
            </w:r>
            <w:r w:rsidRPr="007B5775">
              <w:rPr>
                <w:rFonts w:eastAsiaTheme="minorHAnsi" w:cs="Calibri"/>
                <w:bCs/>
                <w:i/>
                <w:iCs/>
                <w:color w:val="000000" w:themeColor="text1"/>
                <w:lang w:val="en-US"/>
              </w:rPr>
              <w:tab/>
            </w:r>
          </w:p>
        </w:tc>
      </w:tr>
    </w:tbl>
    <w:p w14:paraId="0D37DA0A" w14:textId="77777777" w:rsidR="000A34A0" w:rsidRPr="007B5775" w:rsidRDefault="000A34A0" w:rsidP="000A34A0">
      <w:pPr>
        <w:spacing w:line="480" w:lineRule="auto"/>
        <w:jc w:val="both"/>
        <w:rPr>
          <w:rFonts w:cs="Calibri"/>
          <w:bCs/>
          <w:color w:val="000000" w:themeColor="text1"/>
          <w:sz w:val="22"/>
          <w:szCs w:val="22"/>
          <w:lang w:val="en-US"/>
        </w:rPr>
      </w:pPr>
      <w:r w:rsidRPr="007B5775">
        <w:rPr>
          <w:rFonts w:cs="Calibri"/>
          <w:b/>
          <w:bCs/>
          <w:color w:val="000000" w:themeColor="text1"/>
          <w:sz w:val="22"/>
          <w:szCs w:val="22"/>
          <w:lang w:val="en-US"/>
        </w:rPr>
        <w:t>Supplementary table 1: Genes analyzed for the presence of mutations in prostate carcinomas.</w:t>
      </w:r>
    </w:p>
    <w:p w14:paraId="32B4620A" w14:textId="77777777" w:rsidR="000A34A0" w:rsidRPr="007B5775" w:rsidRDefault="000A34A0" w:rsidP="000A34A0">
      <w:pPr>
        <w:spacing w:line="480" w:lineRule="auto"/>
        <w:jc w:val="both"/>
        <w:rPr>
          <w:rFonts w:cs="Calibri"/>
          <w:bCs/>
          <w:color w:val="000000" w:themeColor="text1"/>
          <w:sz w:val="22"/>
          <w:szCs w:val="22"/>
          <w:lang w:val="en-US"/>
        </w:rPr>
      </w:pPr>
    </w:p>
    <w:p w14:paraId="4D21DA25" w14:textId="77777777" w:rsidR="000A34A0" w:rsidRPr="007B5775" w:rsidRDefault="000A34A0" w:rsidP="000A34A0">
      <w:pPr>
        <w:spacing w:line="480" w:lineRule="auto"/>
        <w:jc w:val="both"/>
        <w:rPr>
          <w:rFonts w:cs="Calibri"/>
          <w:bCs/>
          <w:color w:val="000000" w:themeColor="text1"/>
          <w:sz w:val="22"/>
          <w:szCs w:val="22"/>
          <w:lang w:val="en-US"/>
        </w:rPr>
      </w:pPr>
      <w:r w:rsidRPr="007B5775">
        <w:rPr>
          <w:rFonts w:cs="Calibri"/>
          <w:bCs/>
          <w:color w:val="000000" w:themeColor="text1"/>
          <w:sz w:val="22"/>
          <w:szCs w:val="22"/>
          <w:lang w:val="en-US"/>
        </w:rPr>
        <w:t>NER: nucleotide excision repair.</w:t>
      </w:r>
    </w:p>
    <w:p w14:paraId="26BAA658" w14:textId="77777777" w:rsidR="000A34A0" w:rsidRPr="007B5775" w:rsidRDefault="000A34A0" w:rsidP="000A34A0">
      <w:pPr>
        <w:spacing w:line="480" w:lineRule="auto"/>
        <w:jc w:val="both"/>
        <w:rPr>
          <w:rFonts w:cs="Calibri"/>
          <w:bCs/>
          <w:color w:val="000000" w:themeColor="text1"/>
          <w:sz w:val="22"/>
          <w:szCs w:val="22"/>
          <w:lang w:val="en-US"/>
        </w:rPr>
      </w:pPr>
      <w:r w:rsidRPr="007B5775">
        <w:rPr>
          <w:rFonts w:cs="Calibri"/>
          <w:bCs/>
          <w:color w:val="000000" w:themeColor="text1"/>
          <w:sz w:val="22"/>
          <w:szCs w:val="22"/>
          <w:lang w:val="en-US"/>
        </w:rPr>
        <w:t>HR: double-strand breaks repair by homologous recombination.</w:t>
      </w:r>
    </w:p>
    <w:p w14:paraId="618C3CD5" w14:textId="77777777" w:rsidR="000A34A0" w:rsidRPr="007B5775" w:rsidRDefault="000A34A0" w:rsidP="000A34A0">
      <w:pPr>
        <w:spacing w:line="480" w:lineRule="auto"/>
        <w:jc w:val="both"/>
        <w:rPr>
          <w:rFonts w:cs="Calibri"/>
          <w:b/>
          <w:bCs/>
          <w:color w:val="000000" w:themeColor="text1"/>
          <w:sz w:val="22"/>
          <w:szCs w:val="22"/>
          <w:u w:val="single"/>
          <w:lang w:val="en-US"/>
        </w:rPr>
      </w:pPr>
      <w:r w:rsidRPr="007B5775">
        <w:rPr>
          <w:rFonts w:cs="Calibri"/>
          <w:bCs/>
          <w:color w:val="000000" w:themeColor="text1"/>
          <w:sz w:val="22"/>
          <w:szCs w:val="22"/>
          <w:lang w:val="en-US"/>
        </w:rPr>
        <w:t>FA: crosslink repair by the Fanconi Anemia pathway. Overlaps with TLS-associated genes (in bold).</w:t>
      </w:r>
    </w:p>
    <w:p w14:paraId="5C06A06D" w14:textId="77777777" w:rsidR="000A34A0" w:rsidRPr="007B5775" w:rsidRDefault="000A34A0" w:rsidP="000A34A0">
      <w:pPr>
        <w:spacing w:line="480" w:lineRule="auto"/>
        <w:jc w:val="both"/>
        <w:rPr>
          <w:rFonts w:cs="Calibri"/>
          <w:b/>
          <w:bCs/>
          <w:color w:val="000000" w:themeColor="text1"/>
          <w:sz w:val="22"/>
          <w:szCs w:val="22"/>
          <w:lang w:val="en-US"/>
        </w:rPr>
      </w:pPr>
      <w:r w:rsidRPr="007B5775">
        <w:rPr>
          <w:rFonts w:cs="Calibri"/>
          <w:b/>
          <w:bCs/>
          <w:color w:val="000000" w:themeColor="text1"/>
          <w:sz w:val="22"/>
          <w:szCs w:val="22"/>
          <w:lang w:val="en-US"/>
        </w:rPr>
        <w:br w:type="page"/>
      </w:r>
    </w:p>
    <w:p w14:paraId="054568C4" w14:textId="77777777" w:rsidR="000A34A0" w:rsidRPr="007B5775" w:rsidRDefault="000A34A0" w:rsidP="000A34A0">
      <w:pPr>
        <w:spacing w:line="480" w:lineRule="auto"/>
        <w:jc w:val="both"/>
        <w:rPr>
          <w:rFonts w:cs="Calibri"/>
          <w:b/>
          <w:bCs/>
          <w:color w:val="000000" w:themeColor="text1"/>
          <w:sz w:val="22"/>
          <w:szCs w:val="22"/>
          <w:lang w:val="en-US"/>
        </w:rPr>
      </w:pPr>
      <w:r w:rsidRPr="007B5775">
        <w:rPr>
          <w:rFonts w:cs="Calibri"/>
          <w:b/>
          <w:bCs/>
          <w:color w:val="000000" w:themeColor="text1"/>
          <w:sz w:val="22"/>
          <w:szCs w:val="22"/>
          <w:lang w:val="en-US"/>
        </w:rPr>
        <w:lastRenderedPageBreak/>
        <w:t xml:space="preserve">Supplementary Table 2. Predicted deleterious somatic mutations in genes associated with NER, HR and FA, in genome-instable (&gt;200 rearrangements) prostate carcinomas. </w:t>
      </w:r>
    </w:p>
    <w:tbl>
      <w:tblPr>
        <w:tblStyle w:val="GridTable6Colorful"/>
        <w:tblpPr w:leftFromText="180" w:rightFromText="180" w:vertAnchor="page" w:horzAnchor="margin" w:tblpY="2562"/>
        <w:tblW w:w="0" w:type="auto"/>
        <w:tblLook w:val="04A0" w:firstRow="1" w:lastRow="0" w:firstColumn="1" w:lastColumn="0" w:noHBand="0" w:noVBand="1"/>
      </w:tblPr>
      <w:tblGrid>
        <w:gridCol w:w="745"/>
        <w:gridCol w:w="3686"/>
        <w:gridCol w:w="4110"/>
      </w:tblGrid>
      <w:tr w:rsidR="000A34A0" w:rsidRPr="007B5775" w14:paraId="373C93DB" w14:textId="77777777" w:rsidTr="00B041A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52D0E1A5" w14:textId="77777777" w:rsidR="000A34A0" w:rsidRPr="007B5775" w:rsidRDefault="000A34A0" w:rsidP="00B041A1">
            <w:pPr>
              <w:spacing w:line="480" w:lineRule="auto"/>
              <w:jc w:val="both"/>
              <w:rPr>
                <w:rFonts w:eastAsiaTheme="minorHAnsi" w:cs="Calibri"/>
                <w:sz w:val="22"/>
                <w:szCs w:val="22"/>
                <w:lang w:val="en-US"/>
              </w:rPr>
            </w:pPr>
          </w:p>
        </w:tc>
        <w:tc>
          <w:tcPr>
            <w:tcW w:w="3686" w:type="dxa"/>
          </w:tcPr>
          <w:p w14:paraId="326D6ADB" w14:textId="77777777" w:rsidR="000A34A0" w:rsidRPr="007B5775" w:rsidRDefault="000A34A0" w:rsidP="00B041A1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 w:cs="Calibri"/>
                <w:b w:val="0"/>
                <w:sz w:val="22"/>
                <w:szCs w:val="22"/>
                <w:lang w:val="en-US"/>
              </w:rPr>
            </w:pPr>
            <w:r w:rsidRPr="007B5775">
              <w:rPr>
                <w:rFonts w:eastAsiaTheme="minorHAnsi" w:cs="Calibri"/>
                <w:b w:val="0"/>
                <w:sz w:val="22"/>
                <w:szCs w:val="22"/>
                <w:lang w:val="en-US"/>
              </w:rPr>
              <w:t>Over 200 rearrangements  (n=15)</w:t>
            </w:r>
          </w:p>
        </w:tc>
        <w:tc>
          <w:tcPr>
            <w:tcW w:w="4110" w:type="dxa"/>
          </w:tcPr>
          <w:p w14:paraId="2AA92D53" w14:textId="77777777" w:rsidR="000A34A0" w:rsidRPr="007B5775" w:rsidRDefault="000A34A0" w:rsidP="00B041A1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 w:cs="Calibri"/>
                <w:sz w:val="22"/>
                <w:szCs w:val="22"/>
                <w:lang w:val="en-US"/>
              </w:rPr>
            </w:pPr>
            <w:r w:rsidRPr="007B5775">
              <w:rPr>
                <w:rFonts w:eastAsiaTheme="minorHAnsi" w:cs="Calibri"/>
                <w:b w:val="0"/>
                <w:sz w:val="22"/>
                <w:szCs w:val="22"/>
                <w:lang w:val="en-US"/>
              </w:rPr>
              <w:t>Up to 200 rearrangements (n=339)</w:t>
            </w:r>
          </w:p>
        </w:tc>
      </w:tr>
      <w:tr w:rsidR="000A34A0" w:rsidRPr="007B5775" w14:paraId="791DE5AA" w14:textId="77777777" w:rsidTr="00B041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auto"/>
          </w:tcPr>
          <w:p w14:paraId="2A011612" w14:textId="77777777" w:rsidR="000A34A0" w:rsidRPr="007B5775" w:rsidRDefault="000A34A0" w:rsidP="00B041A1">
            <w:pPr>
              <w:spacing w:line="480" w:lineRule="auto"/>
              <w:jc w:val="both"/>
              <w:rPr>
                <w:rFonts w:eastAsiaTheme="minorHAnsi" w:cs="Calibri"/>
                <w:sz w:val="22"/>
                <w:szCs w:val="22"/>
                <w:lang w:val="en-US"/>
              </w:rPr>
            </w:pPr>
            <w:r w:rsidRPr="007B5775">
              <w:rPr>
                <w:rFonts w:eastAsiaTheme="minorHAnsi" w:cs="Calibri"/>
                <w:b w:val="0"/>
                <w:sz w:val="22"/>
                <w:szCs w:val="22"/>
                <w:lang w:val="en-US"/>
              </w:rPr>
              <w:t>NER-</w:t>
            </w:r>
          </w:p>
          <w:p w14:paraId="06B87E65" w14:textId="77777777" w:rsidR="000A34A0" w:rsidRPr="007B5775" w:rsidRDefault="000A34A0" w:rsidP="00B041A1">
            <w:pPr>
              <w:spacing w:line="480" w:lineRule="auto"/>
              <w:jc w:val="both"/>
              <w:rPr>
                <w:rFonts w:eastAsiaTheme="minorHAnsi" w:cs="Calibri"/>
                <w:sz w:val="22"/>
                <w:szCs w:val="22"/>
                <w:lang w:val="en-US"/>
              </w:rPr>
            </w:pPr>
            <w:r w:rsidRPr="007B5775">
              <w:rPr>
                <w:rFonts w:eastAsiaTheme="minorHAnsi" w:cs="Calibri"/>
                <w:b w:val="0"/>
                <w:sz w:val="22"/>
                <w:szCs w:val="22"/>
                <w:lang w:val="en-US"/>
              </w:rPr>
              <w:t>NER+</w:t>
            </w:r>
          </w:p>
        </w:tc>
        <w:tc>
          <w:tcPr>
            <w:tcW w:w="3686" w:type="dxa"/>
            <w:shd w:val="clear" w:color="auto" w:fill="auto"/>
          </w:tcPr>
          <w:p w14:paraId="6ED5919A" w14:textId="77777777" w:rsidR="000A34A0" w:rsidRPr="007B5775" w:rsidRDefault="000A34A0" w:rsidP="00B041A1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 w:cs="Calibri"/>
                <w:bCs/>
                <w:sz w:val="22"/>
                <w:szCs w:val="22"/>
                <w:lang w:val="en-US"/>
              </w:rPr>
            </w:pPr>
            <w:r w:rsidRPr="007B5775">
              <w:rPr>
                <w:rFonts w:eastAsiaTheme="minorHAnsi" w:cs="Calibri"/>
                <w:bCs/>
                <w:sz w:val="22"/>
                <w:szCs w:val="22"/>
                <w:lang w:val="en-US"/>
              </w:rPr>
              <w:t>4</w:t>
            </w:r>
          </w:p>
          <w:p w14:paraId="123FA188" w14:textId="77777777" w:rsidR="000A34A0" w:rsidRPr="007B5775" w:rsidRDefault="000A34A0" w:rsidP="00B041A1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 w:cs="Calibri"/>
                <w:bCs/>
                <w:sz w:val="22"/>
                <w:szCs w:val="22"/>
                <w:lang w:val="en-US"/>
              </w:rPr>
            </w:pPr>
            <w:r w:rsidRPr="007B5775">
              <w:rPr>
                <w:rFonts w:eastAsiaTheme="minorHAnsi" w:cs="Calibri"/>
                <w:bCs/>
                <w:sz w:val="22"/>
                <w:szCs w:val="22"/>
                <w:lang w:val="en-US"/>
              </w:rPr>
              <w:t>11</w:t>
            </w:r>
          </w:p>
        </w:tc>
        <w:tc>
          <w:tcPr>
            <w:tcW w:w="4110" w:type="dxa"/>
            <w:shd w:val="clear" w:color="auto" w:fill="auto"/>
          </w:tcPr>
          <w:p w14:paraId="2E249721" w14:textId="77777777" w:rsidR="000A34A0" w:rsidRPr="007B5775" w:rsidRDefault="000A34A0" w:rsidP="00B041A1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 w:cs="Calibri"/>
                <w:bCs/>
                <w:sz w:val="22"/>
                <w:szCs w:val="22"/>
                <w:lang w:val="en-US"/>
              </w:rPr>
            </w:pPr>
            <w:r w:rsidRPr="007B5775">
              <w:rPr>
                <w:rFonts w:eastAsiaTheme="minorHAnsi" w:cs="Calibri"/>
                <w:bCs/>
                <w:sz w:val="22"/>
                <w:szCs w:val="22"/>
                <w:lang w:val="en-US"/>
              </w:rPr>
              <w:t>22</w:t>
            </w:r>
          </w:p>
          <w:p w14:paraId="4CC693B8" w14:textId="77777777" w:rsidR="000A34A0" w:rsidRPr="007B5775" w:rsidRDefault="000A34A0" w:rsidP="00B041A1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 w:cs="Calibri"/>
                <w:bCs/>
                <w:sz w:val="22"/>
                <w:szCs w:val="22"/>
                <w:lang w:val="en-US"/>
              </w:rPr>
            </w:pPr>
            <w:r w:rsidRPr="007B5775">
              <w:rPr>
                <w:rFonts w:eastAsiaTheme="minorHAnsi" w:cs="Calibri"/>
                <w:bCs/>
                <w:sz w:val="22"/>
                <w:szCs w:val="22"/>
                <w:lang w:val="en-US"/>
              </w:rPr>
              <w:t>317</w:t>
            </w:r>
          </w:p>
        </w:tc>
      </w:tr>
      <w:tr w:rsidR="000A34A0" w:rsidRPr="007B5775" w14:paraId="4BB42F1E" w14:textId="77777777" w:rsidTr="00B041A1">
        <w:trPr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0B009336" w14:textId="77777777" w:rsidR="000A34A0" w:rsidRPr="007B5775" w:rsidRDefault="000A34A0" w:rsidP="00B041A1">
            <w:pPr>
              <w:spacing w:line="480" w:lineRule="auto"/>
              <w:jc w:val="both"/>
              <w:rPr>
                <w:rFonts w:eastAsiaTheme="minorHAnsi" w:cs="Calibri"/>
                <w:sz w:val="22"/>
                <w:szCs w:val="22"/>
                <w:lang w:val="en-US"/>
              </w:rPr>
            </w:pPr>
            <w:r w:rsidRPr="007B5775">
              <w:rPr>
                <w:rFonts w:eastAsiaTheme="minorHAnsi" w:cs="Calibri"/>
                <w:b w:val="0"/>
                <w:sz w:val="22"/>
                <w:szCs w:val="22"/>
                <w:lang w:val="en-US"/>
              </w:rPr>
              <w:t>HR-</w:t>
            </w:r>
          </w:p>
          <w:p w14:paraId="301C3A30" w14:textId="77777777" w:rsidR="000A34A0" w:rsidRPr="007B5775" w:rsidRDefault="000A34A0" w:rsidP="00B041A1">
            <w:pPr>
              <w:spacing w:line="480" w:lineRule="auto"/>
              <w:jc w:val="both"/>
              <w:rPr>
                <w:rFonts w:eastAsiaTheme="minorHAnsi" w:cs="Calibri"/>
                <w:sz w:val="22"/>
                <w:szCs w:val="22"/>
                <w:lang w:val="en-US"/>
              </w:rPr>
            </w:pPr>
            <w:r w:rsidRPr="007B5775">
              <w:rPr>
                <w:rFonts w:eastAsiaTheme="minorHAnsi" w:cs="Calibri"/>
                <w:b w:val="0"/>
                <w:sz w:val="22"/>
                <w:szCs w:val="22"/>
                <w:lang w:val="en-US"/>
              </w:rPr>
              <w:t>HR+</w:t>
            </w:r>
          </w:p>
        </w:tc>
        <w:tc>
          <w:tcPr>
            <w:tcW w:w="3686" w:type="dxa"/>
          </w:tcPr>
          <w:p w14:paraId="45F1066C" w14:textId="77777777" w:rsidR="000A34A0" w:rsidRPr="007B5775" w:rsidRDefault="000A34A0" w:rsidP="00B041A1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 w:cs="Calibri"/>
                <w:bCs/>
                <w:sz w:val="22"/>
                <w:szCs w:val="22"/>
                <w:lang w:val="en-US"/>
              </w:rPr>
            </w:pPr>
            <w:r w:rsidRPr="007B5775">
              <w:rPr>
                <w:rFonts w:eastAsiaTheme="minorHAnsi" w:cs="Calibri"/>
                <w:bCs/>
                <w:sz w:val="22"/>
                <w:szCs w:val="22"/>
                <w:lang w:val="en-US"/>
              </w:rPr>
              <w:t>4</w:t>
            </w:r>
          </w:p>
          <w:p w14:paraId="4A9045E9" w14:textId="77777777" w:rsidR="000A34A0" w:rsidRPr="007B5775" w:rsidRDefault="000A34A0" w:rsidP="00B041A1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 w:cs="Calibri"/>
                <w:bCs/>
                <w:sz w:val="22"/>
                <w:szCs w:val="22"/>
                <w:lang w:val="en-US"/>
              </w:rPr>
            </w:pPr>
            <w:r w:rsidRPr="007B5775">
              <w:rPr>
                <w:rFonts w:eastAsiaTheme="minorHAnsi" w:cs="Calibri"/>
                <w:bCs/>
                <w:sz w:val="22"/>
                <w:szCs w:val="22"/>
                <w:lang w:val="en-US"/>
              </w:rPr>
              <w:t>11</w:t>
            </w:r>
          </w:p>
        </w:tc>
        <w:tc>
          <w:tcPr>
            <w:tcW w:w="4110" w:type="dxa"/>
          </w:tcPr>
          <w:p w14:paraId="1BD6CBF8" w14:textId="77777777" w:rsidR="000A34A0" w:rsidRPr="007B5775" w:rsidRDefault="000A34A0" w:rsidP="00B041A1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 w:cs="Calibri"/>
                <w:bCs/>
                <w:sz w:val="22"/>
                <w:szCs w:val="22"/>
                <w:lang w:val="en-US"/>
              </w:rPr>
            </w:pPr>
            <w:r w:rsidRPr="007B5775">
              <w:rPr>
                <w:rFonts w:eastAsiaTheme="minorHAnsi" w:cs="Calibri"/>
                <w:bCs/>
                <w:sz w:val="22"/>
                <w:szCs w:val="22"/>
                <w:lang w:val="en-US"/>
              </w:rPr>
              <w:t>26</w:t>
            </w:r>
          </w:p>
          <w:p w14:paraId="1A5BB825" w14:textId="77777777" w:rsidR="000A34A0" w:rsidRPr="007B5775" w:rsidRDefault="000A34A0" w:rsidP="00B041A1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 w:cs="Calibri"/>
                <w:bCs/>
                <w:sz w:val="22"/>
                <w:szCs w:val="22"/>
                <w:lang w:val="en-US"/>
              </w:rPr>
            </w:pPr>
            <w:r w:rsidRPr="007B5775">
              <w:rPr>
                <w:rFonts w:eastAsiaTheme="minorHAnsi" w:cs="Calibri"/>
                <w:bCs/>
                <w:sz w:val="22"/>
                <w:szCs w:val="22"/>
                <w:lang w:val="en-US"/>
              </w:rPr>
              <w:t>313</w:t>
            </w:r>
          </w:p>
        </w:tc>
      </w:tr>
      <w:tr w:rsidR="000A34A0" w:rsidRPr="007B5775" w14:paraId="700FC1D8" w14:textId="77777777" w:rsidTr="00B041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auto"/>
          </w:tcPr>
          <w:p w14:paraId="5A807D45" w14:textId="77777777" w:rsidR="000A34A0" w:rsidRPr="007B5775" w:rsidRDefault="000A34A0" w:rsidP="00B041A1">
            <w:pPr>
              <w:spacing w:line="480" w:lineRule="auto"/>
              <w:jc w:val="both"/>
              <w:rPr>
                <w:rFonts w:eastAsiaTheme="minorHAnsi" w:cs="Calibri"/>
                <w:sz w:val="22"/>
                <w:szCs w:val="22"/>
                <w:lang w:val="en-US"/>
              </w:rPr>
            </w:pPr>
            <w:r w:rsidRPr="007B5775">
              <w:rPr>
                <w:rFonts w:eastAsiaTheme="minorHAnsi" w:cs="Calibri"/>
                <w:b w:val="0"/>
                <w:sz w:val="22"/>
                <w:szCs w:val="22"/>
                <w:lang w:val="en-US"/>
              </w:rPr>
              <w:t>FA-</w:t>
            </w:r>
          </w:p>
          <w:p w14:paraId="0E52A513" w14:textId="77777777" w:rsidR="000A34A0" w:rsidRPr="007B5775" w:rsidRDefault="000A34A0" w:rsidP="00B041A1">
            <w:pPr>
              <w:spacing w:line="480" w:lineRule="auto"/>
              <w:jc w:val="both"/>
              <w:rPr>
                <w:rFonts w:eastAsiaTheme="minorHAnsi" w:cs="Calibri"/>
                <w:sz w:val="22"/>
                <w:szCs w:val="22"/>
                <w:lang w:val="en-US"/>
              </w:rPr>
            </w:pPr>
            <w:r w:rsidRPr="007B5775">
              <w:rPr>
                <w:rFonts w:eastAsiaTheme="minorHAnsi" w:cs="Calibri"/>
                <w:b w:val="0"/>
                <w:sz w:val="22"/>
                <w:szCs w:val="22"/>
                <w:lang w:val="en-US"/>
              </w:rPr>
              <w:t>FA+</w:t>
            </w:r>
          </w:p>
        </w:tc>
        <w:tc>
          <w:tcPr>
            <w:tcW w:w="3686" w:type="dxa"/>
            <w:shd w:val="clear" w:color="auto" w:fill="auto"/>
          </w:tcPr>
          <w:p w14:paraId="139377B0" w14:textId="77777777" w:rsidR="000A34A0" w:rsidRPr="007B5775" w:rsidRDefault="000A34A0" w:rsidP="00B041A1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 w:cs="Calibri"/>
                <w:bCs/>
                <w:sz w:val="22"/>
                <w:szCs w:val="22"/>
                <w:lang w:val="en-US"/>
              </w:rPr>
            </w:pPr>
            <w:r w:rsidRPr="007B5775">
              <w:rPr>
                <w:rFonts w:eastAsiaTheme="minorHAnsi" w:cs="Calibri"/>
                <w:bCs/>
                <w:sz w:val="22"/>
                <w:szCs w:val="22"/>
                <w:lang w:val="en-US"/>
              </w:rPr>
              <w:t>5</w:t>
            </w:r>
          </w:p>
          <w:p w14:paraId="1B634DBE" w14:textId="77777777" w:rsidR="000A34A0" w:rsidRPr="007B5775" w:rsidRDefault="000A34A0" w:rsidP="00B041A1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 w:cs="Calibri"/>
                <w:bCs/>
                <w:sz w:val="22"/>
                <w:szCs w:val="22"/>
                <w:lang w:val="en-US"/>
              </w:rPr>
            </w:pPr>
            <w:r w:rsidRPr="007B5775">
              <w:rPr>
                <w:rFonts w:eastAsiaTheme="minorHAnsi" w:cs="Calibri"/>
                <w:bCs/>
                <w:sz w:val="22"/>
                <w:szCs w:val="22"/>
                <w:lang w:val="en-US"/>
              </w:rPr>
              <w:t>10</w:t>
            </w:r>
          </w:p>
        </w:tc>
        <w:tc>
          <w:tcPr>
            <w:tcW w:w="4110" w:type="dxa"/>
            <w:shd w:val="clear" w:color="auto" w:fill="auto"/>
          </w:tcPr>
          <w:p w14:paraId="4BAA2B58" w14:textId="77777777" w:rsidR="000A34A0" w:rsidRPr="007B5775" w:rsidRDefault="000A34A0" w:rsidP="00B041A1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 w:cs="Calibri"/>
                <w:bCs/>
                <w:sz w:val="22"/>
                <w:szCs w:val="22"/>
                <w:lang w:val="en-US"/>
              </w:rPr>
            </w:pPr>
            <w:r w:rsidRPr="007B5775">
              <w:rPr>
                <w:rFonts w:eastAsiaTheme="minorHAnsi" w:cs="Calibri"/>
                <w:bCs/>
                <w:sz w:val="22"/>
                <w:szCs w:val="22"/>
                <w:lang w:val="en-US"/>
              </w:rPr>
              <w:t>69</w:t>
            </w:r>
          </w:p>
          <w:p w14:paraId="5A4DA715" w14:textId="77777777" w:rsidR="000A34A0" w:rsidRPr="007B5775" w:rsidRDefault="000A34A0" w:rsidP="00B041A1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 w:cs="Calibri"/>
                <w:bCs/>
                <w:sz w:val="22"/>
                <w:szCs w:val="22"/>
                <w:lang w:val="en-US"/>
              </w:rPr>
            </w:pPr>
            <w:r w:rsidRPr="007B5775">
              <w:rPr>
                <w:rFonts w:eastAsiaTheme="minorHAnsi" w:cs="Calibri"/>
                <w:bCs/>
                <w:sz w:val="22"/>
                <w:szCs w:val="22"/>
                <w:lang w:val="en-US"/>
              </w:rPr>
              <w:t>270</w:t>
            </w:r>
          </w:p>
        </w:tc>
      </w:tr>
    </w:tbl>
    <w:p w14:paraId="278C66EB" w14:textId="77777777" w:rsidR="000A34A0" w:rsidRPr="007B5775" w:rsidRDefault="000A34A0" w:rsidP="000A34A0">
      <w:pPr>
        <w:spacing w:line="480" w:lineRule="auto"/>
        <w:jc w:val="both"/>
        <w:rPr>
          <w:rFonts w:cs="Calibri"/>
          <w:bCs/>
          <w:color w:val="000000" w:themeColor="text1"/>
          <w:sz w:val="22"/>
          <w:szCs w:val="22"/>
          <w:lang w:val="en-US"/>
        </w:rPr>
      </w:pPr>
    </w:p>
    <w:p w14:paraId="50550B21" w14:textId="77777777" w:rsidR="000A34A0" w:rsidRPr="007B5775" w:rsidRDefault="000A34A0" w:rsidP="000A34A0">
      <w:pPr>
        <w:spacing w:line="480" w:lineRule="auto"/>
        <w:jc w:val="both"/>
        <w:rPr>
          <w:rFonts w:cs="Calibri"/>
          <w:bCs/>
          <w:color w:val="000000" w:themeColor="text1"/>
          <w:sz w:val="22"/>
          <w:szCs w:val="22"/>
          <w:lang w:val="en-US"/>
        </w:rPr>
      </w:pPr>
      <w:r w:rsidRPr="007B5775">
        <w:rPr>
          <w:rFonts w:cs="Calibri"/>
          <w:bCs/>
          <w:color w:val="000000" w:themeColor="text1"/>
          <w:sz w:val="22"/>
          <w:szCs w:val="22"/>
          <w:lang w:val="en-US"/>
        </w:rPr>
        <w:t>NER: nucleotide excision repair.</w:t>
      </w:r>
    </w:p>
    <w:p w14:paraId="6998CEF2" w14:textId="77777777" w:rsidR="000A34A0" w:rsidRPr="007B5775" w:rsidRDefault="000A34A0" w:rsidP="000A34A0">
      <w:pPr>
        <w:spacing w:line="480" w:lineRule="auto"/>
        <w:jc w:val="both"/>
        <w:rPr>
          <w:rFonts w:cs="Calibri"/>
          <w:bCs/>
          <w:color w:val="000000" w:themeColor="text1"/>
          <w:sz w:val="22"/>
          <w:szCs w:val="22"/>
          <w:lang w:val="en-US"/>
        </w:rPr>
      </w:pPr>
      <w:r w:rsidRPr="007B5775">
        <w:rPr>
          <w:rFonts w:cs="Calibri"/>
          <w:bCs/>
          <w:color w:val="000000" w:themeColor="text1"/>
          <w:sz w:val="22"/>
          <w:szCs w:val="22"/>
          <w:lang w:val="en-US"/>
        </w:rPr>
        <w:t>HR: double-strand breaks repair by homologous recombination.</w:t>
      </w:r>
    </w:p>
    <w:p w14:paraId="26481194" w14:textId="77777777" w:rsidR="000A34A0" w:rsidRPr="007B5775" w:rsidRDefault="000A34A0" w:rsidP="000A34A0">
      <w:pPr>
        <w:spacing w:line="480" w:lineRule="auto"/>
        <w:jc w:val="both"/>
        <w:rPr>
          <w:rFonts w:cs="Calibri"/>
          <w:bCs/>
          <w:color w:val="000000" w:themeColor="text1"/>
          <w:sz w:val="22"/>
          <w:szCs w:val="22"/>
          <w:lang w:val="en-US"/>
        </w:rPr>
      </w:pPr>
      <w:r w:rsidRPr="007B5775">
        <w:rPr>
          <w:rFonts w:cs="Calibri"/>
          <w:bCs/>
          <w:color w:val="000000" w:themeColor="text1"/>
          <w:sz w:val="22"/>
          <w:szCs w:val="22"/>
          <w:lang w:val="en-US"/>
        </w:rPr>
        <w:t>FA: crosslink repair by the Fanconi Anemia pathway. Overlaps with TLS-associated genes.</w:t>
      </w:r>
    </w:p>
    <w:p w14:paraId="35D71150" w14:textId="77777777" w:rsidR="000A34A0" w:rsidRPr="007B5775" w:rsidRDefault="000A34A0" w:rsidP="000A34A0">
      <w:pPr>
        <w:spacing w:line="480" w:lineRule="auto"/>
        <w:jc w:val="both"/>
        <w:rPr>
          <w:rFonts w:cs="Calibri"/>
          <w:bCs/>
          <w:color w:val="000000" w:themeColor="text1"/>
          <w:sz w:val="22"/>
          <w:szCs w:val="22"/>
          <w:lang w:val="en-US"/>
        </w:rPr>
      </w:pPr>
    </w:p>
    <w:p w14:paraId="16C00CE5" w14:textId="77777777" w:rsidR="000A34A0" w:rsidRPr="007B5775" w:rsidRDefault="000A34A0" w:rsidP="000A34A0">
      <w:pPr>
        <w:spacing w:line="480" w:lineRule="auto"/>
        <w:jc w:val="both"/>
        <w:rPr>
          <w:rFonts w:cs="Calibri"/>
          <w:bCs/>
          <w:color w:val="000000" w:themeColor="text1"/>
          <w:sz w:val="22"/>
          <w:szCs w:val="22"/>
          <w:lang w:val="en-US"/>
        </w:rPr>
      </w:pPr>
    </w:p>
    <w:p w14:paraId="67E6B64E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34A0"/>
    <w:rsid w:val="00066677"/>
    <w:rsid w:val="000A34A0"/>
    <w:rsid w:val="003A4E89"/>
    <w:rsid w:val="00556784"/>
    <w:rsid w:val="006C20B2"/>
    <w:rsid w:val="008B07A6"/>
    <w:rsid w:val="00987B63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333496"/>
  <w15:chartTrackingRefBased/>
  <w15:docId w15:val="{CEA7CEAB-4A32-488E-BF11-E44AD2CC12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34A0"/>
    <w:pPr>
      <w:spacing w:after="0" w:line="240" w:lineRule="auto"/>
    </w:pPr>
    <w:rPr>
      <w:kern w:val="0"/>
      <w:lang w:val="nl-NL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A34A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34A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34A0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34A0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34A0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34A0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34A0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34A0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34A0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34A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A34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34A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34A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34A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34A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34A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34A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34A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A34A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A34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34A0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A34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A34A0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A34A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A34A0"/>
    <w:pPr>
      <w:spacing w:after="160" w:line="278" w:lineRule="auto"/>
      <w:ind w:left="720"/>
      <w:contextualSpacing/>
    </w:pPr>
    <w:rPr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A34A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34A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34A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A34A0"/>
    <w:rPr>
      <w:b/>
      <w:bCs/>
      <w:smallCaps/>
      <w:color w:val="0F4761" w:themeColor="accent1" w:themeShade="BF"/>
      <w:spacing w:val="5"/>
    </w:rPr>
  </w:style>
  <w:style w:type="table" w:styleId="LightGrid">
    <w:name w:val="Light Grid"/>
    <w:basedOn w:val="TableNormal"/>
    <w:uiPriority w:val="62"/>
    <w:unhideWhenUsed/>
    <w:rsid w:val="000A34A0"/>
    <w:pPr>
      <w:spacing w:after="0" w:line="240" w:lineRule="auto"/>
    </w:pPr>
    <w:rPr>
      <w:rFonts w:eastAsia="Times New Roman" w:cs="Times New Roman"/>
      <w:kern w:val="0"/>
      <w:sz w:val="22"/>
      <w:szCs w:val="22"/>
      <w:lang w:val="en-GB"/>
      <w14:ligatures w14:val="non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/>
      </w:pPr>
      <w:rPr>
        <w:rFonts w:asciiTheme="majorHAnsi" w:eastAsiaTheme="majorEastAsia" w:hAnsiTheme="majorHAnsi" w:cs="Times New Roman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/>
      </w:pPr>
      <w:rPr>
        <w:rFonts w:asciiTheme="majorHAnsi" w:eastAsiaTheme="majorEastAsia" w:hAnsiTheme="majorHAnsi" w:cs="Times New Roman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="Times New Roman"/>
        <w:b/>
        <w:bCs/>
      </w:rPr>
    </w:tblStylePr>
    <w:tblStylePr w:type="lastCol">
      <w:rPr>
        <w:rFonts w:asciiTheme="majorHAnsi" w:eastAsiaTheme="majorEastAsia" w:hAnsiTheme="majorHAnsi" w:cs="Times New Roman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rPr>
        <w:rFonts w:cs="Times New Roman"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rPr>
        <w:rFonts w:cs="Times New Roman"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rPr>
        <w:rFonts w:cs="Times New Roman"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dTable6Colorful">
    <w:name w:val="Grid Table 6 Colorful"/>
    <w:basedOn w:val="TableNormal"/>
    <w:uiPriority w:val="51"/>
    <w:rsid w:val="000A34A0"/>
    <w:pPr>
      <w:spacing w:after="0" w:line="240" w:lineRule="auto"/>
    </w:pPr>
    <w:rPr>
      <w:rFonts w:eastAsia="Times New Roman" w:cs="Times New Roman"/>
      <w:color w:val="000000" w:themeColor="text1"/>
      <w:kern w:val="0"/>
      <w:lang w:val="nl-NL"/>
      <w14:ligatures w14:val="none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rFonts w:cs="Times New Roman"/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CCCCC" w:themeFill="text1" w:themeFillTint="33"/>
      </w:tcPr>
    </w:tblStylePr>
    <w:tblStylePr w:type="band1Horz">
      <w:rPr>
        <w:rFonts w:cs="Times New Roman"/>
      </w:rPr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10" Type="http://schemas.openxmlformats.org/officeDocument/2006/relationships/theme" Target="theme/theme1.xml"/><Relationship Id="rId4" Type="http://schemas.openxmlformats.org/officeDocument/2006/relationships/image" Target="media/image1.tif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495</Words>
  <Characters>2881</Characters>
  <Application>Microsoft Office Word</Application>
  <DocSecurity>0</DocSecurity>
  <Lines>46</Lines>
  <Paragraphs>15</Paragraphs>
  <ScaleCrop>false</ScaleCrop>
  <Company/>
  <LinksUpToDate>false</LinksUpToDate>
  <CharactersWithSpaces>3361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2026-02-26T03:59:00Z</dcterms:created>
  <dcterms:modified xsi:type="dcterms:W3CDTF">2026-02-26T04:01:00Z</dcterms:modified>
</cp:coreProperties>
</file>