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37958">
      <w:pPr>
        <w:widowControl/>
        <w:spacing w:before="0" w:after="0" w:line="480" w:lineRule="auto"/>
        <w:jc w:val="both"/>
        <w:rPr>
          <w:rFonts w:ascii="Times New Roman" w:hAnsi="Times New Roman" w:eastAsia="微软雅黑" w:cs="Times New Roman"/>
          <w:b/>
          <w:bCs/>
          <w:color w:val="7030A0"/>
          <w:sz w:val="24"/>
          <w:szCs w:val="24"/>
          <w:lang w:val="en-GB"/>
        </w:rPr>
      </w:pPr>
      <w:bookmarkStart w:id="0" w:name="_Hlk61646397"/>
      <w:r>
        <w:rPr>
          <w:rFonts w:ascii="Times New Roman" w:hAnsi="Times New Roman" w:eastAsia="微软雅黑" w:cs="Times New Roman"/>
          <w:b/>
          <w:bCs/>
          <w:color w:val="7030A0"/>
          <w:sz w:val="24"/>
          <w:szCs w:val="24"/>
          <w:lang w:val="en-GB"/>
        </w:rPr>
        <w:t>Supplementary-Methods</w:t>
      </w:r>
      <w:bookmarkEnd w:id="0"/>
    </w:p>
    <w:p w14:paraId="619A3CB4">
      <w:pPr>
        <w:spacing w:before="0" w:after="0" w:line="480" w:lineRule="auto"/>
        <w:rPr>
          <w:rFonts w:ascii="Times New Roman" w:hAnsi="Times New Roman" w:cs="Times New Roman"/>
          <w:b/>
          <w:bCs/>
          <w:color w:val="000000"/>
          <w:sz w:val="24"/>
          <w:szCs w:val="24"/>
        </w:rPr>
      </w:pPr>
      <w:r>
        <w:rPr>
          <w:rFonts w:ascii="Times New Roman" w:hAnsi="Times New Roman" w:eastAsia="Times New Roman" w:cs="Times New Roman"/>
          <w:b/>
          <w:bCs/>
          <w:sz w:val="24"/>
          <w:szCs w:val="24"/>
        </w:rPr>
        <w:t>Cell Cycle Analysis</w:t>
      </w:r>
    </w:p>
    <w:p w14:paraId="7DEB6EC1">
      <w:pPr>
        <w:spacing w:before="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cell cycle status was determined using the R package Tricycle (version 0.4.0)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ZOTERO_ITEM CSL_CITATION {"citationID":"4du6Gzv6","properties":{"formattedCitation":"[1]","plainCitation":"[1]","noteIndex":0},"citationItems":[{"id":11186,"uris":["http://zotero.org/users/10724480/items/TTSFNSCD"],"itemData":{"id":11186,"type":"article-journal","abstract":"Abstract\n            \n              Background\n              The cell cycle is a highly conserved, continuous process which controls faithful replication and division of cells. Single-cell technologies have enabled increasingly precise measurements of the cell cycle both as a biological process of interest and as a possible confounding factor. Despite its importance and conservation, there is no universally applicable approach to infer position in the cell cycle with high-resolution from single-cell RNA-seq data.\n            \n            \n              Results\n              Here, we present tricycle, an R/Bioconductor package, to address this challenge by leveraging key features of the biology of the cell cycle, the mathematical properties of principal component analysis of periodic functions, and the use of transfer learning. We estimate a cell-cycle embedding using a fixed reference dataset and project new data into this reference embedding, an approach that overcomes key limitations of learning a dataset-dependent embedding. Tricycle then predicts a cell-specific position in the cell cycle based on the data projection. The accuracy of tricycle compares favorably to gold-standard experimental assays, which generally require specialized measurements in specifically constructed in vitro systems. Using internal controls which are available for any dataset, we show that tricycle predictions generalize to datasets with multiple cell types, across tissues, species, and even sequencing assays.\n            \n            \n              Conclusions\n              Tricycle generalizes across datasets and is highly scalable and applicable to atlas-level single-cell RNA-seq data.","call-number":"1","container-title":"Genome Biology","DOI":"10.1186/s13059-021-02581-y","ISSN":"1474-760X","issue":"1","journalAbbreviation":"Genome Biol","language":"en","page":"41","source":"12.3","title":"Universal prediction of cell-cycle position using transfer learning","volume":"23","author":[{"family":"Zheng","given":"Shijie C."},{"family":"Stein-O’Brien","given":"Genevieve"},{"family":"Augustin","given":"Jonathan J."},{"family":"Slosberg","given":"Jared"},{"family":"Carosso","given":"Giovanni A."},{"family":"Winer","given":"Briana"},{"family":"Shin","given":"Gloria"},{"family":"Bjornsson","given":"Hans T."},{"family":"Goff","given":"Loyal A."},{"family":"Hansen","given":"Kasper D."}],"issued":{"date-parts":[["2022",12]]}}}],"schema":"https://github.com/citation-style-language/schema/raw/master/csl-citation.json"}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Cell cycle phase values were assigned on a scale from 0 to 2π, with the ranges 0.5π-π, π-1.75π, and 1.75π-2π corresponding to the S, G2/M, and G1/G0 phases, respectively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ZOTERO_ITEM CSL_CITATION {"citationID":"szJjqLPM","properties":{"formattedCitation":"[2]","plainCitation":"[2]","noteIndex":0},"citationItems":[{"id":12901,"uris":["http://zotero.org/users/10724480/items/QBR5DN65"],"itemData":{"id":12901,"type":"article-journal","abstract":"Single-cell transcriptomics technologies can uncover changes in the molecular states that underlie cellular phenotypes. However, understanding the dynamic cellular processes requires extending from inferring trajectories from snapshots of cellular states to estimating temporal changes in cellular gene expression. To address this challenge, we have developed a neural ordinary differential-equation-based method, RNAForecaster, for predicting gene expression states in single cells for multiple future time steps in an embedding-independent manner. We demonstrate that RNAForecaster can accurately predict future expression states in simulated single-cell transcriptomic data with cellular tracking over time. We then show that by using metabolic labeling single-cell RNA sequencing (scRNA-seq) data from constitutively dividing cells, RNAForecaster accurately recapitulates many of the expected changes in gene expression during progression through the cell cycle over a 3-day period. Thus, RNAForecaster enables short-term estimation of future expression states in biological systems from high-throughput datasets with temporal information.","container-title":"Patterns (New York, N.Y.)","DOI":"10.1016/j.patter.2023.100793","ISSN":"2666-3899","issue":"8","journalAbbreviation":"Patterns (N Y)","language":"eng","page":"100793","PMID":"37602211","PMCID":"PMC10435954","source":"PubMed","title":"Transcriptomic forecasting with neural ordinary differential equations","volume":"4","author":[{"family":"Erbe","given":"Rossin"},{"family":"Stein-O'Brien","given":"Genevieve"},{"family":"Fertig","given":"Elana J."}],"issued":{"date-parts":[["2023",8,11]]}}}],"schema":"https://github.com/citation-style-language/schema/raw/master/csl-citation.json"}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[2]</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 start of the G2 phase and the midpoint of the M phase were represented by π and 1.5π, respectively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ZOTERO_ITEM CSL_CITATION {"citationID":"nYn13MTR","properties":{"formattedCitation":"[1]","plainCitation":"[1]","noteIndex":0},"citationItems":[{"id":11186,"uris":["http://zotero.org/users/10724480/items/TTSFNSCD"],"itemData":{"id":11186,"type":"article-journal","abstract":"Abstract\n            \n              Background\n              The cell cycle is a highly conserved, continuous process which controls faithful replication and division of cells. Single-cell technologies have enabled increasingly precise measurements of the cell cycle both as a biological process of interest and as a possible confounding factor. Despite its importance and conservation, there is no universally applicable approach to infer position in the cell cycle with high-resolution from single-cell RNA-seq data.\n            \n            \n              Results\n              Here, we present tricycle, an R/Bioconductor package, to address this challenge by leveraging key features of the biology of the cell cycle, the mathematical properties of principal component analysis of periodic functions, and the use of transfer learning. We estimate a cell-cycle embedding using a fixed reference dataset and project new data into this reference embedding, an approach that overcomes key limitations of learning a dataset-dependent embedding. Tricycle then predicts a cell-specific position in the cell cycle based on the data projection. The accuracy of tricycle compares favorably to gold-standard experimental assays, which generally require specialized measurements in specifically constructed in vitro systems. Using internal controls which are available for any dataset, we show that tricycle predictions generalize to datasets with multiple cell types, across tissues, species, and even sequencing assays.\n            \n            \n              Conclusions\n              Tricycle generalizes across datasets and is highly scalable and applicable to atlas-level single-cell RNA-seq data.","call-number":"1","container-title":"Genome Biology","DOI":"10.1186/s13059-021-02581-y","ISSN":"1474-760X","issue":"1","journalAbbreviation":"Genome Biol","language":"en","page":"41","source":"12.3","title":"Universal prediction of cell-cycle position using transfer learning","volume":"23","author":[{"family":"Zheng","given":"Shijie C."},{"family":"Stein-O’Brien","given":"Genevieve"},{"family":"Augustin","given":"Jonathan J."},{"family":"Slosberg","given":"Jared"},{"family":"Carosso","given":"Giovanni A."},{"family":"Winer","given":"Briana"},{"family":"Shin","given":"Gloria"},{"family":"Bjornsson","given":"Hans T."},{"family":"Goff","given":"Loyal A."},{"family":"Hansen","given":"Kasper D."}],"issued":{"date-parts":[["2022",12]]}}}],"schema":"https://github.com/citation-style-language/schema/raw/master/csl-citation.json"}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Based on these definitions, the cell cycle phase value ranges of 1.75π-2.5π (0.5π), 0.5π-π, π-1.25π, and 1.25π-1.75π correspond to G1, S, G2, and M phase cells, respectively.</w:t>
      </w:r>
    </w:p>
    <w:p w14:paraId="4A761B68">
      <w:pPr>
        <w:spacing w:before="0" w:after="0" w:line="480" w:lineRule="auto"/>
        <w:rPr>
          <w:rFonts w:ascii="Times New Roman" w:hAnsi="Times New Roman" w:cs="Times New Roman"/>
          <w:color w:val="000000"/>
          <w:sz w:val="24"/>
          <w:szCs w:val="24"/>
        </w:rPr>
      </w:pPr>
    </w:p>
    <w:p w14:paraId="210E9DF2">
      <w:pPr>
        <w:spacing w:before="0"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Measurement of Cell Proliferation Capacity</w:t>
      </w:r>
    </w:p>
    <w:p w14:paraId="5BEE7A73">
      <w:pPr>
        <w:spacing w:before="0" w:after="0" w:line="480" w:lineRule="auto"/>
        <w:jc w:val="both"/>
        <w:rPr>
          <w:rFonts w:ascii="Times New Roman" w:hAnsi="Times New Roman" w:cs="Times New Roman"/>
          <w:color w:val="1B1B1B"/>
          <w:sz w:val="24"/>
          <w:szCs w:val="24"/>
          <w:shd w:val="clear" w:color="auto" w:fill="FFFFFF"/>
        </w:rPr>
      </w:pPr>
      <w:bookmarkStart w:id="1" w:name="OLE_LINK3"/>
      <w:r>
        <w:rPr>
          <w:rFonts w:ascii="Times New Roman" w:hAnsi="Times New Roman" w:cs="Times New Roman"/>
          <w:color w:val="000000"/>
          <w:sz w:val="24"/>
          <w:szCs w:val="24"/>
        </w:rPr>
        <w:t xml:space="preserve">Cell Counting Kit-8 (U22-001A, Biosharp Co., Ltd., Shanghai, China) were used to perform CCK-8 assay following the manufacturers’ instructions. The proliferative capacity was assessed via the CCK-8 assay. Cells from three sorted cell populations (G1 phase NP cells, G2/M phase NP cells, and macrophages) were seeded in a 96-well plate at a density of 5 </w:t>
      </w:r>
      <w:r>
        <w:rPr>
          <w:rFonts w:ascii="Times New Roman" w:hAnsi="Times New Roman" w:cs="Times New Roman"/>
          <w:color w:val="1B1B1B"/>
          <w:sz w:val="24"/>
          <w:szCs w:val="24"/>
          <w:shd w:val="clear" w:color="auto" w:fill="FFFFFF"/>
        </w:rPr>
        <w:t>× 10</w:t>
      </w:r>
      <w:r>
        <w:rPr>
          <w:rFonts w:ascii="Times New Roman" w:hAnsi="Times New Roman" w:cs="Times New Roman"/>
          <w:color w:val="1B1B1B"/>
          <w:sz w:val="24"/>
          <w:szCs w:val="24"/>
          <w:shd w:val="clear" w:color="auto" w:fill="FFFFFF"/>
          <w:vertAlign w:val="superscript"/>
        </w:rPr>
        <w:t>3</w:t>
      </w:r>
      <w:r>
        <w:rPr>
          <w:rFonts w:ascii="Times New Roman" w:hAnsi="Times New Roman" w:cs="Times New Roman"/>
          <w:color w:val="1B1B1B"/>
          <w:sz w:val="24"/>
          <w:szCs w:val="24"/>
          <w:shd w:val="clear" w:color="auto" w:fill="FFFFFF"/>
        </w:rPr>
        <w:t xml:space="preserve"> per well, with 10 wells for each cell type. After incubating for 4 hours, the absorbance (450 nm) was measured using multi-detection plate readers </w:t>
      </w:r>
      <w:bookmarkStart w:id="2" w:name="OLE_LINK54"/>
      <w:r>
        <w:rPr>
          <w:rFonts w:ascii="Times New Roman" w:hAnsi="Times New Roman" w:cs="Times New Roman"/>
          <w:color w:val="1B1B1B"/>
          <w:sz w:val="24"/>
          <w:szCs w:val="24"/>
          <w:shd w:val="clear" w:color="auto" w:fill="FFFFFF"/>
        </w:rPr>
        <w:t>(SpectraMax iD3, Molecular Devices, San Jose, California, USA)</w:t>
      </w:r>
      <w:bookmarkEnd w:id="2"/>
      <w:r>
        <w:rPr>
          <w:rFonts w:ascii="Times New Roman" w:hAnsi="Times New Roman" w:cs="Times New Roman"/>
          <w:color w:val="1B1B1B"/>
          <w:sz w:val="24"/>
          <w:szCs w:val="24"/>
          <w:shd w:val="clear" w:color="auto" w:fill="FFFFFF"/>
        </w:rPr>
        <w:t>.</w:t>
      </w:r>
      <w:bookmarkEnd w:id="1"/>
    </w:p>
    <w:p w14:paraId="70DDCD76">
      <w:pPr>
        <w:spacing w:before="0" w:after="0" w:line="480" w:lineRule="auto"/>
        <w:jc w:val="both"/>
        <w:rPr>
          <w:rFonts w:ascii="Times New Roman" w:hAnsi="Times New Roman" w:cs="Times New Roman"/>
          <w:color w:val="1B1B1B"/>
          <w:sz w:val="24"/>
          <w:szCs w:val="24"/>
          <w:shd w:val="clear" w:color="auto" w:fill="FFFFFF"/>
        </w:rPr>
      </w:pPr>
    </w:p>
    <w:p w14:paraId="182D04FD">
      <w:pPr>
        <w:spacing w:before="0"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Osteogenic and adipogenic induction</w:t>
      </w:r>
    </w:p>
    <w:p w14:paraId="0DC43763">
      <w:pPr>
        <w:spacing w:before="0" w:after="0" w:line="48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000000"/>
          <w:sz w:val="24"/>
          <w:szCs w:val="24"/>
        </w:rPr>
        <w:t xml:space="preserve">Osteogenic and adipogenic differentiation induction was conducted to evaluate the stemness capacity. </w:t>
      </w:r>
      <w:r>
        <w:rPr>
          <w:rFonts w:ascii="Times New Roman" w:hAnsi="Times New Roman" w:cs="Times New Roman"/>
          <w:color w:val="1B1B1B"/>
          <w:sz w:val="24"/>
          <w:szCs w:val="24"/>
          <w:shd w:val="clear" w:color="auto" w:fill="FFFFFF"/>
        </w:rPr>
        <w:t xml:space="preserve">For osteogenic </w:t>
      </w:r>
      <w:r>
        <w:rPr>
          <w:rFonts w:ascii="Times New Roman" w:hAnsi="Times New Roman" w:cs="Times New Roman"/>
          <w:color w:val="000000"/>
          <w:sz w:val="24"/>
          <w:szCs w:val="24"/>
        </w:rPr>
        <w:t>differentiation, G1 phase NP cells and G2/M phase NP cells were respectively seeded at a density of 2</w:t>
      </w:r>
      <w:r>
        <w:rPr>
          <w:rFonts w:ascii="Times New Roman" w:hAnsi="Times New Roman" w:cs="Times New Roman"/>
          <w:color w:val="1B1B1B"/>
          <w:sz w:val="24"/>
          <w:szCs w:val="24"/>
          <w:shd w:val="clear" w:color="auto" w:fill="FFFFFF"/>
        </w:rPr>
        <w:t xml:space="preserve"> × 10</w:t>
      </w:r>
      <w:r>
        <w:rPr>
          <w:rFonts w:ascii="Times New Roman" w:hAnsi="Times New Roman" w:cs="Times New Roman"/>
          <w:color w:val="1B1B1B"/>
          <w:sz w:val="24"/>
          <w:szCs w:val="24"/>
          <w:shd w:val="clear" w:color="auto" w:fill="FFFFFF"/>
          <w:vertAlign w:val="superscript"/>
        </w:rPr>
        <w:t>5</w:t>
      </w:r>
      <w:r>
        <w:rPr>
          <w:rFonts w:ascii="Times New Roman" w:hAnsi="Times New Roman" w:cs="Times New Roman"/>
          <w:color w:val="1B1B1B"/>
          <w:sz w:val="24"/>
          <w:szCs w:val="24"/>
          <w:shd w:val="clear" w:color="auto" w:fill="FFFFFF"/>
        </w:rPr>
        <w:t xml:space="preserve"> per well in a 24-well plate with Osteogenic Induction Me</w:t>
      </w:r>
      <w:r>
        <w:rPr>
          <w:rFonts w:ascii="Times New Roman" w:hAnsi="Times New Roman" w:cs="Times New Roman"/>
          <w:color w:val="000000"/>
          <w:sz w:val="24"/>
          <w:szCs w:val="24"/>
        </w:rPr>
        <w:t xml:space="preserve">dium </w:t>
      </w:r>
      <w:bookmarkStart w:id="3" w:name="OLE_LINK55"/>
      <w:r>
        <w:rPr>
          <w:rFonts w:ascii="Times New Roman" w:hAnsi="Times New Roman" w:cs="Times New Roman"/>
          <w:color w:val="000000"/>
          <w:sz w:val="24"/>
          <w:szCs w:val="24"/>
        </w:rPr>
        <w:t>(HUXXC-90021, OriCell</w:t>
      </w:r>
      <w:r>
        <w:rPr>
          <w:rFonts w:ascii="Times New Roman" w:hAnsi="Times New Roman" w:cs="Times New Roman"/>
          <w:color w:val="000000"/>
          <w:sz w:val="24"/>
          <w:szCs w:val="24"/>
          <w:vertAlign w:val="superscript"/>
        </w:rPr>
        <w:t>TM</w:t>
      </w:r>
      <w:r>
        <w:rPr>
          <w:rFonts w:ascii="Times New Roman" w:hAnsi="Times New Roman" w:cs="Times New Roman"/>
          <w:color w:val="000000"/>
          <w:sz w:val="24"/>
          <w:szCs w:val="24"/>
        </w:rPr>
        <w:t>, Cyagen Biosciences Co., Ltd., Guangzhou, Guangdong, Chi</w:t>
      </w:r>
      <w:r>
        <w:rPr>
          <w:rFonts w:ascii="Times New Roman" w:hAnsi="Times New Roman" w:cs="Times New Roman"/>
          <w:color w:val="1B1B1B"/>
          <w:sz w:val="24"/>
          <w:szCs w:val="24"/>
          <w:shd w:val="clear" w:color="auto" w:fill="FFFFFF"/>
        </w:rPr>
        <w:t>na)</w:t>
      </w:r>
      <w:bookmarkEnd w:id="3"/>
      <w:r>
        <w:rPr>
          <w:rFonts w:ascii="Times New Roman" w:hAnsi="Times New Roman" w:cs="Times New Roman"/>
          <w:color w:val="1B1B1B"/>
          <w:sz w:val="24"/>
          <w:szCs w:val="24"/>
          <w:shd w:val="clear" w:color="auto" w:fill="FFFFFF"/>
        </w:rPr>
        <w:t>, with each five wells for cell type. The medium was changed every three days. After a 3-week induct</w:t>
      </w:r>
      <w:r>
        <w:rPr>
          <w:rFonts w:ascii="Times New Roman" w:hAnsi="Times New Roman" w:cs="Times New Roman"/>
          <w:color w:val="000000"/>
          <w:sz w:val="24"/>
          <w:szCs w:val="24"/>
        </w:rPr>
        <w:t xml:space="preserve">ion, cells were washed with PBS, fixed in 4% PFA for 30 min, and then stained by Alizarin Red S </w:t>
      </w:r>
      <w:bookmarkStart w:id="4" w:name="OLE_LINK56"/>
      <w:r>
        <w:rPr>
          <w:rFonts w:ascii="Times New Roman" w:hAnsi="Times New Roman" w:cs="Times New Roman"/>
          <w:color w:val="000000"/>
          <w:sz w:val="24"/>
          <w:szCs w:val="24"/>
        </w:rPr>
        <w:t>(ALIR-10001, OriCell</w:t>
      </w:r>
      <w:r>
        <w:rPr>
          <w:rFonts w:ascii="Times New Roman" w:hAnsi="Times New Roman" w:cs="Times New Roman"/>
          <w:color w:val="000000"/>
          <w:sz w:val="24"/>
          <w:szCs w:val="24"/>
          <w:vertAlign w:val="superscript"/>
        </w:rPr>
        <w:t>TM</w:t>
      </w:r>
      <w:r>
        <w:rPr>
          <w:rFonts w:ascii="Times New Roman" w:hAnsi="Times New Roman" w:cs="Times New Roman"/>
          <w:color w:val="000000"/>
          <w:sz w:val="24"/>
          <w:szCs w:val="24"/>
        </w:rPr>
        <w:t>, Cyagen Biosciences Co., Ltd., Guangzhou, Guangdong, China)</w:t>
      </w:r>
      <w:bookmarkEnd w:id="4"/>
      <w:r>
        <w:rPr>
          <w:rFonts w:ascii="Times New Roman" w:hAnsi="Times New Roman" w:cs="Times New Roman"/>
          <w:color w:val="000000"/>
          <w:sz w:val="24"/>
          <w:szCs w:val="24"/>
        </w:rPr>
        <w:t xml:space="preserve"> following the manufacturers’ instructions. For adipogenic differentiation, cells from the three types were seeded at a density of 2</w:t>
      </w:r>
      <w:r>
        <w:rPr>
          <w:rFonts w:ascii="Times New Roman" w:hAnsi="Times New Roman" w:cs="Times New Roman"/>
          <w:color w:val="1B1B1B"/>
          <w:sz w:val="24"/>
          <w:szCs w:val="24"/>
          <w:shd w:val="clear" w:color="auto" w:fill="FFFFFF"/>
        </w:rPr>
        <w:t xml:space="preserve"> × 10</w:t>
      </w:r>
      <w:r>
        <w:rPr>
          <w:rFonts w:ascii="Times New Roman" w:hAnsi="Times New Roman" w:cs="Times New Roman"/>
          <w:color w:val="1B1B1B"/>
          <w:sz w:val="24"/>
          <w:szCs w:val="24"/>
          <w:shd w:val="clear" w:color="auto" w:fill="FFFFFF"/>
          <w:vertAlign w:val="superscript"/>
        </w:rPr>
        <w:t>5</w:t>
      </w:r>
      <w:r>
        <w:rPr>
          <w:rFonts w:ascii="Times New Roman" w:hAnsi="Times New Roman" w:cs="Times New Roman"/>
          <w:color w:val="1B1B1B"/>
          <w:sz w:val="24"/>
          <w:szCs w:val="24"/>
          <w:shd w:val="clear" w:color="auto" w:fill="FFFFFF"/>
        </w:rPr>
        <w:t xml:space="preserve"> per well in a 24-well plate with A</w:t>
      </w:r>
      <w:r>
        <w:rPr>
          <w:rFonts w:ascii="Times New Roman" w:hAnsi="Times New Roman" w:cs="Times New Roman"/>
          <w:color w:val="000000"/>
          <w:sz w:val="24"/>
          <w:szCs w:val="24"/>
        </w:rPr>
        <w:t>dipogenic</w:t>
      </w:r>
      <w:r>
        <w:rPr>
          <w:rFonts w:ascii="Times New Roman" w:hAnsi="Times New Roman" w:cs="Times New Roman"/>
          <w:color w:val="1B1B1B"/>
          <w:sz w:val="24"/>
          <w:szCs w:val="24"/>
          <w:shd w:val="clear" w:color="auto" w:fill="FFFFFF"/>
        </w:rPr>
        <w:t xml:space="preserve"> Induction Me</w:t>
      </w:r>
      <w:r>
        <w:rPr>
          <w:rFonts w:ascii="Times New Roman" w:hAnsi="Times New Roman" w:cs="Times New Roman"/>
          <w:color w:val="000000"/>
          <w:sz w:val="24"/>
          <w:szCs w:val="24"/>
        </w:rPr>
        <w:t>dium (HUXXC-90031, OriCell</w:t>
      </w:r>
      <w:r>
        <w:rPr>
          <w:rFonts w:ascii="Times New Roman" w:hAnsi="Times New Roman" w:cs="Times New Roman"/>
          <w:color w:val="000000"/>
          <w:sz w:val="24"/>
          <w:szCs w:val="24"/>
          <w:vertAlign w:val="superscript"/>
        </w:rPr>
        <w:t>TM</w:t>
      </w:r>
      <w:r>
        <w:rPr>
          <w:rFonts w:ascii="Times New Roman" w:hAnsi="Times New Roman" w:cs="Times New Roman"/>
          <w:color w:val="000000"/>
          <w:sz w:val="24"/>
          <w:szCs w:val="24"/>
        </w:rPr>
        <w:t>, Cyagen Biosciences Co., Ltd., Guangzhou, Guangdong, Chi</w:t>
      </w:r>
      <w:r>
        <w:rPr>
          <w:rFonts w:ascii="Times New Roman" w:hAnsi="Times New Roman" w:cs="Times New Roman"/>
          <w:color w:val="1B1B1B"/>
          <w:sz w:val="24"/>
          <w:szCs w:val="24"/>
          <w:shd w:val="clear" w:color="auto" w:fill="FFFFFF"/>
        </w:rPr>
        <w:t>na), with five wells for each cell type. After a 3-week induct</w:t>
      </w:r>
      <w:r>
        <w:rPr>
          <w:rFonts w:ascii="Times New Roman" w:hAnsi="Times New Roman" w:cs="Times New Roman"/>
          <w:color w:val="000000"/>
          <w:sz w:val="24"/>
          <w:szCs w:val="24"/>
        </w:rPr>
        <w:t xml:space="preserve">ion, cells were washed with PBS, fixed in 4% PFA for 30 min, and then stained by </w:t>
      </w:r>
      <w:r>
        <w:rPr>
          <w:rFonts w:ascii="Times New Roman" w:hAnsi="Times New Roman" w:cs="Times New Roman"/>
          <w:color w:val="1B1B1B"/>
          <w:sz w:val="24"/>
          <w:szCs w:val="24"/>
          <w:shd w:val="clear" w:color="auto" w:fill="FFFFFF"/>
        </w:rPr>
        <w:t>Oli Red O solution (O</w:t>
      </w:r>
      <w:r>
        <w:rPr>
          <w:rFonts w:ascii="Times New Roman" w:hAnsi="Times New Roman" w:cs="Times New Roman"/>
          <w:color w:val="000000"/>
          <w:sz w:val="24"/>
          <w:szCs w:val="24"/>
        </w:rPr>
        <w:t>LIR-10001, OriCell</w:t>
      </w:r>
      <w:r>
        <w:rPr>
          <w:rFonts w:ascii="Times New Roman" w:hAnsi="Times New Roman" w:cs="Times New Roman"/>
          <w:color w:val="000000"/>
          <w:sz w:val="24"/>
          <w:szCs w:val="24"/>
          <w:vertAlign w:val="superscript"/>
        </w:rPr>
        <w:t>TM</w:t>
      </w:r>
      <w:r>
        <w:rPr>
          <w:rFonts w:ascii="Times New Roman" w:hAnsi="Times New Roman" w:cs="Times New Roman"/>
          <w:color w:val="000000"/>
          <w:sz w:val="24"/>
          <w:szCs w:val="24"/>
        </w:rPr>
        <w:t xml:space="preserve">, Cyagen Biosciences </w:t>
      </w:r>
      <w:r>
        <w:rPr>
          <w:rFonts w:ascii="Times New Roman" w:hAnsi="Times New Roman" w:cs="Times New Roman"/>
          <w:color w:val="1B1B1B"/>
          <w:sz w:val="24"/>
          <w:szCs w:val="24"/>
          <w:shd w:val="clear" w:color="auto" w:fill="FFFFFF"/>
        </w:rPr>
        <w:t xml:space="preserve">Co., Ltd., Guangzhou, Guangdong, China) following the manufacturers’ instructions. All the cells were observed by microscopic inspection </w:t>
      </w:r>
      <w:bookmarkStart w:id="5" w:name="OLE_LINK57"/>
      <w:r>
        <w:rPr>
          <w:rFonts w:ascii="Times New Roman" w:hAnsi="Times New Roman" w:cs="Times New Roman"/>
          <w:color w:val="1B1B1B"/>
          <w:sz w:val="24"/>
          <w:szCs w:val="24"/>
          <w:shd w:val="clear" w:color="auto" w:fill="FFFFFF"/>
        </w:rPr>
        <w:t>(IX51, Olympus, Tokyo, Japan)</w:t>
      </w:r>
      <w:bookmarkEnd w:id="5"/>
      <w:r>
        <w:rPr>
          <w:rFonts w:ascii="Times New Roman" w:hAnsi="Times New Roman" w:cs="Times New Roman"/>
          <w:color w:val="1B1B1B"/>
          <w:sz w:val="24"/>
          <w:szCs w:val="24"/>
          <w:shd w:val="clear" w:color="auto" w:fill="FFFFFF"/>
        </w:rPr>
        <w:t>. The percentages of stained area were quantitated by Image J (</w:t>
      </w:r>
      <w:r>
        <w:rPr>
          <w:rFonts w:ascii="Times New Roman" w:hAnsi="Times New Roman" w:cs="Times New Roman"/>
          <w:color w:val="000000"/>
          <w:sz w:val="24"/>
          <w:szCs w:val="24"/>
        </w:rPr>
        <w:t>v</w:t>
      </w:r>
      <w:r>
        <w:rPr>
          <w:rFonts w:ascii="Times New Roman" w:hAnsi="Times New Roman" w:cs="Times New Roman"/>
          <w:color w:val="1B1B1B"/>
          <w:sz w:val="24"/>
          <w:szCs w:val="24"/>
          <w:shd w:val="clear" w:color="auto" w:fill="FFFFFF"/>
        </w:rPr>
        <w:t>2.14.0).</w:t>
      </w:r>
    </w:p>
    <w:p w14:paraId="58A2BF3D">
      <w:pPr>
        <w:spacing w:before="0" w:after="0" w:line="480" w:lineRule="auto"/>
        <w:jc w:val="both"/>
        <w:rPr>
          <w:rFonts w:ascii="Times New Roman" w:hAnsi="Times New Roman" w:cs="Times New Roman"/>
          <w:color w:val="1B1B1B"/>
          <w:sz w:val="24"/>
          <w:szCs w:val="24"/>
          <w:shd w:val="clear" w:color="auto" w:fill="FFFFFF"/>
        </w:rPr>
      </w:pPr>
    </w:p>
    <w:p w14:paraId="6D394ACA">
      <w:pPr>
        <w:spacing w:before="0" w:after="0" w:line="480" w:lineRule="auto"/>
        <w:jc w:val="both"/>
        <w:rPr>
          <w:rFonts w:ascii="Times New Roman" w:hAnsi="Times New Roman" w:cs="Times New Roman"/>
          <w:b/>
          <w:color w:val="000000"/>
          <w:sz w:val="24"/>
          <w:szCs w:val="24"/>
        </w:rPr>
      </w:pPr>
      <w:bookmarkStart w:id="6" w:name="OLE_LINK10"/>
      <w:bookmarkStart w:id="7" w:name="OLE_LINK11"/>
      <w:r>
        <w:rPr>
          <w:rFonts w:ascii="Times New Roman" w:hAnsi="Times New Roman" w:eastAsia="Times New Roman" w:cs="Times New Roman"/>
          <w:b/>
          <w:sz w:val="24"/>
          <w:szCs w:val="24"/>
        </w:rPr>
        <w:t>Quantitative Polymerase Chain Reaction</w:t>
      </w:r>
      <w:bookmarkEnd w:id="6"/>
      <w:bookmarkEnd w:id="7"/>
      <w:r>
        <w:rPr>
          <w:rFonts w:ascii="Times New Roman" w:hAnsi="Times New Roman" w:eastAsia="Times New Roman" w:cs="Times New Roman"/>
          <w:b/>
          <w:sz w:val="24"/>
          <w:szCs w:val="24"/>
        </w:rPr>
        <w:t xml:space="preserve"> (qPCR) </w:t>
      </w:r>
      <w:r>
        <w:rPr>
          <w:rFonts w:ascii="Times New Roman" w:hAnsi="Times New Roman" w:cs="Times New Roman"/>
          <w:b/>
          <w:color w:val="000000"/>
          <w:sz w:val="24"/>
          <w:szCs w:val="24"/>
        </w:rPr>
        <w:t>Assay</w:t>
      </w:r>
    </w:p>
    <w:p w14:paraId="6E0F86B8">
      <w:pP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mRNA levels of </w:t>
      </w:r>
      <w:bookmarkStart w:id="8" w:name="OLE_LINK25"/>
      <w:r>
        <w:rPr>
          <w:rFonts w:ascii="Times New Roman" w:hAnsi="Times New Roman" w:cs="Times New Roman"/>
          <w:color w:val="000000"/>
          <w:sz w:val="24"/>
          <w:szCs w:val="24"/>
        </w:rPr>
        <w:t>osteogenic genes</w:t>
      </w:r>
      <w:bookmarkEnd w:id="8"/>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ALP</w:t>
      </w:r>
      <w:r>
        <w:rPr>
          <w:rFonts w:ascii="Times New Roman" w:hAnsi="Times New Roman" w:cs="Times New Roman"/>
          <w:color w:val="000000"/>
          <w:sz w:val="24"/>
          <w:szCs w:val="24"/>
        </w:rPr>
        <w:t xml:space="preserve"> and </w:t>
      </w:r>
      <w:r>
        <w:rPr>
          <w:rFonts w:ascii="Times New Roman" w:hAnsi="Times New Roman" w:cs="Times New Roman"/>
          <w:i/>
          <w:iCs/>
          <w:color w:val="000000"/>
          <w:sz w:val="24"/>
          <w:szCs w:val="24"/>
        </w:rPr>
        <w:t>OC</w:t>
      </w:r>
      <w:r>
        <w:rPr>
          <w:rFonts w:ascii="Times New Roman" w:hAnsi="Times New Roman" w:cs="Times New Roman"/>
          <w:color w:val="000000"/>
          <w:sz w:val="24"/>
          <w:szCs w:val="24"/>
        </w:rPr>
        <w:t>) and adipogenic genes (</w:t>
      </w:r>
      <w:r>
        <w:rPr>
          <w:rFonts w:ascii="Times New Roman" w:hAnsi="Times New Roman" w:cs="Times New Roman"/>
          <w:i/>
          <w:iCs/>
          <w:color w:val="000000"/>
          <w:sz w:val="24"/>
          <w:szCs w:val="24"/>
        </w:rPr>
        <w:t>APP</w:t>
      </w:r>
      <w:r>
        <w:rPr>
          <w:rFonts w:ascii="Times New Roman" w:hAnsi="Times New Roman" w:cs="Times New Roman"/>
          <w:color w:val="000000"/>
          <w:sz w:val="24"/>
          <w:szCs w:val="24"/>
        </w:rPr>
        <w:t xml:space="preserve"> and </w:t>
      </w:r>
      <w:r>
        <w:rPr>
          <w:rFonts w:ascii="Times New Roman" w:hAnsi="Times New Roman" w:cs="Times New Roman"/>
          <w:i/>
          <w:iCs/>
          <w:color w:val="000000"/>
          <w:sz w:val="24"/>
          <w:szCs w:val="24"/>
        </w:rPr>
        <w:t>LPL</w:t>
      </w:r>
      <w:r>
        <w:rPr>
          <w:rFonts w:ascii="Times New Roman" w:hAnsi="Times New Roman" w:cs="Times New Roman"/>
          <w:color w:val="000000"/>
          <w:sz w:val="24"/>
          <w:szCs w:val="24"/>
        </w:rPr>
        <w:t xml:space="preserve">) was detected via qPCR to assess the differentiation outcomes of G1 phase NP cells and G2/M phase NP cells. Total RNA extraction was performed using the RNA Extraction Kit for Cell-lysis </w:t>
      </w:r>
      <w:bookmarkStart w:id="9" w:name="OLE_LINK58"/>
      <w:r>
        <w:rPr>
          <w:rFonts w:ascii="Times New Roman" w:hAnsi="Times New Roman" w:cs="Times New Roman"/>
          <w:color w:val="000000"/>
          <w:sz w:val="24"/>
          <w:szCs w:val="24"/>
        </w:rPr>
        <w:t>(FZ007, BEUJING D-Nano Therapeutics Co., Ltd., Beijing, China)</w:t>
      </w:r>
      <w:bookmarkEnd w:id="9"/>
      <w:r>
        <w:rPr>
          <w:rFonts w:ascii="Times New Roman" w:hAnsi="Times New Roman" w:cs="Times New Roman"/>
          <w:color w:val="000000"/>
          <w:sz w:val="24"/>
          <w:szCs w:val="24"/>
        </w:rPr>
        <w:t xml:space="preserve"> according to the manufacturer's instructions. Isolated RNA was treated with Nuclease-free water </w:t>
      </w:r>
      <w:bookmarkStart w:id="10" w:name="OLE_LINK59"/>
      <w:r>
        <w:rPr>
          <w:rFonts w:ascii="Times New Roman" w:hAnsi="Times New Roman" w:cs="Times New Roman"/>
          <w:color w:val="000000"/>
          <w:sz w:val="24"/>
          <w:szCs w:val="24"/>
        </w:rPr>
        <w:t>(BL510A, Biosharp Co., Ltd., Hefei, Anhui, China)</w:t>
      </w:r>
      <w:bookmarkEnd w:id="10"/>
      <w:r>
        <w:rPr>
          <w:rFonts w:ascii="Times New Roman" w:hAnsi="Times New Roman" w:cs="Times New Roman"/>
          <w:color w:val="000000"/>
          <w:sz w:val="24"/>
          <w:szCs w:val="24"/>
        </w:rPr>
        <w:t xml:space="preserve"> before being reverse transcribed into cDNA. The RNA was reverse transcribed using the Evo M-mLVRT Mix Kit Ver.2 </w:t>
      </w:r>
      <w:bookmarkStart w:id="11" w:name="OLE_LINK60"/>
      <w:r>
        <w:rPr>
          <w:rFonts w:ascii="Times New Roman" w:hAnsi="Times New Roman" w:cs="Times New Roman"/>
          <w:color w:val="000000"/>
          <w:sz w:val="24"/>
          <w:szCs w:val="24"/>
        </w:rPr>
        <w:t>(AG11728, Accurate Biotechnology Co., Ltd., Changsha, Hunan, China)</w:t>
      </w:r>
      <w:bookmarkEnd w:id="11"/>
      <w:r>
        <w:rPr>
          <w:rFonts w:ascii="Times New Roman" w:hAnsi="Times New Roman" w:cs="Times New Roman"/>
          <w:color w:val="000000"/>
          <w:sz w:val="24"/>
          <w:szCs w:val="24"/>
        </w:rPr>
        <w:t xml:space="preserve">, which was then subjected to RT-qPCR using SYBR Green Premix Pro TagHS qPCR kit </w:t>
      </w:r>
      <w:bookmarkStart w:id="12" w:name="OLE_LINK61"/>
      <w:r>
        <w:rPr>
          <w:rFonts w:ascii="Times New Roman" w:hAnsi="Times New Roman" w:cs="Times New Roman"/>
          <w:color w:val="000000"/>
          <w:sz w:val="24"/>
          <w:szCs w:val="24"/>
        </w:rPr>
        <w:t>(AG11718, Accurate Biotechnology Co., Ltd., Changsha, Hunan, China)</w:t>
      </w:r>
      <w:bookmarkEnd w:id="12"/>
      <w:r>
        <w:rPr>
          <w:rFonts w:ascii="Times New Roman" w:hAnsi="Times New Roman" w:cs="Times New Roman"/>
          <w:color w:val="000000"/>
          <w:sz w:val="24"/>
          <w:szCs w:val="24"/>
        </w:rPr>
        <w:t xml:space="preserve"> and ABI Q5 real-time PCR System </w:t>
      </w:r>
      <w:bookmarkStart w:id="13" w:name="OLE_LINK62"/>
      <w:r>
        <w:rPr>
          <w:rFonts w:ascii="Times New Roman" w:hAnsi="Times New Roman" w:cs="Times New Roman"/>
          <w:color w:val="000000"/>
          <w:sz w:val="24"/>
          <w:szCs w:val="24"/>
        </w:rPr>
        <w:t>(A28574, Thermo Fisher, Waltham, Massachusetts, America)</w:t>
      </w:r>
      <w:bookmarkEnd w:id="13"/>
      <w:r>
        <w:rPr>
          <w:rFonts w:ascii="Times New Roman" w:hAnsi="Times New Roman" w:cs="Times New Roman"/>
          <w:color w:val="000000"/>
          <w:sz w:val="24"/>
          <w:szCs w:val="24"/>
        </w:rPr>
        <w:t>. The primers were synthesized by Sangon Biotech (Sangon Biotech (Shanghai) Co., Ltd., Shanghai, China). Osteogenic and adipogenic specific genes and primers for qPCR were shown in (</w:t>
      </w:r>
      <w:r>
        <w:rPr>
          <w:rFonts w:ascii="Times New Roman" w:hAnsi="Times New Roman" w:cs="Times New Roman"/>
          <w:b/>
          <w:color w:val="000000"/>
          <w:sz w:val="24"/>
          <w:szCs w:val="24"/>
        </w:rPr>
        <w:t>Table S1</w:t>
      </w:r>
      <w:r>
        <w:rPr>
          <w:rFonts w:ascii="Times New Roman" w:hAnsi="Times New Roman" w:cs="Times New Roman"/>
          <w:color w:val="000000"/>
          <w:sz w:val="24"/>
          <w:szCs w:val="24"/>
        </w:rPr>
        <w:t>). β-actin was used to normalize the experiments. All RT-qPCR data were analyzed using the Applied Biosystems Comparative CT Method (∆∆CT) and expressed as 2</w:t>
      </w:r>
      <w:r>
        <w:rPr>
          <w:rFonts w:ascii="Times New Roman" w:hAnsi="Times New Roman" w:cs="Times New Roman"/>
          <w:color w:val="000000"/>
          <w:sz w:val="24"/>
          <w:szCs w:val="24"/>
          <w:vertAlign w:val="superscript"/>
        </w:rPr>
        <w:t>−∆∆CT</w:t>
      </w:r>
      <w:r>
        <w:rPr>
          <w:rFonts w:ascii="Times New Roman" w:hAnsi="Times New Roman" w:cs="Times New Roman"/>
          <w:color w:val="000000"/>
          <w:sz w:val="24"/>
          <w:szCs w:val="24"/>
        </w:rPr>
        <w:t>. Each sample was assessed three times for each gene.</w:t>
      </w:r>
    </w:p>
    <w:p w14:paraId="50F189CF">
      <w:pPr>
        <w:spacing w:before="0" w:after="0" w:line="480" w:lineRule="auto"/>
        <w:jc w:val="both"/>
        <w:rPr>
          <w:rFonts w:ascii="Times New Roman" w:hAnsi="Times New Roman" w:cs="Times New Roman"/>
          <w:color w:val="000000"/>
          <w:sz w:val="24"/>
          <w:szCs w:val="24"/>
        </w:rPr>
      </w:pPr>
    </w:p>
    <w:p w14:paraId="4EB7A936">
      <w:pPr>
        <w:spacing w:before="0"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Statistical Analysis</w:t>
      </w:r>
    </w:p>
    <w:p w14:paraId="6D0026C6">
      <w:pPr>
        <w:spacing w:before="0" w:after="0" w:line="480" w:lineRule="auto"/>
        <w:jc w:val="both"/>
        <w:rPr>
          <w:rFonts w:ascii="Times New Roman" w:hAnsi="Times New Roman" w:cs="Times New Roman"/>
          <w:color w:val="000000"/>
          <w:sz w:val="24"/>
          <w:szCs w:val="24"/>
        </w:rPr>
      </w:pPr>
      <w:bookmarkStart w:id="14" w:name="OLE_LINK4"/>
      <w:r>
        <w:rPr>
          <w:rFonts w:ascii="Times New Roman" w:hAnsi="Times New Roman" w:cs="Times New Roman"/>
          <w:color w:val="000000"/>
          <w:sz w:val="24"/>
          <w:szCs w:val="24"/>
        </w:rPr>
        <w:t xml:space="preserve">The absorbance, precentage of stained area and gene expression level was reported as mean ± SD (standard deviation). The histological data were qualitatively described. Representative images were shown. Quantifiable data comparing the G1 phase NP cells, G2M phase NP cells and macrophages were analyzed using one-way ANOVA. All of the data analysed were performed using </w:t>
      </w:r>
      <w:bookmarkStart w:id="15" w:name="OLE_LINK1"/>
      <w:r>
        <w:rPr>
          <w:rFonts w:ascii="Times New Roman" w:hAnsi="Times New Roman" w:cs="Times New Roman"/>
          <w:color w:val="000000"/>
          <w:sz w:val="24"/>
          <w:szCs w:val="24"/>
        </w:rPr>
        <w:t xml:space="preserve">Prism </w:t>
      </w:r>
      <w:bookmarkEnd w:id="15"/>
      <w:bookmarkStart w:id="16" w:name="OLE_LINK63"/>
      <w:r>
        <w:rPr>
          <w:rFonts w:ascii="Times New Roman" w:hAnsi="Times New Roman" w:cs="Times New Roman"/>
          <w:color w:val="000000"/>
          <w:sz w:val="24"/>
          <w:szCs w:val="24"/>
        </w:rPr>
        <w:t>(v10.2.3, GraphPad Software, San Diego, California, USA)</w:t>
      </w:r>
      <w:bookmarkEnd w:id="16"/>
      <w:r>
        <w:rPr>
          <w:rFonts w:ascii="Times New Roman" w:hAnsi="Times New Roman" w:cs="Times New Roman"/>
          <w:color w:val="000000"/>
          <w:sz w:val="24"/>
          <w:szCs w:val="24"/>
        </w:rPr>
        <w:t>. P&lt;0.05 was regarded as statistically significant.</w:t>
      </w:r>
      <w:bookmarkEnd w:id="14"/>
    </w:p>
    <w:p w14:paraId="009C055C">
      <w:pPr>
        <w:spacing w:before="0" w:after="0" w:line="480" w:lineRule="auto"/>
        <w:jc w:val="both"/>
        <w:rPr>
          <w:rFonts w:ascii="Times New Roman" w:hAnsi="Times New Roman" w:cs="Times New Roman"/>
          <w:color w:val="000000"/>
          <w:sz w:val="24"/>
          <w:szCs w:val="24"/>
        </w:rPr>
      </w:pPr>
    </w:p>
    <w:p w14:paraId="6769D14D">
      <w:pPr>
        <w:spacing w:before="0"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Tissue H&amp;E Staining and Immunostaining</w:t>
      </w:r>
    </w:p>
    <w:p w14:paraId="6667CADF">
      <w:pP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Some NP samples (</w:t>
      </w:r>
      <w:r>
        <w:rPr>
          <w:rFonts w:ascii="Times New Roman" w:hAnsi="Times New Roman" w:cs="Times New Roman"/>
          <w:b/>
          <w:bCs/>
          <w:color w:val="000000"/>
          <w:sz w:val="24"/>
          <w:szCs w:val="24"/>
        </w:rPr>
        <w:t>S10-S18</w:t>
      </w:r>
      <w:r>
        <w:rPr>
          <w:rFonts w:ascii="Times New Roman" w:hAnsi="Times New Roman" w:cs="Times New Roman"/>
          <w:color w:val="000000"/>
          <w:sz w:val="24"/>
          <w:szCs w:val="24"/>
        </w:rPr>
        <w:t>) were embedded in paraffin for serial sectioning and staining. Sections were stained with H&amp;E (RC0062, RecordBio Co., Ltd., Wuhan, Hubei, China)。</w:t>
      </w:r>
      <w:r>
        <w:rPr>
          <w:rFonts w:ascii="Times New Roman" w:hAnsi="Times New Roman" w:eastAsia="Times New Roman" w:cs="Times New Roman"/>
          <w:color w:val="000000"/>
          <w:sz w:val="24"/>
          <w:szCs w:val="24"/>
        </w:rPr>
        <w:t>Histological degeneration degree was e</w:t>
      </w:r>
      <w:r>
        <w:rPr>
          <w:rFonts w:ascii="Times New Roman" w:hAnsi="Times New Roman" w:cs="Times New Roman"/>
          <w:color w:val="000000"/>
          <w:sz w:val="24"/>
          <w:szCs w:val="24"/>
        </w:rPr>
        <w:t>valuated by the H&amp;E histological scores</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ZOTERO_ITEM CSL_CITATION {"citationID":"0wCDbSGq","properties":{"formattedCitation":"[3]","plainCitation":"[3]","noteIndex":0},"citationItems":[{"id":13046,"uris":["http://zotero.org/users/10724480/items/T65E8BUA"],"itemData":{"id":13046,"type":"article-journal","abstract":"BACKGROUND: Histopathological analysis of intervertebral disc (IVD) tissues is a critical domain of back pain research. Identification, description, and classification of attributes that distinguish abnormal tissues form a basis for probing disease mechanisms and conceiving novel therapies. Unfortunately, lack of standardized methods and nomenclature can limit comparisons of results across studies and prevent organizing information into a clear representation of the hierarchical, spatial, and temporal patterns of IVD degeneration. Thus, the following Orthopaedic Research Society (ORS) Spine Section Initiative aimed to develop a standardized histopathology scoring scheme for human IVD degeneration.\nMETHODS: Guided by a working group of experts, this prospective process entailed a series of stages that consisted of reviewing and assessing past grading schemes, surveying IVD researchers globally on current practice and recommendations for a new grading system, utilizing expert opinion a taxonomy of histological grading was developed, and validation performed.\nRESULTS: A standardized taxonomy was developed, which showed excellent intra-rater reliability for scoring nucleus pulposus (NP), annulus fibrosus (AF), and cartilaginous end plate (CEP) regions (interclass correlation [ICC] &gt; .89). The ability to reliably detect subtle changes varied by IVD region, being poorest in the NP (ICC: .89-.95) where changes at the cellular level were important, vs the AF (ICC: .93-.98), CEP (ICC: .97-.98), and boney end plate (ICC: .96-.99) where matrix and structural changes varied more dramatically with degeneration.\nCONCLUSIONS: The proposed grading system incorporates more comprehensive descriptions of degenerative features for all the IVD sub-tissues than prior criteria. While there was excellent reliability, our results reinforce the need for improved training, particularly for novice raters. Future evaluation of the proposed system in real-world settings (eg, at the microscope) will be needed to further refine criteria and more fully evaluate utility. This improved taxonomy could aid in the understanding of IVD degeneration phenotypes and their association with back pain.","container-title":"JOR spine","DOI":"10.1002/jsp2.1167","ISSN":"2572-1143","issue":"2","journalAbbreviation":"JOR Spine","language":"eng","page":"e1167","PMID":"34337340","PMCID":"PMC8313169","source":"PubMed","title":"Development of a standardized histopathology scoring system for human intervertebral disc degeneration: an Orthopaedic Research Society Spine Section Initiative","title-short":"Development of a standardized histopathology scoring system for human intervertebral disc degeneration","volume":"4","author":[{"family":"Le Maitre","given":"Christine L."},{"family":"Dahia","given":"Chitra L."},{"family":"Giers","given":"Morgan"},{"family":"Illien-Junger","given":"Svenja"},{"family":"Cicione","given":"Claudia"},{"family":"Samartzis","given":"Dino"},{"family":"Vadala","given":"Gianluca"},{"family":"Fields","given":"Aaron"},{"family":"Lotz","given":"Jeffrey"}],"issued":{"date-parts":[["2021",6]]}}}],"schema":"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[3]</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 endogenous peroxidase activity on the sections was blocked using 3% H2O2 solution followed by blocking with 3% BSA (A8020, Solarbio Science &amp; Technology Co., Ltd., Beijing, China). Primary antibody targeting </w:t>
      </w:r>
      <w:r>
        <w:rPr>
          <w:rFonts w:ascii="Times New Roman" w:hAnsi="Times New Roman" w:cs="Times New Roman"/>
          <w:i/>
          <w:iCs/>
          <w:color w:val="000000"/>
          <w:sz w:val="24"/>
          <w:szCs w:val="24"/>
        </w:rPr>
        <w:t>p16</w:t>
      </w:r>
      <w:r>
        <w:rPr>
          <w:rFonts w:ascii="Times New Roman" w:hAnsi="Times New Roman" w:cs="Times New Roman"/>
          <w:color w:val="000000"/>
          <w:sz w:val="24"/>
          <w:szCs w:val="24"/>
        </w:rPr>
        <w:t xml:space="preserve"> (1:50; Anti-p16 ARC Recombinant Rabbit Monoclonal Antibody [SR34-02], Cat. ET1602-9, Huabio Biotechnology Co., Ltd., Hangzhou, Zhejiang, China) was added to the sections, which were incubated at 4°C overnight. Then, HRP-conjugated secondary antibodies (K212141D, Tong Ling Biotech Co., Ltd., Shanghai, China) were applied to the corresponding primary antibody. Afterward, we stained the samples with diaminobenzidine (DAB Chromogen Kit, RC062, RecordBio Co., Ltd., Wuhan, Hubei, China) and hematoxylin for nuclei staining.</w:t>
      </w:r>
    </w:p>
    <w:p w14:paraId="0381836F">
      <w:pPr>
        <w:spacing w:before="0"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stained sections were scanned using the Olympus VS200 slide scanner (VS200, Olympus Corp., Tokyo, Japan), and the staining intensity of </w:t>
      </w:r>
      <w:r>
        <w:rPr>
          <w:rFonts w:ascii="Times New Roman" w:hAnsi="Times New Roman" w:cs="Times New Roman"/>
          <w:i/>
          <w:iCs/>
          <w:color w:val="000000"/>
          <w:sz w:val="24"/>
          <w:szCs w:val="24"/>
        </w:rPr>
        <w:t>p16</w:t>
      </w:r>
      <w:r>
        <w:rPr>
          <w:rFonts w:ascii="Times New Roman" w:hAnsi="Times New Roman" w:cs="Times New Roman"/>
          <w:color w:val="000000"/>
          <w:sz w:val="24"/>
          <w:szCs w:val="24"/>
        </w:rPr>
        <w:t xml:space="preserve"> was evaluated using QuPath software (version 0.4.3, University of Edinburgh, Edinburgh, UK).</w:t>
      </w:r>
    </w:p>
    <w:p w14:paraId="6739F6B6">
      <w:pPr>
        <w:spacing w:before="0" w:after="0" w:line="480" w:lineRule="auto"/>
        <w:jc w:val="both"/>
        <w:rPr>
          <w:rFonts w:ascii="Times New Roman" w:hAnsi="Times New Roman" w:cs="Times New Roman"/>
          <w:sz w:val="24"/>
          <w:szCs w:val="24"/>
        </w:rPr>
      </w:pPr>
    </w:p>
    <w:p w14:paraId="7285E1AC">
      <w:pPr>
        <w:spacing w:before="0" w:after="0" w:line="48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Reference:</w:t>
      </w:r>
    </w:p>
    <w:p w14:paraId="45837E06">
      <w:pPr>
        <w:pStyle w:val="20"/>
        <w:spacing w:before="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ZOTERO_BIBL {"uncited":[],"omitted":[],"custom":[]} CSL_BIBLIOGRAPHY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Zheng SC, Stein-O’Brien G, Augustin JJ, Slosberg J, Carosso GA, Winer B, et al. Universal prediction of cell-cycle position using transfer learning. Genome Biol 2022;23:41. https://doi.org/10.1186/s13059-021-02581-y.</w:t>
      </w:r>
    </w:p>
    <w:p w14:paraId="5582C0FF">
      <w:pPr>
        <w:pStyle w:val="20"/>
        <w:spacing w:before="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Erbe R, Stein-O’Brien G, Fertig EJ. Transcriptomic forecasting with neural ordinary differential equations. Patterns (N Y) 2023;4:100793. https://doi.org/10.1016/j.patter.2023.100793.</w:t>
      </w:r>
    </w:p>
    <w:p w14:paraId="654C39ED">
      <w:pPr>
        <w:pStyle w:val="20"/>
        <w:spacing w:before="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Le Maitre CL, Dahia CL, Giers M, Illien-Junger S, Cicione C, Samartzis D, et al. Development of a standardized histopathology scoring system for human intervertebral disc degeneration: an Orthopaedic Research Society Spine Section Initiative. JOR Spine 2021;4:e1167. https://doi.org/10.1002/jsp2.1167.</w:t>
      </w:r>
    </w:p>
    <w:p w14:paraId="45716375">
      <w:pPr>
        <w:pStyle w:val="19"/>
        <w:spacing w:before="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fldChar w:fldCharType="end"/>
      </w:r>
    </w:p>
    <w:p w14:paraId="490723A9">
      <w:pPr>
        <w:widowControl/>
        <w:snapToGrid/>
        <w:spacing w:before="0" w:after="0" w:line="480" w:lineRule="auto"/>
        <w:rPr>
          <w:rFonts w:ascii="Times New Roman" w:hAnsi="Times New Roman" w:cs="Times New Roman"/>
          <w:sz w:val="24"/>
          <w:szCs w:val="24"/>
        </w:rPr>
      </w:pPr>
      <w:r>
        <w:rPr>
          <w:rFonts w:ascii="Times New Roman" w:hAnsi="Times New Roman" w:eastAsia="微软雅黑" w:cs="Times New Roman"/>
          <w:b/>
          <w:bCs/>
          <w:color w:val="7030A0"/>
          <w:sz w:val="24"/>
          <w:szCs w:val="24"/>
          <w:lang w:val="en-GB"/>
        </w:rPr>
        <w:t>Supplementary-Table</w:t>
      </w:r>
    </w:p>
    <w:p w14:paraId="07B6780D">
      <w:pPr>
        <w:pStyle w:val="15"/>
        <w:spacing w:before="0" w:beforeAutospacing="0" w:after="0" w:afterAutospacing="0" w:line="480" w:lineRule="auto"/>
        <w:jc w:val="both"/>
        <w:rPr>
          <w:rFonts w:hint="default" w:ascii="Times New Roman Bold" w:hAnsi="Times New Roman Bold" w:cs="Times New Roman Bold" w:eastAsiaTheme="minorEastAsia"/>
          <w:b/>
          <w:bCs/>
          <w:kern w:val="2"/>
        </w:rPr>
      </w:pPr>
      <w:r>
        <w:rPr>
          <w:rFonts w:hint="default" w:ascii="Times New Roman Bold" w:hAnsi="Times New Roman Bold" w:cs="Times New Roman Bold"/>
          <w:b/>
          <w:bCs/>
        </w:rPr>
        <w:t xml:space="preserve">Table S1. </w:t>
      </w:r>
      <w:r>
        <w:rPr>
          <w:rFonts w:hint="default" w:ascii="Times New Roman Bold" w:hAnsi="Times New Roman Bold" w:cs="Times New Roman Bold" w:eastAsiaTheme="minorEastAsia"/>
          <w:b/>
          <w:bCs/>
          <w:kern w:val="2"/>
        </w:rPr>
        <w:t>List of primers used for qPCR</w:t>
      </w:r>
    </w:p>
    <w:tbl>
      <w:tblPr>
        <w:tblStyle w:val="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3586"/>
        <w:gridCol w:w="3501"/>
      </w:tblGrid>
      <w:tr w14:paraId="609C295C">
        <w:tc>
          <w:tcPr>
            <w:tcW w:w="993" w:type="dxa"/>
            <w:tcBorders>
              <w:left w:val="nil"/>
              <w:bottom w:val="single" w:color="auto" w:sz="4" w:space="0"/>
              <w:right w:val="nil"/>
            </w:tcBorders>
          </w:tcPr>
          <w:p w14:paraId="345A467D">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Gene</w:t>
            </w:r>
          </w:p>
        </w:tc>
        <w:tc>
          <w:tcPr>
            <w:tcW w:w="992" w:type="dxa"/>
            <w:tcBorders>
              <w:left w:val="nil"/>
              <w:bottom w:val="single" w:color="auto" w:sz="4" w:space="0"/>
              <w:right w:val="nil"/>
            </w:tcBorders>
          </w:tcPr>
          <w:p w14:paraId="08AFFAF5">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Species</w:t>
            </w:r>
          </w:p>
        </w:tc>
        <w:tc>
          <w:tcPr>
            <w:tcW w:w="3586" w:type="dxa"/>
            <w:tcBorders>
              <w:left w:val="nil"/>
              <w:bottom w:val="single" w:color="auto" w:sz="4" w:space="0"/>
              <w:right w:val="nil"/>
            </w:tcBorders>
          </w:tcPr>
          <w:p w14:paraId="045282E5">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Sense (5′-3′)</w:t>
            </w:r>
          </w:p>
        </w:tc>
        <w:tc>
          <w:tcPr>
            <w:tcW w:w="3501" w:type="dxa"/>
            <w:tcBorders>
              <w:left w:val="nil"/>
              <w:bottom w:val="single" w:color="auto" w:sz="4" w:space="0"/>
              <w:right w:val="nil"/>
            </w:tcBorders>
          </w:tcPr>
          <w:p w14:paraId="489C4450">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Antisense (5′-3′)</w:t>
            </w:r>
          </w:p>
        </w:tc>
      </w:tr>
      <w:tr w14:paraId="3F14D49C">
        <w:tc>
          <w:tcPr>
            <w:tcW w:w="993" w:type="dxa"/>
            <w:tcBorders>
              <w:left w:val="nil"/>
              <w:bottom w:val="nil"/>
              <w:right w:val="nil"/>
            </w:tcBorders>
          </w:tcPr>
          <w:p w14:paraId="565B4D01">
            <w:pPr>
              <w:spacing w:before="0" w:after="0" w:line="480" w:lineRule="auto"/>
              <w:jc w:val="both"/>
              <w:rPr>
                <w:rFonts w:ascii="Times New Roman" w:hAnsi="Times New Roman" w:cs="Times New Roman"/>
                <w:sz w:val="24"/>
                <w:szCs w:val="24"/>
              </w:rPr>
            </w:pPr>
            <w:r>
              <w:rPr>
                <w:rFonts w:hint="default" w:ascii="Times New Roman Italic" w:hAnsi="Times New Roman Italic" w:cs="Times New Roman Italic"/>
                <w:i/>
                <w:iCs/>
                <w:sz w:val="24"/>
                <w:szCs w:val="24"/>
              </w:rPr>
              <w:t>β-actin</w:t>
            </w:r>
          </w:p>
        </w:tc>
        <w:tc>
          <w:tcPr>
            <w:tcW w:w="992" w:type="dxa"/>
            <w:tcBorders>
              <w:left w:val="nil"/>
              <w:bottom w:val="nil"/>
              <w:right w:val="nil"/>
            </w:tcBorders>
          </w:tcPr>
          <w:p w14:paraId="57511AB9">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Human</w:t>
            </w:r>
          </w:p>
        </w:tc>
        <w:tc>
          <w:tcPr>
            <w:tcW w:w="3586" w:type="dxa"/>
            <w:tcBorders>
              <w:left w:val="nil"/>
              <w:bottom w:val="nil"/>
              <w:right w:val="nil"/>
            </w:tcBorders>
          </w:tcPr>
          <w:p w14:paraId="0A26B71C">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GTGGGGCGCCCCAGGCACCA</w:t>
            </w:r>
          </w:p>
        </w:tc>
        <w:tc>
          <w:tcPr>
            <w:tcW w:w="3501" w:type="dxa"/>
            <w:tcBorders>
              <w:left w:val="nil"/>
              <w:bottom w:val="nil"/>
              <w:right w:val="nil"/>
            </w:tcBorders>
          </w:tcPr>
          <w:p w14:paraId="1ABFFD5D">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CTTCCTTAATGTCACGCACGATTTC</w:t>
            </w:r>
          </w:p>
        </w:tc>
      </w:tr>
      <w:tr w14:paraId="38AAE7A9">
        <w:tc>
          <w:tcPr>
            <w:tcW w:w="993" w:type="dxa"/>
            <w:tcBorders>
              <w:top w:val="nil"/>
              <w:left w:val="nil"/>
              <w:bottom w:val="nil"/>
              <w:right w:val="nil"/>
            </w:tcBorders>
          </w:tcPr>
          <w:p w14:paraId="2627D228">
            <w:pPr>
              <w:spacing w:before="0" w:after="0" w:line="480" w:lineRule="auto"/>
              <w:jc w:val="both"/>
              <w:rPr>
                <w:rFonts w:hint="default" w:ascii="Times New Roman Italic" w:hAnsi="Times New Roman Italic" w:cs="Times New Roman Italic"/>
                <w:i/>
                <w:iCs/>
                <w:sz w:val="24"/>
                <w:szCs w:val="24"/>
              </w:rPr>
            </w:pPr>
            <w:r>
              <w:rPr>
                <w:rFonts w:hint="default" w:ascii="Times New Roman Italic" w:hAnsi="Times New Roman Italic" w:cs="Times New Roman Italic"/>
                <w:i/>
                <w:iCs/>
                <w:sz w:val="24"/>
                <w:szCs w:val="24"/>
              </w:rPr>
              <w:t>ALP</w:t>
            </w:r>
          </w:p>
        </w:tc>
        <w:tc>
          <w:tcPr>
            <w:tcW w:w="992" w:type="dxa"/>
            <w:tcBorders>
              <w:top w:val="nil"/>
              <w:left w:val="nil"/>
              <w:bottom w:val="nil"/>
              <w:right w:val="nil"/>
            </w:tcBorders>
          </w:tcPr>
          <w:p w14:paraId="072985C3">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Human</w:t>
            </w:r>
          </w:p>
        </w:tc>
        <w:tc>
          <w:tcPr>
            <w:tcW w:w="3586" w:type="dxa"/>
            <w:tcBorders>
              <w:top w:val="nil"/>
              <w:left w:val="nil"/>
              <w:bottom w:val="nil"/>
              <w:right w:val="nil"/>
            </w:tcBorders>
          </w:tcPr>
          <w:p w14:paraId="059830AD">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TGGAGCTTCAGAAGCTCAACACCA</w:t>
            </w:r>
          </w:p>
        </w:tc>
        <w:tc>
          <w:tcPr>
            <w:tcW w:w="3501" w:type="dxa"/>
            <w:tcBorders>
              <w:top w:val="nil"/>
              <w:left w:val="nil"/>
              <w:bottom w:val="nil"/>
              <w:right w:val="nil"/>
            </w:tcBorders>
          </w:tcPr>
          <w:p w14:paraId="32A2C171">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ATCTCGTTGTCTGAGTACCAGTCC</w:t>
            </w:r>
          </w:p>
        </w:tc>
      </w:tr>
      <w:tr w14:paraId="2FD87FFF">
        <w:tc>
          <w:tcPr>
            <w:tcW w:w="993" w:type="dxa"/>
            <w:tcBorders>
              <w:top w:val="nil"/>
              <w:left w:val="nil"/>
              <w:bottom w:val="nil"/>
              <w:right w:val="nil"/>
            </w:tcBorders>
          </w:tcPr>
          <w:p w14:paraId="062A9CE8">
            <w:pPr>
              <w:spacing w:before="0" w:after="0" w:line="480" w:lineRule="auto"/>
              <w:jc w:val="both"/>
              <w:rPr>
                <w:rFonts w:hint="default" w:ascii="Times New Roman Italic" w:hAnsi="Times New Roman Italic" w:cs="Times New Roman Italic"/>
                <w:i/>
                <w:iCs/>
                <w:sz w:val="24"/>
                <w:szCs w:val="24"/>
              </w:rPr>
            </w:pPr>
            <w:r>
              <w:rPr>
                <w:rFonts w:hint="default" w:ascii="Times New Roman Italic" w:hAnsi="Times New Roman Italic" w:cs="Times New Roman Italic"/>
                <w:i/>
                <w:iCs/>
                <w:sz w:val="24"/>
                <w:szCs w:val="24"/>
              </w:rPr>
              <w:t>OC</w:t>
            </w:r>
          </w:p>
        </w:tc>
        <w:tc>
          <w:tcPr>
            <w:tcW w:w="992" w:type="dxa"/>
            <w:tcBorders>
              <w:top w:val="nil"/>
              <w:left w:val="nil"/>
              <w:bottom w:val="nil"/>
              <w:right w:val="nil"/>
            </w:tcBorders>
          </w:tcPr>
          <w:p w14:paraId="05C207AA">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Human</w:t>
            </w:r>
          </w:p>
        </w:tc>
        <w:tc>
          <w:tcPr>
            <w:tcW w:w="3586" w:type="dxa"/>
            <w:tcBorders>
              <w:top w:val="nil"/>
              <w:left w:val="nil"/>
              <w:bottom w:val="nil"/>
              <w:right w:val="nil"/>
            </w:tcBorders>
          </w:tcPr>
          <w:p w14:paraId="0B76E1F3">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ATGAGAGCCCTCACACTCCTC</w:t>
            </w:r>
            <w:bookmarkStart w:id="17" w:name="_GoBack"/>
            <w:bookmarkEnd w:id="17"/>
          </w:p>
        </w:tc>
        <w:tc>
          <w:tcPr>
            <w:tcW w:w="3501" w:type="dxa"/>
            <w:tcBorders>
              <w:top w:val="nil"/>
              <w:left w:val="nil"/>
              <w:bottom w:val="nil"/>
              <w:right w:val="nil"/>
            </w:tcBorders>
          </w:tcPr>
          <w:p w14:paraId="6C89F3E0">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GCCGTAGAAGCGCCGATAGGC</w:t>
            </w:r>
          </w:p>
        </w:tc>
      </w:tr>
      <w:tr w14:paraId="492EEF41">
        <w:tc>
          <w:tcPr>
            <w:tcW w:w="993" w:type="dxa"/>
            <w:tcBorders>
              <w:top w:val="nil"/>
              <w:left w:val="nil"/>
              <w:bottom w:val="nil"/>
              <w:right w:val="nil"/>
            </w:tcBorders>
          </w:tcPr>
          <w:p w14:paraId="2E145F98">
            <w:pPr>
              <w:spacing w:before="0" w:after="0" w:line="480" w:lineRule="auto"/>
              <w:jc w:val="both"/>
              <w:rPr>
                <w:rFonts w:hint="default" w:ascii="Times New Roman Italic" w:hAnsi="Times New Roman Italic" w:cs="Times New Roman Italic"/>
                <w:i/>
                <w:iCs/>
                <w:sz w:val="24"/>
                <w:szCs w:val="24"/>
              </w:rPr>
            </w:pPr>
            <w:r>
              <w:rPr>
                <w:rFonts w:hint="default" w:ascii="Times New Roman Italic" w:hAnsi="Times New Roman Italic" w:cs="Times New Roman Italic"/>
                <w:i/>
                <w:iCs/>
                <w:sz w:val="24"/>
                <w:szCs w:val="24"/>
              </w:rPr>
              <w:t>APP</w:t>
            </w:r>
          </w:p>
        </w:tc>
        <w:tc>
          <w:tcPr>
            <w:tcW w:w="992" w:type="dxa"/>
            <w:tcBorders>
              <w:top w:val="nil"/>
              <w:left w:val="nil"/>
              <w:bottom w:val="nil"/>
              <w:right w:val="nil"/>
            </w:tcBorders>
          </w:tcPr>
          <w:p w14:paraId="3C0F27E8">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Human</w:t>
            </w:r>
          </w:p>
        </w:tc>
        <w:tc>
          <w:tcPr>
            <w:tcW w:w="3586" w:type="dxa"/>
            <w:tcBorders>
              <w:top w:val="nil"/>
              <w:left w:val="nil"/>
              <w:bottom w:val="nil"/>
              <w:right w:val="nil"/>
            </w:tcBorders>
          </w:tcPr>
          <w:p w14:paraId="22CCB2B1">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CTGTCCAAGTCCAACAGCAA</w:t>
            </w:r>
          </w:p>
        </w:tc>
        <w:tc>
          <w:tcPr>
            <w:tcW w:w="3501" w:type="dxa"/>
            <w:tcBorders>
              <w:top w:val="nil"/>
              <w:left w:val="nil"/>
              <w:bottom w:val="nil"/>
              <w:right w:val="nil"/>
            </w:tcBorders>
          </w:tcPr>
          <w:p w14:paraId="63DBF6EB">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ACGTTGGCAGCTTTACGTCT</w:t>
            </w:r>
          </w:p>
        </w:tc>
      </w:tr>
      <w:tr w14:paraId="5ECF4D34">
        <w:tc>
          <w:tcPr>
            <w:tcW w:w="993" w:type="dxa"/>
            <w:tcBorders>
              <w:top w:val="nil"/>
              <w:left w:val="nil"/>
              <w:right w:val="nil"/>
            </w:tcBorders>
          </w:tcPr>
          <w:p w14:paraId="7B563793">
            <w:pPr>
              <w:spacing w:before="0" w:after="0" w:line="480" w:lineRule="auto"/>
              <w:jc w:val="both"/>
              <w:rPr>
                <w:rFonts w:hint="default" w:ascii="Times New Roman Italic" w:hAnsi="Times New Roman Italic" w:cs="Times New Roman Italic"/>
                <w:i/>
                <w:iCs/>
                <w:sz w:val="24"/>
                <w:szCs w:val="24"/>
              </w:rPr>
            </w:pPr>
            <w:r>
              <w:rPr>
                <w:rFonts w:hint="default" w:ascii="Times New Roman Italic" w:hAnsi="Times New Roman Italic" w:cs="Times New Roman Italic"/>
                <w:i/>
                <w:iCs/>
                <w:sz w:val="24"/>
                <w:szCs w:val="24"/>
              </w:rPr>
              <w:t>LPL</w:t>
            </w:r>
          </w:p>
        </w:tc>
        <w:tc>
          <w:tcPr>
            <w:tcW w:w="992" w:type="dxa"/>
            <w:tcBorders>
              <w:top w:val="nil"/>
              <w:left w:val="nil"/>
              <w:right w:val="nil"/>
            </w:tcBorders>
          </w:tcPr>
          <w:p w14:paraId="27FA6E0C">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Human</w:t>
            </w:r>
          </w:p>
        </w:tc>
        <w:tc>
          <w:tcPr>
            <w:tcW w:w="3586" w:type="dxa"/>
            <w:tcBorders>
              <w:top w:val="nil"/>
              <w:left w:val="nil"/>
              <w:right w:val="nil"/>
            </w:tcBorders>
          </w:tcPr>
          <w:p w14:paraId="5ED49554">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TCCGCGTGATTGCAGAGAGAG</w:t>
            </w:r>
          </w:p>
        </w:tc>
        <w:tc>
          <w:tcPr>
            <w:tcW w:w="3501" w:type="dxa"/>
            <w:tcBorders>
              <w:top w:val="nil"/>
              <w:left w:val="nil"/>
              <w:right w:val="nil"/>
            </w:tcBorders>
          </w:tcPr>
          <w:p w14:paraId="58F2BDD8">
            <w:pPr>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TGCTGCTTCTTTTGGCTCTGACT</w:t>
            </w:r>
          </w:p>
        </w:tc>
      </w:tr>
    </w:tbl>
    <w:p w14:paraId="6FEAF453">
      <w:pPr>
        <w:pStyle w:val="19"/>
        <w:spacing w:before="0" w:line="480" w:lineRule="auto"/>
        <w:ind w:left="0" w:firstLine="0"/>
        <w:rPr>
          <w:rFonts w:ascii="Times New Roman" w:hAnsi="Times New Roman" w:cs="Times New Roman"/>
          <w:color w:val="000000"/>
          <w:sz w:val="24"/>
          <w:szCs w:val="24"/>
        </w:rPr>
      </w:pPr>
    </w:p>
    <w:sectPr>
      <w:footerReference r:id="rId5" w:type="default"/>
      <w:footerReference r:id="rId6" w:type="even"/>
      <w:pgSz w:w="11906" w:h="16838"/>
      <w:pgMar w:top="1440" w:right="1800" w:bottom="1440" w:left="1800" w:header="851" w:footer="992" w:gutter="0"/>
      <w:lnNumType w:countBy="1" w:restart="continuou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minorHAnsi">
    <w:altName w:val="苹方-简"/>
    <w:panose1 w:val="020B0604020202020204"/>
    <w:charset w:val="00"/>
    <w:family w:val="roman"/>
    <w:pitch w:val="default"/>
    <w:sig w:usb0="00000000" w:usb1="00000000" w:usb2="0000000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Fonts w:hint="eastAsia"/>
      </w:rPr>
      <w:id w:val="13518736"/>
      <w:docPartObj>
        <w:docPartGallery w:val="AutoText"/>
      </w:docPartObj>
    </w:sdtPr>
    <w:sdtEndPr>
      <w:rPr>
        <w:rStyle w:val="11"/>
        <w:rFonts w:hint="eastAsia"/>
      </w:rPr>
    </w:sdtEndPr>
    <w:sdtContent>
      <w:p w14:paraId="251A3B55">
        <w:pPr>
          <w:pStyle w:val="5"/>
          <w:framePr w:wrap="auto" w:vAnchor="text" w:hAnchor="margin" w:xAlign="center" w:y="1"/>
          <w:rPr>
            <w:rStyle w:val="11"/>
            <w:rFonts w:hint="eastAsia"/>
          </w:rPr>
        </w:pPr>
        <w:r>
          <w:rPr>
            <w:rStyle w:val="11"/>
            <w:rFonts w:hint="eastAsia"/>
          </w:rPr>
          <w:fldChar w:fldCharType="begin"/>
        </w:r>
        <w:r>
          <w:rPr>
            <w:rStyle w:val="11"/>
            <w:rFonts w:hint="eastAsia"/>
          </w:rPr>
          <w:instrText xml:space="preserve"> PAGE </w:instrText>
        </w:r>
        <w:r>
          <w:rPr>
            <w:rStyle w:val="11"/>
            <w:rFonts w:hint="eastAsia"/>
          </w:rPr>
          <w:fldChar w:fldCharType="separate"/>
        </w:r>
        <w:r>
          <w:rPr>
            <w:rStyle w:val="11"/>
            <w:rFonts w:hint="eastAsia"/>
          </w:rPr>
          <w:t>1</w:t>
        </w:r>
        <w:r>
          <w:rPr>
            <w:rStyle w:val="11"/>
            <w:rFonts w:hint="eastAsia"/>
          </w:rPr>
          <w:fldChar w:fldCharType="end"/>
        </w:r>
      </w:p>
    </w:sdtContent>
  </w:sdt>
  <w:p w14:paraId="6C23702A">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Fonts w:hint="eastAsia"/>
      </w:rPr>
      <w:id w:val="-1"/>
      <w:docPartObj>
        <w:docPartGallery w:val="AutoText"/>
      </w:docPartObj>
    </w:sdtPr>
    <w:sdtEndPr>
      <w:rPr>
        <w:rStyle w:val="11"/>
        <w:rFonts w:hint="eastAsia"/>
      </w:rPr>
    </w:sdtEndPr>
    <w:sdtContent>
      <w:p w14:paraId="71B0CFA0">
        <w:pPr>
          <w:pStyle w:val="5"/>
          <w:framePr w:wrap="auto" w:vAnchor="text" w:hAnchor="margin" w:xAlign="center" w:y="1"/>
          <w:rPr>
            <w:rStyle w:val="11"/>
            <w:rFonts w:hint="eastAsia"/>
          </w:rPr>
        </w:pPr>
        <w:r>
          <w:rPr>
            <w:rStyle w:val="11"/>
            <w:rFonts w:hint="eastAsia"/>
          </w:rPr>
          <w:fldChar w:fldCharType="begin"/>
        </w:r>
        <w:r>
          <w:rPr>
            <w:rStyle w:val="11"/>
            <w:rFonts w:hint="eastAsia"/>
          </w:rPr>
          <w:instrText xml:space="preserve"> PAGE </w:instrText>
        </w:r>
        <w:r>
          <w:rPr>
            <w:rStyle w:val="11"/>
            <w:rFonts w:hint="eastAsia"/>
          </w:rPr>
          <w:fldChar w:fldCharType="separate"/>
        </w:r>
        <w:r>
          <w:rPr>
            <w:rStyle w:val="11"/>
            <w:rFonts w:hint="eastAsia"/>
          </w:rPr>
          <w:fldChar w:fldCharType="end"/>
        </w:r>
      </w:p>
    </w:sdtContent>
  </w:sdt>
  <w:p w14:paraId="08DFACD2">
    <w:pPr>
      <w:pStyle w:val="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CF"/>
    <w:rsid w:val="00000D2F"/>
    <w:rsid w:val="0005468E"/>
    <w:rsid w:val="00070B64"/>
    <w:rsid w:val="000C5007"/>
    <w:rsid w:val="000D585D"/>
    <w:rsid w:val="000D61B6"/>
    <w:rsid w:val="001513AB"/>
    <w:rsid w:val="00187F07"/>
    <w:rsid w:val="001D7ADD"/>
    <w:rsid w:val="00264820"/>
    <w:rsid w:val="00274B44"/>
    <w:rsid w:val="004527D3"/>
    <w:rsid w:val="00480AE2"/>
    <w:rsid w:val="00480F32"/>
    <w:rsid w:val="00482FA8"/>
    <w:rsid w:val="004973F1"/>
    <w:rsid w:val="004B1C8E"/>
    <w:rsid w:val="004F1406"/>
    <w:rsid w:val="00534CA1"/>
    <w:rsid w:val="00536671"/>
    <w:rsid w:val="005714BB"/>
    <w:rsid w:val="005B0396"/>
    <w:rsid w:val="005C06F7"/>
    <w:rsid w:val="00612CD8"/>
    <w:rsid w:val="00642FCF"/>
    <w:rsid w:val="006504B3"/>
    <w:rsid w:val="0066512E"/>
    <w:rsid w:val="006C6FE9"/>
    <w:rsid w:val="006F57FB"/>
    <w:rsid w:val="007010E3"/>
    <w:rsid w:val="00714F26"/>
    <w:rsid w:val="007D27A0"/>
    <w:rsid w:val="008176BC"/>
    <w:rsid w:val="00934535"/>
    <w:rsid w:val="00966BF2"/>
    <w:rsid w:val="009709C7"/>
    <w:rsid w:val="00A057BD"/>
    <w:rsid w:val="00A25851"/>
    <w:rsid w:val="00A4367B"/>
    <w:rsid w:val="00B31686"/>
    <w:rsid w:val="00B47F41"/>
    <w:rsid w:val="00B6725A"/>
    <w:rsid w:val="00BA394C"/>
    <w:rsid w:val="00BB45D6"/>
    <w:rsid w:val="00C41420"/>
    <w:rsid w:val="00C41A3E"/>
    <w:rsid w:val="00D55DB2"/>
    <w:rsid w:val="00D90DDD"/>
    <w:rsid w:val="00E93BF6"/>
    <w:rsid w:val="00ED5150"/>
    <w:rsid w:val="00F436FB"/>
    <w:rsid w:val="00FA644E"/>
    <w:rsid w:val="00FF11E5"/>
    <w:rsid w:val="00FF39CE"/>
    <w:rsid w:val="6DDF28B8"/>
    <w:rsid w:val="729F96FB"/>
    <w:rsid w:val="DDFE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minorHAnsi" w:hAnsi="minorHAnsi" w:eastAsiaTheme="minorEastAsia" w:cstheme="minorBidi"/>
      <w:color w:val="333333"/>
      <w:kern w:val="2"/>
      <w:sz w:val="22"/>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4"/>
    <w:unhideWhenUsed/>
    <w:qFormat/>
    <w:uiPriority w:val="9"/>
    <w:pPr>
      <w:keepNext/>
      <w:keepLines/>
      <w:spacing w:before="0" w:after="0" w:line="408" w:lineRule="auto"/>
      <w:outlineLvl w:val="2"/>
    </w:pPr>
    <w:rPr>
      <w:b/>
      <w:bCs/>
      <w:color w:val="1A1A1A"/>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6"/>
    <w:unhideWhenUsed/>
    <w:uiPriority w:val="99"/>
    <w:pPr>
      <w:snapToGrid/>
      <w:spacing w:before="0" w:after="0" w:line="240" w:lineRule="auto"/>
    </w:pPr>
    <w:rPr>
      <w:rFonts w:asciiTheme="minorHAnsi" w:hAnsiTheme="minorHAnsi"/>
      <w:color w:val="auto"/>
      <w:sz w:val="21"/>
      <w:szCs w:val="24"/>
    </w:rPr>
  </w:style>
  <w:style w:type="paragraph" w:styleId="5">
    <w:name w:val="footer"/>
    <w:basedOn w:val="1"/>
    <w:link w:val="22"/>
    <w:unhideWhenUsed/>
    <w:uiPriority w:val="99"/>
    <w:pPr>
      <w:tabs>
        <w:tab w:val="center" w:pos="4153"/>
        <w:tab w:val="right" w:pos="8306"/>
      </w:tabs>
      <w:spacing w:line="240" w:lineRule="auto"/>
    </w:pPr>
    <w:rPr>
      <w:sz w:val="18"/>
      <w:szCs w:val="18"/>
    </w:rPr>
  </w:style>
  <w:style w:type="paragraph" w:styleId="6">
    <w:name w:val="header"/>
    <w:basedOn w:val="1"/>
    <w:link w:val="21"/>
    <w:unhideWhenUsed/>
    <w:uiPriority w:val="99"/>
    <w:pPr>
      <w:tabs>
        <w:tab w:val="center" w:pos="4153"/>
        <w:tab w:val="right" w:pos="8306"/>
      </w:tabs>
      <w:spacing w:line="240" w:lineRule="auto"/>
      <w:jc w:val="center"/>
    </w:pPr>
    <w:rPr>
      <w:sz w:val="18"/>
      <w:szCs w:val="18"/>
    </w:rPr>
  </w:style>
  <w:style w:type="paragraph" w:styleId="7">
    <w:name w:val="annotation subject"/>
    <w:basedOn w:val="4"/>
    <w:next w:val="4"/>
    <w:link w:val="17"/>
    <w:semiHidden/>
    <w:unhideWhenUsed/>
    <w:uiPriority w:val="99"/>
    <w:pPr>
      <w:snapToGrid w:val="0"/>
      <w:spacing w:before="60" w:after="60" w:line="312" w:lineRule="auto"/>
    </w:pPr>
    <w:rPr>
      <w:rFonts w:ascii="minorHAnsi" w:hAnsi="minorHAnsi"/>
      <w:b/>
      <w:bCs/>
      <w:color w:val="333333"/>
      <w:sz w:val="22"/>
      <w:szCs w:val="22"/>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unhideWhenUsed/>
    <w:uiPriority w:val="99"/>
  </w:style>
  <w:style w:type="character" w:styleId="12">
    <w:name w:val="line number"/>
    <w:basedOn w:val="10"/>
    <w:semiHidden/>
    <w:unhideWhenUsed/>
    <w:uiPriority w:val="99"/>
  </w:style>
  <w:style w:type="character" w:styleId="13">
    <w:name w:val="annotation reference"/>
    <w:basedOn w:val="10"/>
    <w:semiHidden/>
    <w:unhideWhenUsed/>
    <w:uiPriority w:val="99"/>
    <w:rPr>
      <w:sz w:val="21"/>
      <w:szCs w:val="21"/>
    </w:rPr>
  </w:style>
  <w:style w:type="character" w:customStyle="1" w:styleId="14">
    <w:name w:val="标题 3 字符"/>
    <w:basedOn w:val="10"/>
    <w:link w:val="3"/>
    <w:uiPriority w:val="9"/>
    <w:rPr>
      <w:rFonts w:ascii="minorHAnsi" w:hAnsi="minorHAnsi"/>
      <w:b/>
      <w:bCs/>
      <w:color w:val="1A1A1A"/>
      <w:sz w:val="28"/>
      <w:szCs w:val="28"/>
      <w14:ligatures w14:val="none"/>
    </w:rPr>
  </w:style>
  <w:style w:type="paragraph" w:customStyle="1" w:styleId="15">
    <w:name w:val="paragraph"/>
    <w:basedOn w:val="1"/>
    <w:semiHidden/>
    <w:uiPriority w:val="0"/>
    <w:pPr>
      <w:widowControl/>
      <w:snapToGrid/>
      <w:spacing w:before="100" w:beforeAutospacing="1" w:after="100" w:afterAutospacing="1" w:line="240" w:lineRule="auto"/>
    </w:pPr>
    <w:rPr>
      <w:rFonts w:ascii="DengXian" w:hAnsi="DengXian" w:eastAsia="DengXian" w:cs="Times New Roman"/>
      <w:color w:val="auto"/>
      <w:kern w:val="0"/>
      <w:sz w:val="24"/>
      <w:szCs w:val="24"/>
    </w:rPr>
  </w:style>
  <w:style w:type="character" w:customStyle="1" w:styleId="16">
    <w:name w:val="批注文字 字符"/>
    <w:basedOn w:val="10"/>
    <w:link w:val="4"/>
    <w:uiPriority w:val="99"/>
    <w:rPr>
      <w14:ligatures w14:val="none"/>
    </w:rPr>
  </w:style>
  <w:style w:type="character" w:customStyle="1" w:styleId="17">
    <w:name w:val="批注主题 字符"/>
    <w:basedOn w:val="16"/>
    <w:link w:val="7"/>
    <w:semiHidden/>
    <w:uiPriority w:val="99"/>
    <w:rPr>
      <w:rFonts w:ascii="minorHAnsi" w:hAnsi="minorHAnsi"/>
      <w:b/>
      <w:bCs/>
      <w:color w:val="333333"/>
      <w:sz w:val="22"/>
      <w:szCs w:val="22"/>
      <w14:ligatures w14:val="none"/>
    </w:rPr>
  </w:style>
  <w:style w:type="character" w:customStyle="1" w:styleId="18">
    <w:name w:val="标题 1 字符"/>
    <w:basedOn w:val="10"/>
    <w:link w:val="2"/>
    <w:uiPriority w:val="9"/>
    <w:rPr>
      <w:rFonts w:ascii="minorHAnsi" w:hAnsi="minorHAnsi"/>
      <w:b/>
      <w:bCs/>
      <w:color w:val="333333"/>
      <w:kern w:val="44"/>
      <w:sz w:val="44"/>
      <w:szCs w:val="44"/>
      <w14:ligatures w14:val="none"/>
    </w:rPr>
  </w:style>
  <w:style w:type="paragraph" w:customStyle="1" w:styleId="19">
    <w:name w:val="书目1"/>
    <w:basedOn w:val="1"/>
    <w:next w:val="1"/>
    <w:unhideWhenUsed/>
    <w:uiPriority w:val="37"/>
    <w:pPr>
      <w:tabs>
        <w:tab w:val="left" w:pos="380"/>
      </w:tabs>
      <w:spacing w:after="0" w:line="240" w:lineRule="auto"/>
      <w:ind w:left="384" w:hanging="384"/>
    </w:pPr>
  </w:style>
  <w:style w:type="paragraph" w:customStyle="1" w:styleId="20">
    <w:name w:val="Bibliography"/>
    <w:basedOn w:val="1"/>
    <w:next w:val="1"/>
    <w:unhideWhenUsed/>
    <w:uiPriority w:val="37"/>
  </w:style>
  <w:style w:type="character" w:customStyle="1" w:styleId="21">
    <w:name w:val="页眉 字符"/>
    <w:basedOn w:val="10"/>
    <w:link w:val="6"/>
    <w:uiPriority w:val="99"/>
    <w:rPr>
      <w:rFonts w:ascii="minorHAnsi" w:hAnsi="minorHAnsi"/>
      <w:color w:val="333333"/>
      <w:kern w:val="2"/>
      <w:sz w:val="18"/>
      <w:szCs w:val="18"/>
    </w:rPr>
  </w:style>
  <w:style w:type="character" w:customStyle="1" w:styleId="22">
    <w:name w:val="页脚 字符"/>
    <w:basedOn w:val="10"/>
    <w:link w:val="5"/>
    <w:uiPriority w:val="99"/>
    <w:rPr>
      <w:rFonts w:ascii="minorHAnsi" w:hAnsi="minorHAnsi"/>
      <w:color w:val="333333"/>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24BE966B-F61F-1C4A-9138-4C51FD9A4AD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2704</Words>
  <Characters>15415</Characters>
  <Lines>128</Lines>
  <Paragraphs>36</Paragraphs>
  <TotalTime>106</TotalTime>
  <ScaleCrop>false</ScaleCrop>
  <LinksUpToDate>false</LinksUpToDate>
  <CharactersWithSpaces>18083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2024-11-20T02:24:00Z</dcterms:created>
  <dc:creator>Microsoft Office User</dc:creator>
  <cp:lastModifiedBy>徐尼西</cp:lastModifiedBy>
  <dcterms:modified xsi:type="dcterms:W3CDTF">2026-02-08T22:26:32Z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id="OHYnb748"/&gt;&lt;style id="http://www.zotero.org/styles/elsevier-vancouver" hasBibliography="1" bibliographyStyleHasBeenSet="1"/&gt;&lt;prefs&gt;&lt;pref name="fieldType" value="Field"/&gt;&lt;/prefs&gt;&lt;/data&gt;</vt:lpwstr>
  </property>
  <property fmtid="{D5CDD505-2E9C-101B-9397-08002B2CF9AE}" pid="3" name="KSOProductBuildVer">
    <vt:lpwstr>2052-7.4.1.8983</vt:lpwstr>
  </property>
  <property fmtid="{D5CDD505-2E9C-101B-9397-08002B2CF9AE}" pid="4" name="ICV">
    <vt:lpwstr>9BE539A6329DF194FE42316979DC3CED_42</vt:lpwstr>
  </property>
</Properties>
</file>