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2158B" w14:textId="77777777" w:rsidR="00D639ED" w:rsidRPr="00EF5186" w:rsidRDefault="00D639ED" w:rsidP="00D639ED">
      <w:pPr>
        <w:spacing w:line="276" w:lineRule="auto"/>
        <w:rPr>
          <w:rFonts w:asciiTheme="majorBidi" w:hAnsiTheme="majorBidi" w:cstheme="majorBidi"/>
          <w:b/>
          <w:bCs/>
          <w:sz w:val="24"/>
          <w:szCs w:val="24"/>
        </w:rPr>
      </w:pPr>
      <w:r>
        <w:rPr>
          <w:rFonts w:asciiTheme="majorBidi" w:hAnsiTheme="majorBidi" w:cstheme="majorBidi"/>
          <w:b/>
          <w:bCs/>
          <w:sz w:val="24"/>
          <w:szCs w:val="24"/>
        </w:rPr>
        <w:t>APPENDICES</w:t>
      </w:r>
    </w:p>
    <w:p w14:paraId="7D815733" w14:textId="77777777" w:rsidR="00D639ED" w:rsidRPr="0098355D" w:rsidRDefault="00D639ED" w:rsidP="00D639ED">
      <w:pPr>
        <w:rPr>
          <w:rFonts w:asciiTheme="majorBidi" w:hAnsiTheme="majorBidi" w:cstheme="majorBidi"/>
          <w:lang w:val="en"/>
        </w:rPr>
      </w:pPr>
      <w:r w:rsidRPr="0098355D">
        <w:rPr>
          <w:rFonts w:asciiTheme="majorBidi" w:hAnsiTheme="majorBidi" w:cstheme="majorBidi"/>
          <w:lang w:val="en"/>
        </w:rPr>
        <w:t xml:space="preserve">Appendix 1: Overview of health system arrangement in Tunisia </w:t>
      </w:r>
    </w:p>
    <w:tbl>
      <w:tblPr>
        <w:tblStyle w:val="TableGrid"/>
        <w:tblW w:w="10075" w:type="dxa"/>
        <w:tblLook w:val="04A0" w:firstRow="1" w:lastRow="0" w:firstColumn="1" w:lastColumn="0" w:noHBand="0" w:noVBand="1"/>
      </w:tblPr>
      <w:tblGrid>
        <w:gridCol w:w="1438"/>
        <w:gridCol w:w="8637"/>
      </w:tblGrid>
      <w:tr w:rsidR="00D639ED" w:rsidRPr="0098355D" w14:paraId="15E0BD72" w14:textId="77777777" w:rsidTr="00652052">
        <w:tc>
          <w:tcPr>
            <w:tcW w:w="1435" w:type="dxa"/>
            <w:tcBorders>
              <w:top w:val="single" w:sz="4" w:space="0" w:color="auto"/>
              <w:left w:val="single" w:sz="4" w:space="0" w:color="auto"/>
              <w:bottom w:val="single" w:sz="4" w:space="0" w:color="auto"/>
              <w:right w:val="single" w:sz="4" w:space="0" w:color="auto"/>
            </w:tcBorders>
            <w:hideMark/>
          </w:tcPr>
          <w:p w14:paraId="65FB3A55" w14:textId="77777777" w:rsidR="00D639ED" w:rsidRPr="0098355D" w:rsidRDefault="00D639ED" w:rsidP="00652052">
            <w:pPr>
              <w:spacing w:after="160"/>
              <w:rPr>
                <w:rFonts w:asciiTheme="majorBidi" w:hAnsiTheme="majorBidi" w:cstheme="majorBidi"/>
                <w:b/>
                <w:bCs/>
                <w:lang w:val="en"/>
              </w:rPr>
            </w:pPr>
            <w:r w:rsidRPr="0098355D">
              <w:rPr>
                <w:rFonts w:asciiTheme="majorBidi" w:hAnsiTheme="majorBidi" w:cstheme="majorBidi"/>
                <w:b/>
                <w:bCs/>
                <w:lang w:val="en"/>
              </w:rPr>
              <w:t xml:space="preserve">Health system arrangement </w:t>
            </w:r>
          </w:p>
        </w:tc>
        <w:tc>
          <w:tcPr>
            <w:tcW w:w="8640" w:type="dxa"/>
            <w:tcBorders>
              <w:top w:val="single" w:sz="4" w:space="0" w:color="auto"/>
              <w:left w:val="single" w:sz="4" w:space="0" w:color="auto"/>
              <w:bottom w:val="single" w:sz="4" w:space="0" w:color="auto"/>
              <w:right w:val="single" w:sz="4" w:space="0" w:color="auto"/>
            </w:tcBorders>
            <w:hideMark/>
          </w:tcPr>
          <w:p w14:paraId="71F9C3FD" w14:textId="77777777" w:rsidR="00D639ED" w:rsidRPr="0098355D" w:rsidRDefault="00D639ED" w:rsidP="00652052">
            <w:pPr>
              <w:spacing w:after="160"/>
              <w:rPr>
                <w:rFonts w:asciiTheme="majorBidi" w:hAnsiTheme="majorBidi" w:cstheme="majorBidi"/>
                <w:b/>
                <w:bCs/>
                <w:lang w:val="en"/>
              </w:rPr>
            </w:pPr>
            <w:r w:rsidRPr="0098355D">
              <w:rPr>
                <w:rFonts w:asciiTheme="majorBidi" w:hAnsiTheme="majorBidi" w:cstheme="majorBidi"/>
                <w:b/>
                <w:bCs/>
                <w:lang w:val="en"/>
              </w:rPr>
              <w:t>Description</w:t>
            </w:r>
          </w:p>
        </w:tc>
      </w:tr>
      <w:tr w:rsidR="00D639ED" w:rsidRPr="0098355D" w14:paraId="1C482304" w14:textId="77777777" w:rsidTr="00652052">
        <w:tc>
          <w:tcPr>
            <w:tcW w:w="1435" w:type="dxa"/>
            <w:tcBorders>
              <w:top w:val="single" w:sz="4" w:space="0" w:color="auto"/>
              <w:left w:val="single" w:sz="4" w:space="0" w:color="auto"/>
              <w:bottom w:val="single" w:sz="4" w:space="0" w:color="auto"/>
              <w:right w:val="single" w:sz="4" w:space="0" w:color="auto"/>
            </w:tcBorders>
            <w:hideMark/>
          </w:tcPr>
          <w:p w14:paraId="69D06DB1" w14:textId="77777777" w:rsidR="00D639ED" w:rsidRPr="0098355D" w:rsidRDefault="00D639ED" w:rsidP="00652052">
            <w:pPr>
              <w:spacing w:after="160"/>
              <w:rPr>
                <w:rFonts w:asciiTheme="majorBidi" w:hAnsiTheme="majorBidi" w:cstheme="majorBidi"/>
                <w:lang w:val="en"/>
              </w:rPr>
            </w:pPr>
            <w:r w:rsidRPr="0098355D">
              <w:rPr>
                <w:rFonts w:asciiTheme="majorBidi" w:hAnsiTheme="majorBidi" w:cstheme="majorBidi"/>
                <w:b/>
                <w:bCs/>
              </w:rPr>
              <w:t>Governance arrangement</w:t>
            </w:r>
          </w:p>
        </w:tc>
        <w:tc>
          <w:tcPr>
            <w:tcW w:w="8640" w:type="dxa"/>
            <w:tcBorders>
              <w:top w:val="single" w:sz="4" w:space="0" w:color="auto"/>
              <w:left w:val="single" w:sz="4" w:space="0" w:color="auto"/>
              <w:bottom w:val="single" w:sz="4" w:space="0" w:color="auto"/>
              <w:right w:val="single" w:sz="4" w:space="0" w:color="auto"/>
            </w:tcBorders>
            <w:hideMark/>
          </w:tcPr>
          <w:p w14:paraId="7C0D10BD" w14:textId="77777777" w:rsidR="00D639ED" w:rsidRPr="0098355D" w:rsidRDefault="00D639ED" w:rsidP="00652052">
            <w:pPr>
              <w:spacing w:after="160"/>
              <w:rPr>
                <w:rFonts w:asciiTheme="majorBidi" w:hAnsiTheme="majorBidi" w:cstheme="majorBidi"/>
              </w:rPr>
            </w:pPr>
            <w:r w:rsidRPr="0098355D">
              <w:rPr>
                <w:rFonts w:asciiTheme="majorBidi" w:hAnsiTheme="majorBidi" w:cstheme="majorBidi"/>
              </w:rPr>
              <w:t>Tunisia's healthcare system is governed by the Ministry of Health and boasts a comprehensive network of primary, secondary, and tertiary care facilities.  Despite a significant infrastructure, with a healthcare density that includes both public and private sector facilities, the country faces challenges in operational efficiency, as evidenced by a mere 48% hospital bed occupancy rate, which falls below the OECD average. Additionally, about 90% of the population is covered under insurance plans provided by the Caisse Nationale d’Assurance Maladie or through schemes aimed at offering free medical assistance to the impoverished, indicating a concerted effort to enhance healthcare accessibility. However, the absence of a formal referral system and incomplete data on the quality and affordability of care highlight systemic inefficiencies. In response, Tunisia has initiated the adoption of new health policies and strategies, including the establishment of accreditation bodies for health facilities, aimed at addressing critical issues such as the inconsistent quality of healthcare services.</w:t>
            </w:r>
          </w:p>
        </w:tc>
      </w:tr>
      <w:tr w:rsidR="00D639ED" w:rsidRPr="0098355D" w14:paraId="4BD89C36" w14:textId="77777777" w:rsidTr="00652052">
        <w:tc>
          <w:tcPr>
            <w:tcW w:w="1435" w:type="dxa"/>
            <w:tcBorders>
              <w:top w:val="single" w:sz="4" w:space="0" w:color="auto"/>
              <w:left w:val="single" w:sz="4" w:space="0" w:color="auto"/>
              <w:bottom w:val="single" w:sz="4" w:space="0" w:color="auto"/>
              <w:right w:val="single" w:sz="4" w:space="0" w:color="auto"/>
            </w:tcBorders>
            <w:hideMark/>
          </w:tcPr>
          <w:p w14:paraId="167409C7" w14:textId="77777777" w:rsidR="00D639ED" w:rsidRPr="0098355D" w:rsidRDefault="00D639ED" w:rsidP="00652052">
            <w:pPr>
              <w:spacing w:after="160"/>
              <w:rPr>
                <w:rFonts w:asciiTheme="majorBidi" w:hAnsiTheme="majorBidi" w:cstheme="majorBidi"/>
                <w:lang w:val="en"/>
              </w:rPr>
            </w:pPr>
            <w:r w:rsidRPr="0098355D">
              <w:rPr>
                <w:rFonts w:asciiTheme="majorBidi" w:hAnsiTheme="majorBidi" w:cstheme="majorBidi"/>
                <w:b/>
                <w:bCs/>
              </w:rPr>
              <w:t>Financing arrangement</w:t>
            </w:r>
          </w:p>
        </w:tc>
        <w:tc>
          <w:tcPr>
            <w:tcW w:w="8640" w:type="dxa"/>
            <w:tcBorders>
              <w:top w:val="single" w:sz="4" w:space="0" w:color="auto"/>
              <w:left w:val="single" w:sz="4" w:space="0" w:color="auto"/>
              <w:bottom w:val="single" w:sz="4" w:space="0" w:color="auto"/>
              <w:right w:val="single" w:sz="4" w:space="0" w:color="auto"/>
            </w:tcBorders>
            <w:hideMark/>
          </w:tcPr>
          <w:p w14:paraId="7CA7C90B" w14:textId="77777777" w:rsidR="00D639ED" w:rsidRPr="0098355D" w:rsidRDefault="00D639ED" w:rsidP="00652052">
            <w:pPr>
              <w:spacing w:after="160"/>
              <w:rPr>
                <w:rFonts w:asciiTheme="majorBidi" w:hAnsiTheme="majorBidi" w:cstheme="majorBidi"/>
              </w:rPr>
            </w:pPr>
            <w:r w:rsidRPr="0098355D">
              <w:rPr>
                <w:rFonts w:asciiTheme="majorBidi" w:hAnsiTheme="majorBidi" w:cstheme="majorBidi"/>
              </w:rPr>
              <w:t xml:space="preserve">In Tunisia, the economic downturn caused by COVID-19 and fiscal constraints has significantly impacted healthcare financing, slowing recovery and highlighting the vulnerabilities within the MENA region. Despite healthcare spending being on par with other countries, a decline has been observed since 2015 due to reduced government spending, with public healthcare expenditure falling and remaining lower since. The allocation of a large portion of the budget to salaries limits operational funding for primary care and pharmaceuticals, exacerbating the system's capacity issues. Moreover, while over 80% of the population has health insurance, high out-of-pocket expenses persist, indicating substantial financial barriers and inequalities in access to care. The healthcare financing system faces inefficiencies across all functions, from revenue collection and resource allocation—overemphasizing hospital services while underfunding prevention and primary care—to pooling and provisioning, where fragmentation and inefficient provider payment methods contribute to inequities and service disparities. </w:t>
            </w:r>
          </w:p>
        </w:tc>
      </w:tr>
      <w:tr w:rsidR="00D639ED" w:rsidRPr="0098355D" w14:paraId="70D92CEE" w14:textId="77777777" w:rsidTr="00652052">
        <w:tc>
          <w:tcPr>
            <w:tcW w:w="1435" w:type="dxa"/>
            <w:tcBorders>
              <w:top w:val="single" w:sz="4" w:space="0" w:color="auto"/>
              <w:left w:val="single" w:sz="4" w:space="0" w:color="auto"/>
              <w:bottom w:val="single" w:sz="4" w:space="0" w:color="auto"/>
              <w:right w:val="single" w:sz="4" w:space="0" w:color="auto"/>
            </w:tcBorders>
            <w:hideMark/>
          </w:tcPr>
          <w:p w14:paraId="4FEDAF23" w14:textId="77777777" w:rsidR="00D639ED" w:rsidRPr="0098355D" w:rsidRDefault="00D639ED" w:rsidP="00652052">
            <w:pPr>
              <w:spacing w:after="160"/>
              <w:rPr>
                <w:rFonts w:asciiTheme="majorBidi" w:hAnsiTheme="majorBidi" w:cstheme="majorBidi"/>
                <w:lang w:val="en"/>
              </w:rPr>
            </w:pPr>
            <w:r w:rsidRPr="0098355D">
              <w:rPr>
                <w:rFonts w:asciiTheme="majorBidi" w:hAnsiTheme="majorBidi" w:cstheme="majorBidi"/>
                <w:b/>
                <w:bCs/>
              </w:rPr>
              <w:t>Service delivery arrangement</w:t>
            </w:r>
          </w:p>
        </w:tc>
        <w:tc>
          <w:tcPr>
            <w:tcW w:w="8640" w:type="dxa"/>
            <w:tcBorders>
              <w:top w:val="single" w:sz="4" w:space="0" w:color="auto"/>
              <w:left w:val="single" w:sz="4" w:space="0" w:color="auto"/>
              <w:bottom w:val="single" w:sz="4" w:space="0" w:color="auto"/>
              <w:right w:val="single" w:sz="4" w:space="0" w:color="auto"/>
            </w:tcBorders>
            <w:hideMark/>
          </w:tcPr>
          <w:p w14:paraId="6C64C4A7" w14:textId="77777777" w:rsidR="00D639ED" w:rsidRPr="0098355D" w:rsidRDefault="00D639ED" w:rsidP="00652052">
            <w:pPr>
              <w:spacing w:after="160"/>
              <w:rPr>
                <w:rFonts w:asciiTheme="majorBidi" w:hAnsiTheme="majorBidi" w:cstheme="majorBidi"/>
              </w:rPr>
            </w:pPr>
            <w:r w:rsidRPr="0098355D">
              <w:rPr>
                <w:rFonts w:asciiTheme="majorBidi" w:hAnsiTheme="majorBidi" w:cstheme="majorBidi"/>
              </w:rPr>
              <w:t xml:space="preserve">In Tunisia, healthcare services are structured across three levels: primary, secondary, and tertiary, characterized by accessibility issues and capacity limitations. The primary level, consisting of basic health centers (CSBs) and district hospitals, serves as the initial point of contact but often directs patients toward secondary or tertiary facilities due to its limitations. Despite having 2,091 CSBs, only a fraction offer daily medical consultations, with a significant number providing services less frequently, highlighting the scarcity of direct community health links and a focus on curative over preventive care. Secondary care features regional hospitals offering specialized services but faces constraints related to resource availability and access disparities, especially in disadvantaged areas. Tertiary care, provided by university hospitals, offers highly specialized treatments and training, predominantly located in coastal regions, exacerbating access inequality for inland populations. The distribution of human and physical resources heavily favors coastal and private facilities, leading to care gaps and a workforce motivated by better conditions abroad. Despite efforts to increase equipment availability, the public sector struggles with resource utilization due to maintenance and staffing issues. This </w:t>
            </w:r>
            <w:r w:rsidRPr="0098355D">
              <w:rPr>
                <w:rFonts w:asciiTheme="majorBidi" w:hAnsiTheme="majorBidi" w:cstheme="majorBidi"/>
              </w:rPr>
              <w:lastRenderedPageBreak/>
              <w:t>situation results in low service utilization rates, with notable disparities in access and satisfaction, driven by organizational inefficiencies and a lack of quality care measures. The Tunisian government's response, a comprehensive National Health Policy, aims to address these issues through governance strengthening, transparency, civic engagement, and reforms targeting service delivery, financial protection, and preventive care, setting ambitious health targets for 2030.</w:t>
            </w:r>
          </w:p>
        </w:tc>
      </w:tr>
    </w:tbl>
    <w:p w14:paraId="569DA6D0" w14:textId="77777777" w:rsidR="00D639ED" w:rsidRDefault="00D639ED" w:rsidP="00D639ED"/>
    <w:p w14:paraId="71ED3823"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9ED"/>
    <w:rsid w:val="00264C10"/>
    <w:rsid w:val="00470242"/>
    <w:rsid w:val="00726E03"/>
    <w:rsid w:val="009542D6"/>
    <w:rsid w:val="009559EE"/>
    <w:rsid w:val="00D639E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A555A"/>
  <w15:chartTrackingRefBased/>
  <w15:docId w15:val="{F426853E-68E7-43AC-8EB6-BFDEC13C8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9ED"/>
    <w:pPr>
      <w:spacing w:line="259" w:lineRule="auto"/>
    </w:pPr>
    <w:rPr>
      <w:rFonts w:eastAsiaTheme="minorHAnsi"/>
      <w:noProof/>
      <w:kern w:val="0"/>
      <w:sz w:val="22"/>
      <w:szCs w:val="22"/>
      <w:lang w:eastAsia="en-US"/>
      <w14:ligatures w14:val="none"/>
    </w:rPr>
  </w:style>
  <w:style w:type="paragraph" w:styleId="Heading1">
    <w:name w:val="heading 1"/>
    <w:basedOn w:val="Normal"/>
    <w:next w:val="Normal"/>
    <w:link w:val="Heading1Char"/>
    <w:uiPriority w:val="9"/>
    <w:qFormat/>
    <w:rsid w:val="00D639ED"/>
    <w:pPr>
      <w:keepNext/>
      <w:keepLines/>
      <w:spacing w:before="360" w:after="80" w:line="278" w:lineRule="auto"/>
      <w:outlineLvl w:val="0"/>
    </w:pPr>
    <w:rPr>
      <w:rFonts w:asciiTheme="majorHAnsi" w:eastAsiaTheme="majorEastAsia" w:hAnsiTheme="majorHAnsi" w:cstheme="majorBidi"/>
      <w:noProof w:val="0"/>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D639ED"/>
    <w:pPr>
      <w:keepNext/>
      <w:keepLines/>
      <w:spacing w:before="160" w:after="80" w:line="278" w:lineRule="auto"/>
      <w:outlineLvl w:val="1"/>
    </w:pPr>
    <w:rPr>
      <w:rFonts w:asciiTheme="majorHAnsi" w:eastAsiaTheme="majorEastAsia" w:hAnsiTheme="majorHAnsi" w:cstheme="majorBidi"/>
      <w:noProof w:val="0"/>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D639ED"/>
    <w:pPr>
      <w:keepNext/>
      <w:keepLines/>
      <w:spacing w:before="160" w:after="80" w:line="278" w:lineRule="auto"/>
      <w:outlineLvl w:val="2"/>
    </w:pPr>
    <w:rPr>
      <w:rFonts w:eastAsiaTheme="majorEastAsia" w:cstheme="majorBidi"/>
      <w:noProof w:val="0"/>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D639ED"/>
    <w:pPr>
      <w:keepNext/>
      <w:keepLines/>
      <w:spacing w:before="80" w:after="40" w:line="278" w:lineRule="auto"/>
      <w:outlineLvl w:val="3"/>
    </w:pPr>
    <w:rPr>
      <w:rFonts w:eastAsiaTheme="majorEastAsia" w:cstheme="majorBidi"/>
      <w:i/>
      <w:iCs/>
      <w:noProof w:val="0"/>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D639ED"/>
    <w:pPr>
      <w:keepNext/>
      <w:keepLines/>
      <w:spacing w:before="80" w:after="40" w:line="278" w:lineRule="auto"/>
      <w:outlineLvl w:val="4"/>
    </w:pPr>
    <w:rPr>
      <w:rFonts w:eastAsiaTheme="majorEastAsia" w:cstheme="majorBidi"/>
      <w:noProof w:val="0"/>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D639ED"/>
    <w:pPr>
      <w:keepNext/>
      <w:keepLines/>
      <w:spacing w:before="40" w:after="0" w:line="278" w:lineRule="auto"/>
      <w:outlineLvl w:val="5"/>
    </w:pPr>
    <w:rPr>
      <w:rFonts w:eastAsiaTheme="majorEastAsia" w:cstheme="majorBidi"/>
      <w:i/>
      <w:iCs/>
      <w:noProof w:val="0"/>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D639ED"/>
    <w:pPr>
      <w:keepNext/>
      <w:keepLines/>
      <w:spacing w:before="40" w:after="0" w:line="278" w:lineRule="auto"/>
      <w:outlineLvl w:val="6"/>
    </w:pPr>
    <w:rPr>
      <w:rFonts w:eastAsiaTheme="majorEastAsia" w:cstheme="majorBidi"/>
      <w:noProof w:val="0"/>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D639ED"/>
    <w:pPr>
      <w:keepNext/>
      <w:keepLines/>
      <w:spacing w:after="0" w:line="278" w:lineRule="auto"/>
      <w:outlineLvl w:val="7"/>
    </w:pPr>
    <w:rPr>
      <w:rFonts w:eastAsiaTheme="majorEastAsia" w:cstheme="majorBidi"/>
      <w:i/>
      <w:iCs/>
      <w:noProof w:val="0"/>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D639ED"/>
    <w:pPr>
      <w:keepNext/>
      <w:keepLines/>
      <w:spacing w:after="0" w:line="278" w:lineRule="auto"/>
      <w:outlineLvl w:val="8"/>
    </w:pPr>
    <w:rPr>
      <w:rFonts w:eastAsiaTheme="majorEastAsia" w:cstheme="majorBidi"/>
      <w:noProof w:val="0"/>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39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39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39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39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39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39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39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39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39ED"/>
    <w:rPr>
      <w:rFonts w:eastAsiaTheme="majorEastAsia" w:cstheme="majorBidi"/>
      <w:color w:val="272727" w:themeColor="text1" w:themeTint="D8"/>
    </w:rPr>
  </w:style>
  <w:style w:type="paragraph" w:styleId="Title">
    <w:name w:val="Title"/>
    <w:basedOn w:val="Normal"/>
    <w:next w:val="Normal"/>
    <w:link w:val="TitleChar"/>
    <w:uiPriority w:val="10"/>
    <w:qFormat/>
    <w:rsid w:val="00D639ED"/>
    <w:pPr>
      <w:spacing w:after="80" w:line="240" w:lineRule="auto"/>
      <w:contextualSpacing/>
    </w:pPr>
    <w:rPr>
      <w:rFonts w:asciiTheme="majorHAnsi" w:eastAsiaTheme="majorEastAsia" w:hAnsiTheme="majorHAnsi" w:cstheme="majorBidi"/>
      <w:noProof w:val="0"/>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D639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39ED"/>
    <w:pPr>
      <w:numPr>
        <w:ilvl w:val="1"/>
      </w:numPr>
      <w:spacing w:line="278" w:lineRule="auto"/>
    </w:pPr>
    <w:rPr>
      <w:rFonts w:eastAsiaTheme="majorEastAsia" w:cstheme="majorBidi"/>
      <w:noProof w:val="0"/>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D639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39ED"/>
    <w:pPr>
      <w:spacing w:before="160" w:line="278" w:lineRule="auto"/>
      <w:jc w:val="center"/>
    </w:pPr>
    <w:rPr>
      <w:rFonts w:eastAsiaTheme="minorEastAsia"/>
      <w:i/>
      <w:iCs/>
      <w:noProof w:val="0"/>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D639ED"/>
    <w:rPr>
      <w:i/>
      <w:iCs/>
      <w:color w:val="404040" w:themeColor="text1" w:themeTint="BF"/>
    </w:rPr>
  </w:style>
  <w:style w:type="paragraph" w:styleId="ListParagraph">
    <w:name w:val="List Paragraph"/>
    <w:basedOn w:val="Normal"/>
    <w:uiPriority w:val="34"/>
    <w:qFormat/>
    <w:rsid w:val="00D639ED"/>
    <w:pPr>
      <w:spacing w:line="278" w:lineRule="auto"/>
      <w:ind w:left="720"/>
      <w:contextualSpacing/>
    </w:pPr>
    <w:rPr>
      <w:rFonts w:eastAsiaTheme="minorEastAsia"/>
      <w:noProof w:val="0"/>
      <w:kern w:val="2"/>
      <w:sz w:val="24"/>
      <w:szCs w:val="24"/>
      <w:lang w:eastAsia="zh-CN"/>
      <w14:ligatures w14:val="standardContextual"/>
    </w:rPr>
  </w:style>
  <w:style w:type="character" w:styleId="IntenseEmphasis">
    <w:name w:val="Intense Emphasis"/>
    <w:basedOn w:val="DefaultParagraphFont"/>
    <w:uiPriority w:val="21"/>
    <w:qFormat/>
    <w:rsid w:val="00D639ED"/>
    <w:rPr>
      <w:i/>
      <w:iCs/>
      <w:color w:val="0F4761" w:themeColor="accent1" w:themeShade="BF"/>
    </w:rPr>
  </w:style>
  <w:style w:type="paragraph" w:styleId="IntenseQuote">
    <w:name w:val="Intense Quote"/>
    <w:basedOn w:val="Normal"/>
    <w:next w:val="Normal"/>
    <w:link w:val="IntenseQuoteChar"/>
    <w:uiPriority w:val="30"/>
    <w:qFormat/>
    <w:rsid w:val="00D639E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noProof w:val="0"/>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D639ED"/>
    <w:rPr>
      <w:i/>
      <w:iCs/>
      <w:color w:val="0F4761" w:themeColor="accent1" w:themeShade="BF"/>
    </w:rPr>
  </w:style>
  <w:style w:type="character" w:styleId="IntenseReference">
    <w:name w:val="Intense Reference"/>
    <w:basedOn w:val="DefaultParagraphFont"/>
    <w:uiPriority w:val="32"/>
    <w:qFormat/>
    <w:rsid w:val="00D639ED"/>
    <w:rPr>
      <w:b/>
      <w:bCs/>
      <w:smallCaps/>
      <w:color w:val="0F4761" w:themeColor="accent1" w:themeShade="BF"/>
      <w:spacing w:val="5"/>
    </w:rPr>
  </w:style>
  <w:style w:type="table" w:styleId="TableGrid">
    <w:name w:val="Table Grid"/>
    <w:basedOn w:val="TableNormal"/>
    <w:uiPriority w:val="39"/>
    <w:rsid w:val="00D639ED"/>
    <w:pPr>
      <w:spacing w:after="0" w:line="240" w:lineRule="auto"/>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3656</Characters>
  <Application>Microsoft Office Word</Application>
  <DocSecurity>0</DocSecurity>
  <Lines>166</Lines>
  <Paragraphs>56</Paragraphs>
  <ScaleCrop>false</ScaleCrop>
  <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2026-03-18T13:10:00Z</dcterms:created>
  <dcterms:modified xsi:type="dcterms:W3CDTF">2026-03-18T13:10:00Z</dcterms:modified>
</cp:coreProperties>
</file>