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480" w:lineRule="auto"/>
        <w:rPr/>
      </w:pPr>
      <w:bookmarkStart w:colFirst="0" w:colLast="0" w:name="_glxu5rlj1cf5" w:id="0"/>
      <w:bookmarkEnd w:id="0"/>
      <w:r w:rsidDel="00000000" w:rsidR="00000000" w:rsidRPr="00000000">
        <w:rPr>
          <w:rtl w:val="0"/>
        </w:rPr>
        <w:t xml:space="preserve">Supplementary Material</w:t>
      </w:r>
    </w:p>
    <w:p w:rsidR="00000000" w:rsidDel="00000000" w:rsidP="00000000" w:rsidRDefault="00000000" w:rsidRPr="00000000" w14:paraId="00000002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7973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Supplementary Table 1. Relationship between mLOSET and short term death/ICU admission, stratified by sex, hospital volume and age group.</w:t>
      </w:r>
    </w:p>
    <w:p w:rsidR="00000000" w:rsidDel="00000000" w:rsidP="00000000" w:rsidRDefault="00000000" w:rsidRPr="00000000" w14:paraId="00000004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5880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8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Supplementary Table 2. Risk Ratio for short term death/ICU admission, per outcome in mLOSET.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ind w:left="-850.3937007874016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4356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Supplementary Table 3: Definition of each outcome in mLOSET together with type data type required for implementation.</w:t>
      </w:r>
    </w:p>
    <w:p w:rsidR="00000000" w:rsidDel="00000000" w:rsidP="00000000" w:rsidRDefault="00000000" w:rsidRPr="00000000" w14:paraId="00000008">
      <w:pPr>
        <w:spacing w:line="48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</w:rPr>
        <w:drawing>
          <wp:inline distB="114300" distT="114300" distL="114300" distR="114300">
            <wp:extent cx="5086657" cy="75961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657" cy="7596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Supplementary Table 4: Percentage of total mLOSET-positive patients identified using different combinations of available data sources.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