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EA989" w14:textId="77777777" w:rsidR="009902B5" w:rsidRPr="00B07C1C" w:rsidRDefault="009902B5" w:rsidP="009902B5">
      <w:pPr>
        <w:pStyle w:val="Heading1"/>
        <w:jc w:val="center"/>
        <w:rPr>
          <w:rFonts w:asciiTheme="majorBidi" w:hAnsiTheme="majorBidi"/>
          <w:b/>
          <w:bCs/>
          <w:color w:val="auto"/>
          <w:sz w:val="28"/>
          <w:szCs w:val="28"/>
        </w:rPr>
      </w:pPr>
      <w:bookmarkStart w:id="0" w:name="_Toc199015372"/>
      <w:r w:rsidRPr="00B07C1C">
        <w:rPr>
          <w:rFonts w:asciiTheme="majorBidi" w:hAnsiTheme="majorBidi"/>
          <w:b/>
          <w:bCs/>
          <w:color w:val="auto"/>
          <w:sz w:val="28"/>
          <w:szCs w:val="28"/>
        </w:rPr>
        <w:t>METHODIOLOGY</w:t>
      </w:r>
      <w:bookmarkEnd w:id="0"/>
    </w:p>
    <w:p w14:paraId="102ADB71" w14:textId="77777777" w:rsidR="009902B5" w:rsidRPr="002C6AB2" w:rsidRDefault="009902B5" w:rsidP="009902B5">
      <w:pPr>
        <w:pStyle w:val="ListParagraph"/>
        <w:spacing w:after="0" w:line="360" w:lineRule="auto"/>
        <w:ind w:left="360" w:firstLine="737"/>
        <w:jc w:val="both"/>
        <w:rPr>
          <w:rFonts w:asciiTheme="majorBidi" w:hAnsiTheme="majorBidi" w:cstheme="majorBidi"/>
          <w:b/>
          <w:bCs/>
        </w:rPr>
      </w:pPr>
    </w:p>
    <w:p w14:paraId="57313C64" w14:textId="3CDFE4FB" w:rsidR="009902B5" w:rsidRPr="002261D1" w:rsidRDefault="009902B5" w:rsidP="009902B5">
      <w:pPr>
        <w:pStyle w:val="Heading2"/>
        <w:spacing w:before="0" w:after="0" w:line="360" w:lineRule="auto"/>
        <w:jc w:val="both"/>
        <w:rPr>
          <w:rFonts w:asciiTheme="majorBidi" w:hAnsiTheme="majorBidi"/>
          <w:b/>
          <w:bCs/>
          <w:color w:val="auto"/>
          <w:sz w:val="24"/>
          <w:szCs w:val="24"/>
        </w:rPr>
      </w:pPr>
      <w:bookmarkStart w:id="1" w:name="_Toc199015373"/>
      <w:r w:rsidRPr="002261D1">
        <w:rPr>
          <w:rFonts w:asciiTheme="majorBidi" w:hAnsiTheme="majorBidi"/>
          <w:b/>
          <w:bCs/>
          <w:color w:val="auto"/>
          <w:sz w:val="24"/>
          <w:szCs w:val="24"/>
        </w:rPr>
        <w:t>Study Context</w:t>
      </w:r>
      <w:bookmarkEnd w:id="1"/>
    </w:p>
    <w:p w14:paraId="16E6A6F7" w14:textId="77777777" w:rsidR="009902B5" w:rsidRDefault="009902B5" w:rsidP="009902B5">
      <w:pPr>
        <w:spacing w:after="0" w:line="360" w:lineRule="auto"/>
        <w:ind w:firstLine="737"/>
        <w:jc w:val="both"/>
        <w:rPr>
          <w:rFonts w:asciiTheme="majorBidi" w:hAnsiTheme="majorBidi" w:cstheme="majorBidi"/>
          <w:sz w:val="24"/>
          <w:szCs w:val="24"/>
        </w:rPr>
      </w:pPr>
      <w:r w:rsidRPr="002C6AB2">
        <w:rPr>
          <w:rFonts w:asciiTheme="majorBidi" w:hAnsiTheme="majorBidi" w:cstheme="majorBidi"/>
          <w:sz w:val="24"/>
          <w:szCs w:val="24"/>
        </w:rPr>
        <w:t xml:space="preserve">A COI study was conducted using a prevalence-based approach from a provider perspective (Figure </w:t>
      </w:r>
      <w:r>
        <w:rPr>
          <w:rFonts w:asciiTheme="majorBidi" w:hAnsiTheme="majorBidi" w:cstheme="majorBidi"/>
          <w:sz w:val="24"/>
          <w:szCs w:val="24"/>
        </w:rPr>
        <w:t>3.</w:t>
      </w:r>
      <w:r w:rsidRPr="002C6AB2">
        <w:rPr>
          <w:rFonts w:asciiTheme="majorBidi" w:hAnsiTheme="majorBidi" w:cstheme="majorBidi"/>
          <w:sz w:val="24"/>
          <w:szCs w:val="24"/>
        </w:rPr>
        <w:t>1). The study estimated the direct medical costs associated with admitted DF cases by taking a detailed, bottom-up approach, following the World Health Organization’s toolkit for evaluating the economic burden of DF</w:t>
      </w:r>
      <w:r>
        <w:rPr>
          <w:rFonts w:asciiTheme="majorBidi" w:hAnsiTheme="majorBidi" w:cstheme="majorBidi"/>
          <w:sz w:val="24"/>
          <w:szCs w:val="24"/>
        </w:rPr>
        <w:t xml:space="preserve"> (2018)</w:t>
      </w:r>
      <w:r w:rsidRPr="002C6AB2">
        <w:rPr>
          <w:rFonts w:asciiTheme="majorBidi" w:hAnsiTheme="majorBidi" w:cstheme="majorBidi"/>
          <w:sz w:val="24"/>
          <w:szCs w:val="24"/>
        </w:rPr>
        <w:t>. This toolkit provides a structured method for assessing the direct healthcare costs, such as hospitalization, treatment, and diagnostic expenses, specifically for DF cases.</w:t>
      </w:r>
    </w:p>
    <w:p w14:paraId="29A01505" w14:textId="77777777" w:rsidR="009902B5" w:rsidRPr="002C6AB2" w:rsidRDefault="009902B5" w:rsidP="009902B5">
      <w:pPr>
        <w:spacing w:after="0" w:line="360" w:lineRule="auto"/>
        <w:ind w:firstLine="737"/>
        <w:jc w:val="both"/>
        <w:rPr>
          <w:rFonts w:asciiTheme="majorBidi" w:hAnsiTheme="majorBidi" w:cstheme="majorBidi"/>
          <w:sz w:val="24"/>
          <w:szCs w:val="24"/>
        </w:rPr>
      </w:pPr>
      <w:r w:rsidRPr="002C6AB2">
        <w:rPr>
          <w:rFonts w:asciiTheme="majorBidi" w:hAnsiTheme="majorBidi" w:cstheme="majorBidi"/>
          <w:noProof/>
        </w:rPr>
        <w:drawing>
          <wp:anchor distT="0" distB="0" distL="114300" distR="114300" simplePos="0" relativeHeight="251660288" behindDoc="1" locked="0" layoutInCell="1" allowOverlap="1" wp14:anchorId="7205FD63" wp14:editId="6AD6AE9B">
            <wp:simplePos x="0" y="0"/>
            <wp:positionH relativeFrom="margin">
              <wp:posOffset>-29845</wp:posOffset>
            </wp:positionH>
            <wp:positionV relativeFrom="paragraph">
              <wp:posOffset>74930</wp:posOffset>
            </wp:positionV>
            <wp:extent cx="5869940" cy="3945255"/>
            <wp:effectExtent l="0" t="0" r="0" b="17145"/>
            <wp:wrapNone/>
            <wp:docPr id="931784002"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14:sizeRelH relativeFrom="margin">
              <wp14:pctWidth>0</wp14:pctWidth>
            </wp14:sizeRelH>
            <wp14:sizeRelV relativeFrom="margin">
              <wp14:pctHeight>0</wp14:pctHeight>
            </wp14:sizeRelV>
          </wp:anchor>
        </w:drawing>
      </w:r>
    </w:p>
    <w:p w14:paraId="7D5318A2" w14:textId="77777777" w:rsidR="009902B5" w:rsidRPr="002C6AB2"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77E50B6A" w14:textId="77777777" w:rsidR="009902B5" w:rsidRPr="002C6AB2"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28F3D86C" w14:textId="77777777" w:rsidR="009902B5" w:rsidRPr="002C6AB2"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2DC264E7" w14:textId="77777777" w:rsidR="009902B5" w:rsidRPr="002C6AB2"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15A5B834" w14:textId="77777777" w:rsidR="009902B5" w:rsidRPr="002C6AB2"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119864E8" w14:textId="77777777" w:rsidR="009902B5" w:rsidRPr="002C6AB2"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1E63CCBC" w14:textId="77777777" w:rsidR="009902B5" w:rsidRDefault="009902B5" w:rsidP="009902B5">
      <w:pPr>
        <w:pStyle w:val="NormalWeb"/>
        <w:spacing w:before="0" w:beforeAutospacing="0" w:after="0" w:afterAutospacing="0" w:line="360" w:lineRule="auto"/>
        <w:ind w:firstLine="737"/>
        <w:jc w:val="both"/>
        <w:rPr>
          <w:rFonts w:asciiTheme="majorBidi" w:hAnsiTheme="majorBidi" w:cstheme="majorBidi"/>
          <w:noProof/>
        </w:rPr>
      </w:pPr>
      <w:r w:rsidRPr="002C6AB2">
        <w:rPr>
          <w:rFonts w:asciiTheme="majorBidi" w:hAnsiTheme="majorBidi" w:cstheme="majorBidi"/>
          <w:noProof/>
        </w:rPr>
        <mc:AlternateContent>
          <mc:Choice Requires="wps">
            <w:drawing>
              <wp:anchor distT="0" distB="0" distL="114300" distR="114300" simplePos="0" relativeHeight="251659264" behindDoc="0" locked="0" layoutInCell="1" allowOverlap="1" wp14:anchorId="48F56306" wp14:editId="08E4BA9E">
                <wp:simplePos x="0" y="0"/>
                <wp:positionH relativeFrom="margin">
                  <wp:posOffset>1877492</wp:posOffset>
                </wp:positionH>
                <wp:positionV relativeFrom="paragraph">
                  <wp:posOffset>163830</wp:posOffset>
                </wp:positionV>
                <wp:extent cx="2643505" cy="421640"/>
                <wp:effectExtent l="0" t="0" r="0" b="0"/>
                <wp:wrapNone/>
                <wp:docPr id="784897988" name="Text Box 1"/>
                <wp:cNvGraphicFramePr/>
                <a:graphic xmlns:a="http://schemas.openxmlformats.org/drawingml/2006/main">
                  <a:graphicData uri="http://schemas.microsoft.com/office/word/2010/wordprocessingShape">
                    <wps:wsp>
                      <wps:cNvSpPr txBox="1"/>
                      <wps:spPr>
                        <a:xfrm>
                          <a:off x="0" y="0"/>
                          <a:ext cx="2643505" cy="421640"/>
                        </a:xfrm>
                        <a:prstGeom prst="rect">
                          <a:avLst/>
                        </a:prstGeom>
                        <a:noFill/>
                        <a:ln w="6350">
                          <a:noFill/>
                        </a:ln>
                      </wps:spPr>
                      <wps:txbx>
                        <w:txbxContent>
                          <w:p w14:paraId="522C0F67" w14:textId="77777777" w:rsidR="009902B5" w:rsidRPr="00A1420E" w:rsidRDefault="009902B5" w:rsidP="009902B5">
                            <w:pPr>
                              <w:rPr>
                                <w:b/>
                                <w:bCs/>
                                <w:sz w:val="24"/>
                                <w:szCs w:val="24"/>
                              </w:rPr>
                            </w:pPr>
                            <w:r w:rsidRPr="00A1420E">
                              <w:rPr>
                                <w:b/>
                                <w:bCs/>
                                <w:sz w:val="24"/>
                                <w:szCs w:val="24"/>
                              </w:rPr>
                              <w:t>COST OF ILLNESS FRAMEWORK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8F56306" id="_x0000_t202" coordsize="21600,21600" o:spt="202" path="m,l,21600r21600,l21600,xe">
                <v:stroke joinstyle="miter"/>
                <v:path gradientshapeok="t" o:connecttype="rect"/>
              </v:shapetype>
              <v:shape id="Text Box 1" o:spid="_x0000_s1026" type="#_x0000_t202" style="position:absolute;left:0;text-align:left;margin-left:147.85pt;margin-top:12.9pt;width:208.15pt;height:33.2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" filled="f" stroked="f" strokeweight=".5pt">
                <v:textbox>
                  <w:txbxContent>
                    <w:p w14:paraId="522C0F67" w14:textId="77777777" w:rsidR="009902B5" w:rsidRPr="00A1420E" w:rsidRDefault="009902B5" w:rsidP="009902B5">
                      <w:pPr>
                        <w:rPr>
                          <w:b/>
                          <w:bCs/>
                          <w:sz w:val="24"/>
                          <w:szCs w:val="24"/>
                        </w:rPr>
                      </w:pPr>
                      <w:r w:rsidRPr="00A1420E">
                        <w:rPr>
                          <w:b/>
                          <w:bCs/>
                          <w:sz w:val="24"/>
                          <w:szCs w:val="24"/>
                        </w:rPr>
                        <w:t>COST OF ILLNESS FRAMEWORK</w:t>
                      </w:r>
                    </w:p>
                  </w:txbxContent>
                </v:textbox>
                <w10:wrap anchorx="margin"/>
              </v:shape>
            </w:pict>
          </mc:Fallback>
        </mc:AlternateContent>
      </w:r>
    </w:p>
    <w:p w14:paraId="75B20177" w14:textId="77777777" w:rsidR="009902B5"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48EF22C6" w14:textId="77777777" w:rsidR="009902B5"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1915D92D" w14:textId="77777777" w:rsidR="009902B5"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7639659E" w14:textId="77777777" w:rsidR="009902B5"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12FC492D" w14:textId="77777777" w:rsidR="009902B5"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738FF0AD" w14:textId="77777777" w:rsidR="009902B5" w:rsidRPr="002C6AB2" w:rsidRDefault="009902B5" w:rsidP="009902B5">
      <w:pPr>
        <w:pStyle w:val="NormalWeb"/>
        <w:spacing w:before="0" w:beforeAutospacing="0" w:after="0" w:afterAutospacing="0" w:line="360" w:lineRule="auto"/>
        <w:ind w:firstLine="737"/>
        <w:jc w:val="both"/>
        <w:rPr>
          <w:rFonts w:asciiTheme="majorBidi" w:hAnsiTheme="majorBidi" w:cstheme="majorBidi"/>
          <w:noProof/>
        </w:rPr>
      </w:pPr>
    </w:p>
    <w:p w14:paraId="741118ED" w14:textId="77777777" w:rsidR="009902B5" w:rsidRPr="002C6AB2" w:rsidRDefault="009902B5" w:rsidP="009902B5">
      <w:pPr>
        <w:pStyle w:val="NormalWeb"/>
        <w:spacing w:before="0" w:beforeAutospacing="0" w:after="0" w:afterAutospacing="0" w:line="360" w:lineRule="auto"/>
        <w:ind w:firstLine="737"/>
        <w:jc w:val="both"/>
        <w:rPr>
          <w:rFonts w:asciiTheme="majorBidi" w:hAnsiTheme="majorBidi" w:cstheme="majorBidi"/>
          <w:i/>
          <w:iCs/>
        </w:rPr>
      </w:pPr>
    </w:p>
    <w:p w14:paraId="4EF63482" w14:textId="77777777" w:rsidR="009902B5" w:rsidRPr="002C6AB2" w:rsidRDefault="009902B5" w:rsidP="009902B5">
      <w:pPr>
        <w:pStyle w:val="NormalWeb"/>
        <w:spacing w:before="0" w:beforeAutospacing="0" w:after="0" w:afterAutospacing="0" w:line="360" w:lineRule="auto"/>
        <w:ind w:firstLine="737"/>
        <w:jc w:val="both"/>
        <w:rPr>
          <w:rFonts w:asciiTheme="majorBidi" w:hAnsiTheme="majorBidi" w:cstheme="majorBidi"/>
          <w:b/>
          <w:bCs/>
        </w:rPr>
      </w:pPr>
    </w:p>
    <w:p w14:paraId="5649352B" w14:textId="77777777" w:rsidR="009902B5" w:rsidRDefault="009902B5" w:rsidP="009902B5">
      <w:pPr>
        <w:pStyle w:val="NormalWeb"/>
        <w:spacing w:before="0" w:beforeAutospacing="0" w:after="0" w:afterAutospacing="0" w:line="360" w:lineRule="auto"/>
        <w:jc w:val="both"/>
        <w:rPr>
          <w:rStyle w:val="IntenseReference"/>
          <w:rFonts w:asciiTheme="majorBidi" w:hAnsiTheme="majorBidi" w:cstheme="majorBidi"/>
          <w:color w:val="auto"/>
        </w:rPr>
      </w:pPr>
    </w:p>
    <w:p w14:paraId="51899992" w14:textId="77F9B210" w:rsidR="009902B5" w:rsidRDefault="009902B5" w:rsidP="009902B5">
      <w:pPr>
        <w:pStyle w:val="NormalWeb"/>
        <w:spacing w:before="0" w:beforeAutospacing="0" w:after="0" w:afterAutospacing="0"/>
        <w:jc w:val="both"/>
        <w:rPr>
          <w:rStyle w:val="SubtleEmphasis"/>
        </w:rPr>
      </w:pPr>
      <w:r w:rsidRPr="00375194">
        <w:rPr>
          <w:rStyle w:val="SubtleEmphasis"/>
        </w:rPr>
        <w:t>Figure</w:t>
      </w:r>
      <w:r w:rsidR="00D425EA">
        <w:rPr>
          <w:rStyle w:val="SubtleEmphasis"/>
        </w:rPr>
        <w:t>:</w:t>
      </w:r>
    </w:p>
    <w:p w14:paraId="26D565E9" w14:textId="77777777" w:rsidR="009902B5" w:rsidRPr="00375194" w:rsidRDefault="009902B5" w:rsidP="009902B5">
      <w:pPr>
        <w:pStyle w:val="NormalWeb"/>
        <w:spacing w:before="0" w:beforeAutospacing="0" w:after="0" w:afterAutospacing="0"/>
        <w:jc w:val="both"/>
        <w:rPr>
          <w:rStyle w:val="SubtleEmphasis"/>
          <w:i w:val="0"/>
          <w:iCs w:val="0"/>
        </w:rPr>
      </w:pPr>
      <w:r w:rsidRPr="00375194">
        <w:rPr>
          <w:rStyle w:val="SubtleEmphasis"/>
        </w:rPr>
        <w:t xml:space="preserve">Conceptual framework of cost-of-illness components, adapted from </w:t>
      </w:r>
      <w:r w:rsidRPr="00375194">
        <w:rPr>
          <w:rStyle w:val="SubtleEmphasis"/>
          <w:i w:val="0"/>
          <w:iCs w:val="0"/>
        </w:rPr>
        <w:fldChar w:fldCharType="begin"/>
      </w:r>
      <w:r w:rsidRPr="00375194">
        <w:rPr>
          <w:rStyle w:val="SubtleEmphasis"/>
        </w:rPr>
        <w:instrText xml:space="preserve"> ADDIN ZOTERO_ITEM CSL_CITATION {"citationID":"UN9xoCuR","properties":{"formattedCitation":"(Nakhaee {\\i{}et al.}, 2024)","plainCitation":"(Nakhaee et al., 2024)","dontUpdate":true,"noteIndex":0},"citationItems":[{"id":104,"uris":["http://zotero.org/users/local/eMJIo7bS/items/AT36FLH6"],"itemData":{"id":104,"type":"article-journal","abstract":"Abstract\n            \n              Background\n              Human communities suffered a vast socioeconomic burden in dealing with the pandemic of coronavirus disease 2019 (COVID-19) globally. Real-word data about these burdens can inform governments about evidence-based resource allocation and prioritization. The aim of this scoping review was to map the cost-of-illness (CoI) studies associated with COVID-19.\n            \n            \n              Methods\n              This scoping review was conducted from January 2019 to December 2021. We searched cost-of-illness papers published in English within Web of Sciences, PubMed, Google Scholar, Scopus, Science Direct and ProQuest. For each eligible study, extracted data included country, publication year, study period, study design, epidemiological approach, costing method, cost type, cost identification, sensitivity analysis, estimated unit cost and national burden. All of the analyses were applied in Excel software.\n            \n            \n              Results\n              2352 records were found after the search strategy application, finally 28 articles met the inclusion criteria and were included in the review. Most of the studies were done in the United States, Turkey, and China. The prevalence-based approach was the most common in the studies, and most of studies also used Hospital Information System data (HIS). There were noticeable differences in the costing methods and the cost identification. The average cost of hospitalization per patient per day ranged from 101$ in Turkey to 2,364$ in the United States. Among the studies, 82.1% estimated particularly direct medical costs, 3.6% only indirect costs, and 14.3% both direct and indirect costs.\n            \n            \n              Conclusion\n              The economic burden of COVID-19 varies from country to country. The majority of CoI studies estimated direct medical costs associated with COVID-19 and there is a paucity of evidence for direct non-medical, indirect, and intangible costs, which we recommend for future studies. To create homogeneity in CoI studies, we suggest researchers follow a conceptual framework and critical appraisal checklist of cost-of-illness (CoI) studies.","container-title":"Cost Effectiveness and Resource Allocation","DOI":"10.1186/s12962-024-00514-7","ISSN":"1478-7547","issue":"1","journalAbbreviation":"Cost Eff Resour Alloc","language":"en","page":"3","source":"DOI.org (Crossref)","title":"Cost of illness studies in COVID-19: a scoping review","title-short":"Cost of illness studies in COVID-19","volume":"22","author":[{"family":"Nakhaee","given":"Majid"},{"family":"Khandehroo","given":"Masoud"},{"family":"Esmaeili","given":"Reza"}],"issued":{"date-parts":[["2024",1,18]]}}}],"schema":"https://github.com/citation-style-language/schema/raw/master/csl-citation.json"} </w:instrText>
      </w:r>
      <w:r w:rsidRPr="00375194">
        <w:rPr>
          <w:rStyle w:val="SubtleEmphasis"/>
          <w:i w:val="0"/>
          <w:iCs w:val="0"/>
        </w:rPr>
        <w:fldChar w:fldCharType="separate"/>
      </w:r>
      <w:r w:rsidRPr="00375194">
        <w:rPr>
          <w:rStyle w:val="SubtleEmphasis"/>
        </w:rPr>
        <w:t xml:space="preserve">Nakhaee et al., 2024. </w:t>
      </w:r>
      <w:r w:rsidRPr="00375194">
        <w:rPr>
          <w:rStyle w:val="SubtleEmphasis"/>
          <w:i w:val="0"/>
          <w:iCs w:val="0"/>
        </w:rPr>
        <w:fldChar w:fldCharType="end"/>
      </w:r>
    </w:p>
    <w:p w14:paraId="63B35663" w14:textId="77777777" w:rsidR="009902B5" w:rsidRDefault="009902B5" w:rsidP="009902B5">
      <w:pPr>
        <w:pStyle w:val="NormalWeb"/>
        <w:tabs>
          <w:tab w:val="left" w:pos="993"/>
        </w:tabs>
        <w:spacing w:before="0" w:beforeAutospacing="0" w:after="0" w:afterAutospacing="0" w:line="360" w:lineRule="auto"/>
        <w:ind w:firstLine="737"/>
        <w:jc w:val="both"/>
        <w:textAlignment w:val="baseline"/>
        <w:rPr>
          <w:rFonts w:asciiTheme="majorBidi" w:eastAsia="Calibri" w:hAnsiTheme="majorBidi" w:cstheme="majorBidi"/>
          <w:b/>
          <w:bCs/>
          <w:lang w:bidi="ar-OM"/>
        </w:rPr>
      </w:pPr>
    </w:p>
    <w:p w14:paraId="143034CB" w14:textId="77777777" w:rsidR="00936A4C" w:rsidRDefault="00936A4C"/>
    <w:sectPr w:rsidR="00936A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B6B"/>
    <w:rsid w:val="00093C75"/>
    <w:rsid w:val="000D4012"/>
    <w:rsid w:val="00392AD1"/>
    <w:rsid w:val="003A79C3"/>
    <w:rsid w:val="004C6EA5"/>
    <w:rsid w:val="00651B6B"/>
    <w:rsid w:val="006F088E"/>
    <w:rsid w:val="007F72DF"/>
    <w:rsid w:val="00936A4C"/>
    <w:rsid w:val="009902B5"/>
    <w:rsid w:val="00C06EBB"/>
    <w:rsid w:val="00D425EA"/>
    <w:rsid w:val="00F840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AD87F"/>
  <w15:chartTrackingRefBased/>
  <w15:docId w15:val="{CFEF9ABE-6D2A-48C4-B942-398450C24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2B5"/>
    <w:pPr>
      <w:spacing w:line="259" w:lineRule="auto"/>
    </w:pPr>
    <w:rPr>
      <w:sz w:val="22"/>
      <w:szCs w:val="22"/>
    </w:rPr>
  </w:style>
  <w:style w:type="paragraph" w:styleId="Heading1">
    <w:name w:val="heading 1"/>
    <w:basedOn w:val="Normal"/>
    <w:next w:val="Normal"/>
    <w:link w:val="Heading1Char"/>
    <w:uiPriority w:val="9"/>
    <w:qFormat/>
    <w:rsid w:val="00651B6B"/>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51B6B"/>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1B6B"/>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1B6B"/>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651B6B"/>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651B6B"/>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651B6B"/>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651B6B"/>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651B6B"/>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1B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51B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1B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1B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1B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1B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1B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1B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1B6B"/>
    <w:rPr>
      <w:rFonts w:eastAsiaTheme="majorEastAsia" w:cstheme="majorBidi"/>
      <w:color w:val="272727" w:themeColor="text1" w:themeTint="D8"/>
    </w:rPr>
  </w:style>
  <w:style w:type="paragraph" w:styleId="Title">
    <w:name w:val="Title"/>
    <w:basedOn w:val="Normal"/>
    <w:next w:val="Normal"/>
    <w:link w:val="TitleChar"/>
    <w:uiPriority w:val="10"/>
    <w:qFormat/>
    <w:rsid w:val="00651B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1B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1B6B"/>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1B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1B6B"/>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651B6B"/>
    <w:rPr>
      <w:i/>
      <w:iCs/>
      <w:color w:val="404040" w:themeColor="text1" w:themeTint="BF"/>
    </w:rPr>
  </w:style>
  <w:style w:type="paragraph" w:styleId="ListParagraph">
    <w:name w:val="List Paragraph"/>
    <w:basedOn w:val="Normal"/>
    <w:uiPriority w:val="34"/>
    <w:qFormat/>
    <w:rsid w:val="00651B6B"/>
    <w:pPr>
      <w:spacing w:line="278" w:lineRule="auto"/>
      <w:ind w:left="720"/>
      <w:contextualSpacing/>
    </w:pPr>
    <w:rPr>
      <w:sz w:val="24"/>
      <w:szCs w:val="24"/>
    </w:rPr>
  </w:style>
  <w:style w:type="character" w:styleId="IntenseEmphasis">
    <w:name w:val="Intense Emphasis"/>
    <w:basedOn w:val="DefaultParagraphFont"/>
    <w:uiPriority w:val="21"/>
    <w:qFormat/>
    <w:rsid w:val="00651B6B"/>
    <w:rPr>
      <w:i/>
      <w:iCs/>
      <w:color w:val="0F4761" w:themeColor="accent1" w:themeShade="BF"/>
    </w:rPr>
  </w:style>
  <w:style w:type="paragraph" w:styleId="IntenseQuote">
    <w:name w:val="Intense Quote"/>
    <w:basedOn w:val="Normal"/>
    <w:next w:val="Normal"/>
    <w:link w:val="IntenseQuoteChar"/>
    <w:uiPriority w:val="30"/>
    <w:qFormat/>
    <w:rsid w:val="00651B6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651B6B"/>
    <w:rPr>
      <w:i/>
      <w:iCs/>
      <w:color w:val="0F4761" w:themeColor="accent1" w:themeShade="BF"/>
    </w:rPr>
  </w:style>
  <w:style w:type="character" w:styleId="IntenseReference">
    <w:name w:val="Intense Reference"/>
    <w:basedOn w:val="DefaultParagraphFont"/>
    <w:uiPriority w:val="32"/>
    <w:qFormat/>
    <w:rsid w:val="00651B6B"/>
    <w:rPr>
      <w:b/>
      <w:bCs/>
      <w:smallCaps/>
      <w:color w:val="0F4761" w:themeColor="accent1" w:themeShade="BF"/>
      <w:spacing w:val="5"/>
    </w:rPr>
  </w:style>
  <w:style w:type="paragraph" w:styleId="NormalWeb">
    <w:name w:val="Normal (Web)"/>
    <w:basedOn w:val="Normal"/>
    <w:uiPriority w:val="99"/>
    <w:unhideWhenUsed/>
    <w:rsid w:val="009902B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ubtleEmphasis">
    <w:name w:val="Subtle Emphasis"/>
    <w:basedOn w:val="DefaultParagraphFont"/>
    <w:uiPriority w:val="19"/>
    <w:qFormat/>
    <w:rsid w:val="009902B5"/>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3" Type="http://schemas.openxmlformats.org/officeDocument/2006/relationships/webSettings" Target="webSettings.xml"/><Relationship Id="rId7" Type="http://schemas.openxmlformats.org/officeDocument/2006/relationships/diagramColors" Target="diagrams/colors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5" Type="http://schemas.openxmlformats.org/officeDocument/2006/relationships/diagramLayout" Target="diagrams/layout1.xml"/><Relationship Id="rId10" Type="http://schemas.openxmlformats.org/officeDocument/2006/relationships/theme" Target="theme/theme1.xml"/><Relationship Id="rId4" Type="http://schemas.openxmlformats.org/officeDocument/2006/relationships/diagramData" Target="diagrams/data1.xml"/><Relationship Id="rId9"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4_2">
  <dgm:title val=""/>
  <dgm:desc val=""/>
  <dgm:catLst>
    <dgm:cat type="accent4" pri="11200"/>
  </dgm:catLst>
  <dgm:styleLbl name="node0">
    <dgm:fillClrLst meth="repeat">
      <a:schemeClr val="accent4"/>
    </dgm:fillClrLst>
    <dgm:linClrLst meth="repeat">
      <a:schemeClr val="lt1"/>
    </dgm:linClrLst>
    <dgm:effectClrLst/>
    <dgm:txLinClrLst/>
    <dgm:txFillClrLst/>
    <dgm:txEffectClrLst/>
  </dgm:styleLbl>
  <dgm:styleLbl name="node1">
    <dgm:fillClrLst meth="repeat">
      <a:schemeClr val="accent4"/>
    </dgm:fillClrLst>
    <dgm:linClrLst meth="repeat">
      <a:schemeClr val="lt1"/>
    </dgm:linClrLst>
    <dgm:effectClrLst/>
    <dgm:txLinClrLst/>
    <dgm:txFillClrLst/>
    <dgm:txEffectClrLst/>
  </dgm:styleLbl>
  <dgm:styleLbl name="alignNode1">
    <dgm:fillClrLst meth="repeat">
      <a:schemeClr val="accent4"/>
    </dgm:fillClrLst>
    <dgm:linClrLst meth="repeat">
      <a:schemeClr val="accent4"/>
    </dgm:linClrLst>
    <dgm:effectClrLst/>
    <dgm:txLinClrLst/>
    <dgm:txFillClrLst/>
    <dgm:txEffectClrLst/>
  </dgm:styleLbl>
  <dgm:styleLbl name="lnNode1">
    <dgm:fillClrLst meth="repeat">
      <a:schemeClr val="accent4"/>
    </dgm:fillClrLst>
    <dgm:linClrLst meth="repeat">
      <a:schemeClr val="lt1"/>
    </dgm:linClrLst>
    <dgm:effectClrLst/>
    <dgm:txLinClrLst/>
    <dgm:txFillClrLst/>
    <dgm:txEffectClrLst/>
  </dgm:styleLbl>
  <dgm:styleLbl name="vennNode1">
    <dgm:fillClrLst meth="repeat">
      <a:schemeClr val="accent4">
        <a:alpha val="50000"/>
      </a:schemeClr>
    </dgm:fillClrLst>
    <dgm:linClrLst meth="repeat">
      <a:schemeClr val="lt1"/>
    </dgm:linClrLst>
    <dgm:effectClrLst/>
    <dgm:txLinClrLst/>
    <dgm:txFillClrLst/>
    <dgm:txEffectClrLst/>
  </dgm:styleLbl>
  <dgm:styleLbl name="node2">
    <dgm:fillClrLst meth="repeat">
      <a:schemeClr val="accent4"/>
    </dgm:fillClrLst>
    <dgm:linClrLst meth="repeat">
      <a:schemeClr val="lt1"/>
    </dgm:linClrLst>
    <dgm:effectClrLst/>
    <dgm:txLinClrLst/>
    <dgm:txFillClrLst/>
    <dgm:txEffectClrLst/>
  </dgm:styleLbl>
  <dgm:styleLbl name="node3">
    <dgm:fillClrLst meth="repeat">
      <a:schemeClr val="accent4"/>
    </dgm:fillClrLst>
    <dgm:linClrLst meth="repeat">
      <a:schemeClr val="lt1"/>
    </dgm:linClrLst>
    <dgm:effectClrLst/>
    <dgm:txLinClrLst/>
    <dgm:txFillClrLst/>
    <dgm:txEffectClrLst/>
  </dgm:styleLbl>
  <dgm:styleLbl name="node4">
    <dgm:fillClrLst meth="repeat">
      <a:schemeClr val="accent4"/>
    </dgm:fillClrLst>
    <dgm:linClrLst meth="repeat">
      <a:schemeClr val="lt1"/>
    </dgm:linClrLst>
    <dgm:effectClrLst/>
    <dgm:txLinClrLst/>
    <dgm:txFillClrLst/>
    <dgm:txEffectClrLst/>
  </dgm:styleLbl>
  <dgm:styleLbl name="f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4">
        <a:tint val="60000"/>
      </a:schemeClr>
    </dgm:fillClrLst>
    <dgm:linClrLst meth="repeat">
      <a:schemeClr val="accent4">
        <a:tint val="60000"/>
      </a:schemeClr>
    </dgm:linClrLst>
    <dgm:effectClrLst/>
    <dgm:txLinClrLst/>
    <dgm:txFillClrLst/>
    <dgm:txEffectClrLst/>
  </dgm:styleLbl>
  <dgm:styleLbl name="fgSibTrans2D1">
    <dgm:fillClrLst meth="repeat">
      <a:schemeClr val="accent4">
        <a:tint val="60000"/>
      </a:schemeClr>
    </dgm:fillClrLst>
    <dgm:linClrLst meth="repeat">
      <a:schemeClr val="accent4">
        <a:tint val="60000"/>
      </a:schemeClr>
    </dgm:linClrLst>
    <dgm:effectClrLst/>
    <dgm:txLinClrLst/>
    <dgm:txFillClrLst/>
    <dgm:txEffectClrLst/>
  </dgm:styleLbl>
  <dgm:styleLbl name="bgSibTrans2D1">
    <dgm:fillClrLst meth="repeat">
      <a:schemeClr val="accent4">
        <a:tint val="60000"/>
      </a:schemeClr>
    </dgm:fillClrLst>
    <dgm:linClrLst meth="repeat">
      <a:schemeClr val="accent4">
        <a:tint val="60000"/>
      </a:schemeClr>
    </dgm:linClrLst>
    <dgm:effectClrLst/>
    <dgm:txLinClrLst/>
    <dgm:txFillClrLst/>
    <dgm:txEffectClrLst/>
  </dgm:styleLbl>
  <dgm:styleLbl name="sibTrans1D1">
    <dgm:fillClrLst meth="repeat">
      <a:schemeClr val="accent4"/>
    </dgm:fillClrLst>
    <dgm:linClrLst meth="repeat">
      <a:schemeClr val="accent4"/>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dgm:linClrLst>
    <dgm:effectClrLst/>
    <dgm:txLinClrLst/>
    <dgm:txFillClrLst/>
    <dgm:txEffectClrLst/>
  </dgm:styleLbl>
  <dgm:styleLbl name="asst1">
    <dgm:fillClrLst meth="repeat">
      <a:schemeClr val="accent4"/>
    </dgm:fillClrLst>
    <dgm:linClrLst meth="repeat">
      <a:schemeClr val="lt1"/>
    </dgm:linClrLst>
    <dgm:effectClrLst/>
    <dgm:txLinClrLst/>
    <dgm:txFillClrLst/>
    <dgm:txEffectClrLst/>
  </dgm:styleLbl>
  <dgm:styleLbl name="asst2">
    <dgm:fillClrLst meth="repeat">
      <a:schemeClr val="accent4"/>
    </dgm:fillClrLst>
    <dgm:linClrLst meth="repeat">
      <a:schemeClr val="lt1"/>
    </dgm:linClrLst>
    <dgm:effectClrLst/>
    <dgm:txLinClrLst/>
    <dgm:txFillClrLst/>
    <dgm:txEffectClrLst/>
  </dgm:styleLbl>
  <dgm:styleLbl name="asst3">
    <dgm:fillClrLst meth="repeat">
      <a:schemeClr val="accent4"/>
    </dgm:fillClrLst>
    <dgm:linClrLst meth="repeat">
      <a:schemeClr val="lt1"/>
    </dgm:linClrLst>
    <dgm:effectClrLst/>
    <dgm:txLinClrLst/>
    <dgm:txFillClrLst/>
    <dgm:txEffectClrLst/>
  </dgm:styleLbl>
  <dgm:styleLbl name="asst4">
    <dgm:fillClrLst meth="repeat">
      <a:schemeClr val="accent4"/>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meth="repeat">
      <a:schemeClr val="lt1"/>
    </dgm:txFillClrLst>
    <dgm:txEffectClrLst/>
  </dgm:styleLbl>
  <dgm:styleLbl name="parChTrans2D2">
    <dgm:fillClrLst meth="repeat">
      <a:schemeClr val="accent4"/>
    </dgm:fillClrLst>
    <dgm:linClrLst meth="repeat">
      <a:schemeClr val="accent4"/>
    </dgm:linClrLst>
    <dgm:effectClrLst/>
    <dgm:txLinClrLst/>
    <dgm:txFillClrLst meth="repeat">
      <a:schemeClr val="lt1"/>
    </dgm:txFillClrLst>
    <dgm:txEffectClrLst/>
  </dgm:styleLbl>
  <dgm:styleLbl name="parChTrans2D3">
    <dgm:fillClrLst meth="repeat">
      <a:schemeClr val="accent4"/>
    </dgm:fillClrLst>
    <dgm:linClrLst meth="repeat">
      <a:schemeClr val="accent4"/>
    </dgm:linClrLst>
    <dgm:effectClrLst/>
    <dgm:txLinClrLst/>
    <dgm:txFillClrLst meth="repeat">
      <a:schemeClr val="lt1"/>
    </dgm:txFillClrLst>
    <dgm:txEffectClrLst/>
  </dgm:styleLbl>
  <dgm:styleLbl name="parChTrans2D4">
    <dgm:fillClrLst meth="repeat">
      <a:schemeClr val="accent4"/>
    </dgm:fillClrLst>
    <dgm:linClrLst meth="repeat">
      <a:schemeClr val="accent4"/>
    </dgm:linClrLst>
    <dgm:effectClrLst/>
    <dgm:txLinClrLst/>
    <dgm:txFillClrLst meth="repeat">
      <a:schemeClr val="lt1"/>
    </dgm:txFillClrLst>
    <dgm:txEffectClrLst/>
  </dgm:styleLbl>
  <dgm:styleLbl name="parChTrans1D1">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2">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3">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parChTrans1D4">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solidFgAcc1">
    <dgm:fillClrLst meth="repeat">
      <a:schemeClr val="lt1"/>
    </dgm:fillClrLst>
    <dgm:linClrLst meth="repeat">
      <a:schemeClr val="accent4"/>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accent4"/>
    </dgm:linClrLst>
    <dgm:effectClrLst/>
    <dgm:txLinClrLst/>
    <dgm:txFillClrLst meth="repeat">
      <a:schemeClr val="dk1"/>
    </dgm:txFillClrLst>
    <dgm:txEffectClrLst/>
  </dgm:styleLbl>
  <dgm:styleLbl name="dkBgShp">
    <dgm:fillClrLst meth="repeat">
      <a:schemeClr val="accent4">
        <a:shade val="80000"/>
      </a:schemeClr>
    </dgm:fillClrLst>
    <dgm:linClrLst meth="repeat">
      <a:schemeClr val="accent4"/>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23ACE42-118B-4629-AF7D-FFC308B8097B}" type="doc">
      <dgm:prSet loTypeId="urn:microsoft.com/office/officeart/2005/8/layout/cycle3" loCatId="cycle" qsTypeId="urn:microsoft.com/office/officeart/2005/8/quickstyle/simple1" qsCatId="simple" csTypeId="urn:microsoft.com/office/officeart/2005/8/colors/accent4_2" csCatId="accent4" phldr="1"/>
      <dgm:spPr/>
      <dgm:t>
        <a:bodyPr/>
        <a:lstStyle/>
        <a:p>
          <a:endParaRPr lang="en-US"/>
        </a:p>
      </dgm:t>
    </dgm:pt>
    <dgm:pt modelId="{EC3C3C65-5020-4678-A93C-5EEDEB9B0F9E}">
      <dgm:prSet phldrT="[Text]"/>
      <dgm:spPr/>
      <dgm:t>
        <a:bodyPr/>
        <a:lstStyle/>
        <a:p>
          <a:r>
            <a:rPr lang="en-US">
              <a:solidFill>
                <a:sysClr val="windowText" lastClr="000000"/>
              </a:solidFill>
            </a:rPr>
            <a:t>1. Prospective:</a:t>
          </a:r>
        </a:p>
        <a:p>
          <a:r>
            <a:rPr lang="en-US" b="1">
              <a:solidFill>
                <a:sysClr val="windowText" lastClr="000000"/>
              </a:solidFill>
            </a:rPr>
            <a:t>Provider</a:t>
          </a:r>
        </a:p>
      </dgm:t>
    </dgm:pt>
    <dgm:pt modelId="{2433B224-C213-45BA-A611-A784C17C78B6}" type="parTrans" cxnId="{9BB2A9C4-62D2-4CA1-AA63-BEB203C99F43}">
      <dgm:prSet/>
      <dgm:spPr/>
      <dgm:t>
        <a:bodyPr/>
        <a:lstStyle/>
        <a:p>
          <a:endParaRPr lang="en-US">
            <a:solidFill>
              <a:sysClr val="windowText" lastClr="000000"/>
            </a:solidFill>
          </a:endParaRPr>
        </a:p>
      </dgm:t>
    </dgm:pt>
    <dgm:pt modelId="{273D934D-2AD5-428B-8B92-01DDB5D372D1}" type="sibTrans" cxnId="{9BB2A9C4-62D2-4CA1-AA63-BEB203C99F43}">
      <dgm:prSet/>
      <dgm:spPr/>
      <dgm:t>
        <a:bodyPr/>
        <a:lstStyle/>
        <a:p>
          <a:endParaRPr lang="en-US">
            <a:solidFill>
              <a:sysClr val="windowText" lastClr="000000"/>
            </a:solidFill>
          </a:endParaRPr>
        </a:p>
      </dgm:t>
    </dgm:pt>
    <dgm:pt modelId="{0D20D2BB-EE80-455E-8C8C-316BC88CDBE2}">
      <dgm:prSet phldrT="[Text]"/>
      <dgm:spPr/>
      <dgm:t>
        <a:bodyPr/>
        <a:lstStyle/>
        <a:p>
          <a:r>
            <a:rPr lang="en-US">
              <a:solidFill>
                <a:sysClr val="windowText" lastClr="000000"/>
              </a:solidFill>
            </a:rPr>
            <a:t>2. Cost Classification:</a:t>
          </a:r>
        </a:p>
        <a:p>
          <a:r>
            <a:rPr lang="en-US" b="1">
              <a:solidFill>
                <a:sysClr val="windowText" lastClr="000000"/>
              </a:solidFill>
            </a:rPr>
            <a:t>Direct Medical Cost</a:t>
          </a:r>
        </a:p>
      </dgm:t>
    </dgm:pt>
    <dgm:pt modelId="{0CDCAF30-EB53-4CB6-AD01-C7FDB11FD2EB}" type="parTrans" cxnId="{EA8BF041-82ED-4108-BD4C-7D558241C0BA}">
      <dgm:prSet/>
      <dgm:spPr/>
      <dgm:t>
        <a:bodyPr/>
        <a:lstStyle/>
        <a:p>
          <a:endParaRPr lang="en-US">
            <a:solidFill>
              <a:sysClr val="windowText" lastClr="000000"/>
            </a:solidFill>
          </a:endParaRPr>
        </a:p>
      </dgm:t>
    </dgm:pt>
    <dgm:pt modelId="{182528EC-9473-4B1D-8BF1-F437C80E54C8}" type="sibTrans" cxnId="{EA8BF041-82ED-4108-BD4C-7D558241C0BA}">
      <dgm:prSet/>
      <dgm:spPr/>
      <dgm:t>
        <a:bodyPr/>
        <a:lstStyle/>
        <a:p>
          <a:endParaRPr lang="en-US">
            <a:solidFill>
              <a:sysClr val="windowText" lastClr="000000"/>
            </a:solidFill>
          </a:endParaRPr>
        </a:p>
      </dgm:t>
    </dgm:pt>
    <dgm:pt modelId="{F23CBEF1-CA3D-47AF-A7CF-0DA98F7555C6}">
      <dgm:prSet phldrT="[Text]"/>
      <dgm:spPr/>
      <dgm:t>
        <a:bodyPr/>
        <a:lstStyle/>
        <a:p>
          <a:r>
            <a:rPr lang="en-US">
              <a:solidFill>
                <a:sysClr val="windowText" lastClr="000000"/>
              </a:solidFill>
            </a:rPr>
            <a:t>3. Estimation Approach:</a:t>
          </a:r>
        </a:p>
        <a:p>
          <a:r>
            <a:rPr lang="en-US" b="1">
              <a:solidFill>
                <a:sysClr val="windowText" lastClr="000000"/>
              </a:solidFill>
            </a:rPr>
            <a:t>Prevalence based</a:t>
          </a:r>
        </a:p>
      </dgm:t>
    </dgm:pt>
    <dgm:pt modelId="{EE23844D-51E4-4F80-A51F-C1B598859ECD}" type="parTrans" cxnId="{45D1E89D-2A72-4D27-BF6F-F4FEC5F8F495}">
      <dgm:prSet/>
      <dgm:spPr/>
      <dgm:t>
        <a:bodyPr/>
        <a:lstStyle/>
        <a:p>
          <a:endParaRPr lang="en-US">
            <a:solidFill>
              <a:sysClr val="windowText" lastClr="000000"/>
            </a:solidFill>
          </a:endParaRPr>
        </a:p>
      </dgm:t>
    </dgm:pt>
    <dgm:pt modelId="{EA4BD98F-5D0D-4EA8-B80D-E86E48F4EBF6}" type="sibTrans" cxnId="{45D1E89D-2A72-4D27-BF6F-F4FEC5F8F495}">
      <dgm:prSet/>
      <dgm:spPr/>
      <dgm:t>
        <a:bodyPr/>
        <a:lstStyle/>
        <a:p>
          <a:endParaRPr lang="en-US">
            <a:solidFill>
              <a:sysClr val="windowText" lastClr="000000"/>
            </a:solidFill>
          </a:endParaRPr>
        </a:p>
      </dgm:t>
    </dgm:pt>
    <dgm:pt modelId="{9E6257D4-4A71-4E8A-A24A-F82B70978ECF}">
      <dgm:prSet phldrT="[Text]"/>
      <dgm:spPr/>
      <dgm:t>
        <a:bodyPr/>
        <a:lstStyle/>
        <a:p>
          <a:r>
            <a:rPr lang="en-US">
              <a:solidFill>
                <a:sysClr val="windowText" lastClr="000000"/>
              </a:solidFill>
            </a:rPr>
            <a:t>4. Costing methods:</a:t>
          </a:r>
        </a:p>
        <a:p>
          <a:r>
            <a:rPr lang="en-US" b="1">
              <a:solidFill>
                <a:sysClr val="windowText" lastClr="000000"/>
              </a:solidFill>
            </a:rPr>
            <a:t>Bottom-Up</a:t>
          </a:r>
          <a:r>
            <a:rPr lang="en-US">
              <a:solidFill>
                <a:sysClr val="windowText" lastClr="000000"/>
              </a:solidFill>
            </a:rPr>
            <a:t> </a:t>
          </a:r>
        </a:p>
      </dgm:t>
    </dgm:pt>
    <dgm:pt modelId="{7E5E2D3B-5BF7-42D9-AEB8-7EA1A3E2F26A}" type="parTrans" cxnId="{399E2ED9-F9F9-462C-8804-C45207B4E231}">
      <dgm:prSet/>
      <dgm:spPr/>
      <dgm:t>
        <a:bodyPr/>
        <a:lstStyle/>
        <a:p>
          <a:endParaRPr lang="en-US">
            <a:solidFill>
              <a:sysClr val="windowText" lastClr="000000"/>
            </a:solidFill>
          </a:endParaRPr>
        </a:p>
      </dgm:t>
    </dgm:pt>
    <dgm:pt modelId="{0BB97FE5-0669-44C3-BFDA-D77CC23C6863}" type="sibTrans" cxnId="{399E2ED9-F9F9-462C-8804-C45207B4E231}">
      <dgm:prSet/>
      <dgm:spPr/>
      <dgm:t>
        <a:bodyPr/>
        <a:lstStyle/>
        <a:p>
          <a:endParaRPr lang="en-US">
            <a:solidFill>
              <a:sysClr val="windowText" lastClr="000000"/>
            </a:solidFill>
          </a:endParaRPr>
        </a:p>
      </dgm:t>
    </dgm:pt>
    <dgm:pt modelId="{7FC9D824-B8B4-47AD-81CB-CB078C2EB8FD}">
      <dgm:prSet phldrT="[Text]"/>
      <dgm:spPr/>
      <dgm:t>
        <a:bodyPr/>
        <a:lstStyle/>
        <a:p>
          <a:r>
            <a:rPr lang="en-US">
              <a:solidFill>
                <a:sysClr val="windowText" lastClr="000000"/>
              </a:solidFill>
            </a:rPr>
            <a:t>5. Study Design:</a:t>
          </a:r>
        </a:p>
        <a:p>
          <a:r>
            <a:rPr lang="en-US" b="1">
              <a:solidFill>
                <a:sysClr val="windowText" lastClr="000000"/>
              </a:solidFill>
            </a:rPr>
            <a:t>Retrospective Cross sectional study</a:t>
          </a:r>
        </a:p>
      </dgm:t>
    </dgm:pt>
    <dgm:pt modelId="{B118BDE1-44DB-44F8-9D38-A678884EADED}" type="parTrans" cxnId="{316F18E3-E88B-457A-8429-4DDB70E82B4A}">
      <dgm:prSet/>
      <dgm:spPr/>
      <dgm:t>
        <a:bodyPr/>
        <a:lstStyle/>
        <a:p>
          <a:endParaRPr lang="en-US">
            <a:solidFill>
              <a:sysClr val="windowText" lastClr="000000"/>
            </a:solidFill>
          </a:endParaRPr>
        </a:p>
      </dgm:t>
    </dgm:pt>
    <dgm:pt modelId="{5DE2F18C-E7C2-4323-9A85-039AE79DE48F}" type="sibTrans" cxnId="{316F18E3-E88B-457A-8429-4DDB70E82B4A}">
      <dgm:prSet/>
      <dgm:spPr/>
      <dgm:t>
        <a:bodyPr/>
        <a:lstStyle/>
        <a:p>
          <a:endParaRPr lang="en-US">
            <a:solidFill>
              <a:sysClr val="windowText" lastClr="000000"/>
            </a:solidFill>
          </a:endParaRPr>
        </a:p>
      </dgm:t>
    </dgm:pt>
    <dgm:pt modelId="{3B7CF109-4401-4FA6-B7C8-50AB6F408251}">
      <dgm:prSet phldrT="[Text]"/>
      <dgm:spPr/>
      <dgm:t>
        <a:bodyPr/>
        <a:lstStyle/>
        <a:p>
          <a:r>
            <a:rPr lang="en-US">
              <a:solidFill>
                <a:sysClr val="windowText" lastClr="000000"/>
              </a:solidFill>
            </a:rPr>
            <a:t>6. Data Type: </a:t>
          </a:r>
        </a:p>
        <a:p>
          <a:r>
            <a:rPr lang="en-US" b="1">
              <a:solidFill>
                <a:sysClr val="windowText" lastClr="000000"/>
              </a:solidFill>
            </a:rPr>
            <a:t>Cost</a:t>
          </a:r>
        </a:p>
      </dgm:t>
    </dgm:pt>
    <dgm:pt modelId="{0C4D4085-872C-411A-A47E-C531165091EE}" type="sibTrans" cxnId="{626818D4-8241-48C4-A05F-5E7A32FE8093}">
      <dgm:prSet/>
      <dgm:spPr/>
      <dgm:t>
        <a:bodyPr/>
        <a:lstStyle/>
        <a:p>
          <a:endParaRPr lang="en-US">
            <a:solidFill>
              <a:sysClr val="windowText" lastClr="000000"/>
            </a:solidFill>
          </a:endParaRPr>
        </a:p>
      </dgm:t>
    </dgm:pt>
    <dgm:pt modelId="{97D2D900-5F13-4267-A1C7-9766F7BF490C}" type="parTrans" cxnId="{626818D4-8241-48C4-A05F-5E7A32FE8093}">
      <dgm:prSet/>
      <dgm:spPr/>
      <dgm:t>
        <a:bodyPr/>
        <a:lstStyle/>
        <a:p>
          <a:endParaRPr lang="en-US">
            <a:solidFill>
              <a:sysClr val="windowText" lastClr="000000"/>
            </a:solidFill>
          </a:endParaRPr>
        </a:p>
      </dgm:t>
    </dgm:pt>
    <dgm:pt modelId="{2E6B9526-8BFD-4642-AD05-BA835F9F1679}" type="pres">
      <dgm:prSet presAssocID="{C23ACE42-118B-4629-AF7D-FFC308B8097B}" presName="Name0" presStyleCnt="0">
        <dgm:presLayoutVars>
          <dgm:dir/>
          <dgm:resizeHandles val="exact"/>
        </dgm:presLayoutVars>
      </dgm:prSet>
      <dgm:spPr/>
    </dgm:pt>
    <dgm:pt modelId="{D0F0F01B-656B-4D3F-85DC-27A6AD6BFDA4}" type="pres">
      <dgm:prSet presAssocID="{C23ACE42-118B-4629-AF7D-FFC308B8097B}" presName="cycle" presStyleCnt="0"/>
      <dgm:spPr/>
    </dgm:pt>
    <dgm:pt modelId="{3BBE5DAF-0FAC-47C8-9887-E686694052E4}" type="pres">
      <dgm:prSet presAssocID="{EC3C3C65-5020-4678-A93C-5EEDEB9B0F9E}" presName="nodeFirstNode" presStyleLbl="node1" presStyleIdx="0" presStyleCnt="6">
        <dgm:presLayoutVars>
          <dgm:bulletEnabled val="1"/>
        </dgm:presLayoutVars>
      </dgm:prSet>
      <dgm:spPr/>
    </dgm:pt>
    <dgm:pt modelId="{E84AE72A-CB59-4271-80A6-EE657FCC258B}" type="pres">
      <dgm:prSet presAssocID="{273D934D-2AD5-428B-8B92-01DDB5D372D1}" presName="sibTransFirstNode" presStyleLbl="bgShp" presStyleIdx="0" presStyleCnt="1"/>
      <dgm:spPr/>
    </dgm:pt>
    <dgm:pt modelId="{3A7D3EF5-E60C-444C-88DD-F53F06EA2BB5}" type="pres">
      <dgm:prSet presAssocID="{0D20D2BB-EE80-455E-8C8C-316BC88CDBE2}" presName="nodeFollowingNodes" presStyleLbl="node1" presStyleIdx="1" presStyleCnt="6">
        <dgm:presLayoutVars>
          <dgm:bulletEnabled val="1"/>
        </dgm:presLayoutVars>
      </dgm:prSet>
      <dgm:spPr/>
    </dgm:pt>
    <dgm:pt modelId="{3057FEAB-C624-42B5-83AA-21DC17A300BB}" type="pres">
      <dgm:prSet presAssocID="{F23CBEF1-CA3D-47AF-A7CF-0DA98F7555C6}" presName="nodeFollowingNodes" presStyleLbl="node1" presStyleIdx="2" presStyleCnt="6" custRadScaleRad="104905" custRadScaleInc="-16390">
        <dgm:presLayoutVars>
          <dgm:bulletEnabled val="1"/>
        </dgm:presLayoutVars>
      </dgm:prSet>
      <dgm:spPr/>
    </dgm:pt>
    <dgm:pt modelId="{BD41F5D8-ACBB-4A1B-A9A2-D51FF5D79ED1}" type="pres">
      <dgm:prSet presAssocID="{9E6257D4-4A71-4E8A-A24A-F82B70978ECF}" presName="nodeFollowingNodes" presStyleLbl="node1" presStyleIdx="3" presStyleCnt="6">
        <dgm:presLayoutVars>
          <dgm:bulletEnabled val="1"/>
        </dgm:presLayoutVars>
      </dgm:prSet>
      <dgm:spPr/>
    </dgm:pt>
    <dgm:pt modelId="{765180EB-A41C-4AC1-B313-4186D1CB8D3A}" type="pres">
      <dgm:prSet presAssocID="{7FC9D824-B8B4-47AD-81CB-CB078C2EB8FD}" presName="nodeFollowingNodes" presStyleLbl="node1" presStyleIdx="4" presStyleCnt="6" custScaleX="112894" custScaleY="122028" custRadScaleRad="109300" custRadScaleInc="19709">
        <dgm:presLayoutVars>
          <dgm:bulletEnabled val="1"/>
        </dgm:presLayoutVars>
      </dgm:prSet>
      <dgm:spPr/>
    </dgm:pt>
    <dgm:pt modelId="{CD8C55A3-911C-4D17-AC00-2DDD109E9628}" type="pres">
      <dgm:prSet presAssocID="{3B7CF109-4401-4FA6-B7C8-50AB6F408251}" presName="nodeFollowingNodes" presStyleLbl="node1" presStyleIdx="5" presStyleCnt="6">
        <dgm:presLayoutVars>
          <dgm:bulletEnabled val="1"/>
        </dgm:presLayoutVars>
      </dgm:prSet>
      <dgm:spPr/>
    </dgm:pt>
  </dgm:ptLst>
  <dgm:cxnLst>
    <dgm:cxn modelId="{2853AB1E-0A55-45BA-A164-4808A35B3F89}" type="presOf" srcId="{EC3C3C65-5020-4678-A93C-5EEDEB9B0F9E}" destId="{3BBE5DAF-0FAC-47C8-9887-E686694052E4}" srcOrd="0" destOrd="0" presId="urn:microsoft.com/office/officeart/2005/8/layout/cycle3"/>
    <dgm:cxn modelId="{3F5A0C32-435B-4CF6-8DD1-18AB5CE87900}" type="presOf" srcId="{273D934D-2AD5-428B-8B92-01DDB5D372D1}" destId="{E84AE72A-CB59-4271-80A6-EE657FCC258B}" srcOrd="0" destOrd="0" presId="urn:microsoft.com/office/officeart/2005/8/layout/cycle3"/>
    <dgm:cxn modelId="{EA8BF041-82ED-4108-BD4C-7D558241C0BA}" srcId="{C23ACE42-118B-4629-AF7D-FFC308B8097B}" destId="{0D20D2BB-EE80-455E-8C8C-316BC88CDBE2}" srcOrd="1" destOrd="0" parTransId="{0CDCAF30-EB53-4CB6-AD01-C7FDB11FD2EB}" sibTransId="{182528EC-9473-4B1D-8BF1-F437C80E54C8}"/>
    <dgm:cxn modelId="{44A64764-18C3-4CDF-BA21-83552A71FAB0}" type="presOf" srcId="{3B7CF109-4401-4FA6-B7C8-50AB6F408251}" destId="{CD8C55A3-911C-4D17-AC00-2DDD109E9628}" srcOrd="0" destOrd="0" presId="urn:microsoft.com/office/officeart/2005/8/layout/cycle3"/>
    <dgm:cxn modelId="{B48D6D51-036F-4D1D-AEFE-EDE1EF279C8B}" type="presOf" srcId="{F23CBEF1-CA3D-47AF-A7CF-0DA98F7555C6}" destId="{3057FEAB-C624-42B5-83AA-21DC17A300BB}" srcOrd="0" destOrd="0" presId="urn:microsoft.com/office/officeart/2005/8/layout/cycle3"/>
    <dgm:cxn modelId="{45D1E89D-2A72-4D27-BF6F-F4FEC5F8F495}" srcId="{C23ACE42-118B-4629-AF7D-FFC308B8097B}" destId="{F23CBEF1-CA3D-47AF-A7CF-0DA98F7555C6}" srcOrd="2" destOrd="0" parTransId="{EE23844D-51E4-4F80-A51F-C1B598859ECD}" sibTransId="{EA4BD98F-5D0D-4EA8-B80D-E86E48F4EBF6}"/>
    <dgm:cxn modelId="{35EDB0B0-4910-4756-8976-075D3BCC1278}" type="presOf" srcId="{7FC9D824-B8B4-47AD-81CB-CB078C2EB8FD}" destId="{765180EB-A41C-4AC1-B313-4186D1CB8D3A}" srcOrd="0" destOrd="0" presId="urn:microsoft.com/office/officeart/2005/8/layout/cycle3"/>
    <dgm:cxn modelId="{9BB2A9C4-62D2-4CA1-AA63-BEB203C99F43}" srcId="{C23ACE42-118B-4629-AF7D-FFC308B8097B}" destId="{EC3C3C65-5020-4678-A93C-5EEDEB9B0F9E}" srcOrd="0" destOrd="0" parTransId="{2433B224-C213-45BA-A611-A784C17C78B6}" sibTransId="{273D934D-2AD5-428B-8B92-01DDB5D372D1}"/>
    <dgm:cxn modelId="{69A0ABCF-8DC7-4340-ABA6-DA02FFC930F0}" type="presOf" srcId="{C23ACE42-118B-4629-AF7D-FFC308B8097B}" destId="{2E6B9526-8BFD-4642-AD05-BA835F9F1679}" srcOrd="0" destOrd="0" presId="urn:microsoft.com/office/officeart/2005/8/layout/cycle3"/>
    <dgm:cxn modelId="{626818D4-8241-48C4-A05F-5E7A32FE8093}" srcId="{C23ACE42-118B-4629-AF7D-FFC308B8097B}" destId="{3B7CF109-4401-4FA6-B7C8-50AB6F408251}" srcOrd="5" destOrd="0" parTransId="{97D2D900-5F13-4267-A1C7-9766F7BF490C}" sibTransId="{0C4D4085-872C-411A-A47E-C531165091EE}"/>
    <dgm:cxn modelId="{399E2ED9-F9F9-462C-8804-C45207B4E231}" srcId="{C23ACE42-118B-4629-AF7D-FFC308B8097B}" destId="{9E6257D4-4A71-4E8A-A24A-F82B70978ECF}" srcOrd="3" destOrd="0" parTransId="{7E5E2D3B-5BF7-42D9-AEB8-7EA1A3E2F26A}" sibTransId="{0BB97FE5-0669-44C3-BFDA-D77CC23C6863}"/>
    <dgm:cxn modelId="{0D2F07E2-7A3C-4C9E-9F4B-749C4D6CF4FF}" type="presOf" srcId="{9E6257D4-4A71-4E8A-A24A-F82B70978ECF}" destId="{BD41F5D8-ACBB-4A1B-A9A2-D51FF5D79ED1}" srcOrd="0" destOrd="0" presId="urn:microsoft.com/office/officeart/2005/8/layout/cycle3"/>
    <dgm:cxn modelId="{316F18E3-E88B-457A-8429-4DDB70E82B4A}" srcId="{C23ACE42-118B-4629-AF7D-FFC308B8097B}" destId="{7FC9D824-B8B4-47AD-81CB-CB078C2EB8FD}" srcOrd="4" destOrd="0" parTransId="{B118BDE1-44DB-44F8-9D38-A678884EADED}" sibTransId="{5DE2F18C-E7C2-4323-9A85-039AE79DE48F}"/>
    <dgm:cxn modelId="{E2CA4AF5-7396-4318-81EF-55FC2131A0E6}" type="presOf" srcId="{0D20D2BB-EE80-455E-8C8C-316BC88CDBE2}" destId="{3A7D3EF5-E60C-444C-88DD-F53F06EA2BB5}" srcOrd="0" destOrd="0" presId="urn:microsoft.com/office/officeart/2005/8/layout/cycle3"/>
    <dgm:cxn modelId="{5C143B94-A8B4-479D-B1AD-F87B0100B38B}" type="presParOf" srcId="{2E6B9526-8BFD-4642-AD05-BA835F9F1679}" destId="{D0F0F01B-656B-4D3F-85DC-27A6AD6BFDA4}" srcOrd="0" destOrd="0" presId="urn:microsoft.com/office/officeart/2005/8/layout/cycle3"/>
    <dgm:cxn modelId="{FBFD8455-FB02-412B-8AFC-36F2E1FDDEC7}" type="presParOf" srcId="{D0F0F01B-656B-4D3F-85DC-27A6AD6BFDA4}" destId="{3BBE5DAF-0FAC-47C8-9887-E686694052E4}" srcOrd="0" destOrd="0" presId="urn:microsoft.com/office/officeart/2005/8/layout/cycle3"/>
    <dgm:cxn modelId="{2823ABB9-CE47-41D7-9DFB-795BC082C606}" type="presParOf" srcId="{D0F0F01B-656B-4D3F-85DC-27A6AD6BFDA4}" destId="{E84AE72A-CB59-4271-80A6-EE657FCC258B}" srcOrd="1" destOrd="0" presId="urn:microsoft.com/office/officeart/2005/8/layout/cycle3"/>
    <dgm:cxn modelId="{54351EA3-71B9-415D-ACF0-ECCDFFD0B927}" type="presParOf" srcId="{D0F0F01B-656B-4D3F-85DC-27A6AD6BFDA4}" destId="{3A7D3EF5-E60C-444C-88DD-F53F06EA2BB5}" srcOrd="2" destOrd="0" presId="urn:microsoft.com/office/officeart/2005/8/layout/cycle3"/>
    <dgm:cxn modelId="{589A7037-117F-4096-9A0F-469438DD8BA4}" type="presParOf" srcId="{D0F0F01B-656B-4D3F-85DC-27A6AD6BFDA4}" destId="{3057FEAB-C624-42B5-83AA-21DC17A300BB}" srcOrd="3" destOrd="0" presId="urn:microsoft.com/office/officeart/2005/8/layout/cycle3"/>
    <dgm:cxn modelId="{FFB31E65-A509-47F3-ABC5-002A62EA04C3}" type="presParOf" srcId="{D0F0F01B-656B-4D3F-85DC-27A6AD6BFDA4}" destId="{BD41F5D8-ACBB-4A1B-A9A2-D51FF5D79ED1}" srcOrd="4" destOrd="0" presId="urn:microsoft.com/office/officeart/2005/8/layout/cycle3"/>
    <dgm:cxn modelId="{0BE670CA-2500-44DF-9671-7B5F6EBAAFDF}" type="presParOf" srcId="{D0F0F01B-656B-4D3F-85DC-27A6AD6BFDA4}" destId="{765180EB-A41C-4AC1-B313-4186D1CB8D3A}" srcOrd="5" destOrd="0" presId="urn:microsoft.com/office/officeart/2005/8/layout/cycle3"/>
    <dgm:cxn modelId="{43D9580B-86E8-4FD2-AF98-291D7623862A}" type="presParOf" srcId="{D0F0F01B-656B-4D3F-85DC-27A6AD6BFDA4}" destId="{CD8C55A3-911C-4D17-AC00-2DDD109E9628}" srcOrd="6" destOrd="0" presId="urn:microsoft.com/office/officeart/2005/8/layout/cycle3"/>
  </dgm:cxnLst>
  <dgm:bg/>
  <dgm:whole/>
  <dgm:extLst>
    <a:ext uri="http://schemas.microsoft.com/office/drawing/2008/diagram">
      <dsp:dataModelExt xmlns:dsp="http://schemas.microsoft.com/office/drawing/2008/diagram" relId="rId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4AE72A-CB59-4271-80A6-EE657FCC258B}">
      <dsp:nvSpPr>
        <dsp:cNvPr id="0" name=""/>
        <dsp:cNvSpPr/>
      </dsp:nvSpPr>
      <dsp:spPr>
        <a:xfrm>
          <a:off x="1004498" y="-4408"/>
          <a:ext cx="3955551" cy="3955551"/>
        </a:xfrm>
        <a:prstGeom prst="circularArrow">
          <a:avLst>
            <a:gd name="adj1" fmla="val 5274"/>
            <a:gd name="adj2" fmla="val 312630"/>
            <a:gd name="adj3" fmla="val 14270734"/>
            <a:gd name="adj4" fmla="val 17102132"/>
            <a:gd name="adj5" fmla="val 5477"/>
          </a:avLst>
        </a:prstGeom>
        <a:solidFill>
          <a:schemeClr val="accent4">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3BBE5DAF-0FAC-47C8-9887-E686694052E4}">
      <dsp:nvSpPr>
        <dsp:cNvPr id="0" name=""/>
        <dsp:cNvSpPr/>
      </dsp:nvSpPr>
      <dsp:spPr>
        <a:xfrm>
          <a:off x="2248531" y="1070"/>
          <a:ext cx="1467484" cy="733742"/>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Text" lastClr="000000"/>
              </a:solidFill>
            </a:rPr>
            <a:t>1. Prospective:</a:t>
          </a:r>
        </a:p>
        <a:p>
          <a:pPr marL="0" lvl="0" indent="0" algn="ctr" defTabSz="488950">
            <a:lnSpc>
              <a:spcPct val="90000"/>
            </a:lnSpc>
            <a:spcBef>
              <a:spcPct val="0"/>
            </a:spcBef>
            <a:spcAft>
              <a:spcPct val="35000"/>
            </a:spcAft>
            <a:buNone/>
          </a:pPr>
          <a:r>
            <a:rPr lang="en-US" sz="1100" b="1" kern="1200">
              <a:solidFill>
                <a:sysClr val="windowText" lastClr="000000"/>
              </a:solidFill>
            </a:rPr>
            <a:t>Provider</a:t>
          </a:r>
        </a:p>
      </dsp:txBody>
      <dsp:txXfrm>
        <a:off x="2284349" y="36888"/>
        <a:ext cx="1395848" cy="662106"/>
      </dsp:txXfrm>
    </dsp:sp>
    <dsp:sp modelId="{3A7D3EF5-E60C-444C-88DD-F53F06EA2BB5}">
      <dsp:nvSpPr>
        <dsp:cNvPr id="0" name=""/>
        <dsp:cNvSpPr/>
      </dsp:nvSpPr>
      <dsp:spPr>
        <a:xfrm>
          <a:off x="3638230" y="803413"/>
          <a:ext cx="1467484" cy="733742"/>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Text" lastClr="000000"/>
              </a:solidFill>
            </a:rPr>
            <a:t>2. Cost Classification:</a:t>
          </a:r>
        </a:p>
        <a:p>
          <a:pPr marL="0" lvl="0" indent="0" algn="ctr" defTabSz="488950">
            <a:lnSpc>
              <a:spcPct val="90000"/>
            </a:lnSpc>
            <a:spcBef>
              <a:spcPct val="0"/>
            </a:spcBef>
            <a:spcAft>
              <a:spcPct val="35000"/>
            </a:spcAft>
            <a:buNone/>
          </a:pPr>
          <a:r>
            <a:rPr lang="en-US" sz="1100" b="1" kern="1200">
              <a:solidFill>
                <a:sysClr val="windowText" lastClr="000000"/>
              </a:solidFill>
            </a:rPr>
            <a:t>Direct Medical Cost</a:t>
          </a:r>
        </a:p>
      </dsp:txBody>
      <dsp:txXfrm>
        <a:off x="3674048" y="839231"/>
        <a:ext cx="1395848" cy="662106"/>
      </dsp:txXfrm>
    </dsp:sp>
    <dsp:sp modelId="{3057FEAB-C624-42B5-83AA-21DC17A300BB}">
      <dsp:nvSpPr>
        <dsp:cNvPr id="0" name=""/>
        <dsp:cNvSpPr/>
      </dsp:nvSpPr>
      <dsp:spPr>
        <a:xfrm>
          <a:off x="3814028" y="2224659"/>
          <a:ext cx="1467484" cy="733742"/>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Text" lastClr="000000"/>
              </a:solidFill>
            </a:rPr>
            <a:t>3. Estimation Approach:</a:t>
          </a:r>
        </a:p>
        <a:p>
          <a:pPr marL="0" lvl="0" indent="0" algn="ctr" defTabSz="488950">
            <a:lnSpc>
              <a:spcPct val="90000"/>
            </a:lnSpc>
            <a:spcBef>
              <a:spcPct val="0"/>
            </a:spcBef>
            <a:spcAft>
              <a:spcPct val="35000"/>
            </a:spcAft>
            <a:buNone/>
          </a:pPr>
          <a:r>
            <a:rPr lang="en-US" sz="1100" b="1" kern="1200">
              <a:solidFill>
                <a:sysClr val="windowText" lastClr="000000"/>
              </a:solidFill>
            </a:rPr>
            <a:t>Prevalence based</a:t>
          </a:r>
        </a:p>
      </dsp:txBody>
      <dsp:txXfrm>
        <a:off x="3849846" y="2260477"/>
        <a:ext cx="1395848" cy="662106"/>
      </dsp:txXfrm>
    </dsp:sp>
    <dsp:sp modelId="{BD41F5D8-ACBB-4A1B-A9A2-D51FF5D79ED1}">
      <dsp:nvSpPr>
        <dsp:cNvPr id="0" name=""/>
        <dsp:cNvSpPr/>
      </dsp:nvSpPr>
      <dsp:spPr>
        <a:xfrm>
          <a:off x="2248531" y="3210442"/>
          <a:ext cx="1467484" cy="733742"/>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Text" lastClr="000000"/>
              </a:solidFill>
            </a:rPr>
            <a:t>4. Costing methods:</a:t>
          </a:r>
        </a:p>
        <a:p>
          <a:pPr marL="0" lvl="0" indent="0" algn="ctr" defTabSz="488950">
            <a:lnSpc>
              <a:spcPct val="90000"/>
            </a:lnSpc>
            <a:spcBef>
              <a:spcPct val="0"/>
            </a:spcBef>
            <a:spcAft>
              <a:spcPct val="35000"/>
            </a:spcAft>
            <a:buNone/>
          </a:pPr>
          <a:r>
            <a:rPr lang="en-US" sz="1100" b="1" kern="1200">
              <a:solidFill>
                <a:sysClr val="windowText" lastClr="000000"/>
              </a:solidFill>
            </a:rPr>
            <a:t>Bottom-Up</a:t>
          </a:r>
          <a:r>
            <a:rPr lang="en-US" sz="1100" kern="1200">
              <a:solidFill>
                <a:sysClr val="windowText" lastClr="000000"/>
              </a:solidFill>
            </a:rPr>
            <a:t> </a:t>
          </a:r>
        </a:p>
      </dsp:txBody>
      <dsp:txXfrm>
        <a:off x="2284349" y="3246260"/>
        <a:ext cx="1395848" cy="662106"/>
      </dsp:txXfrm>
    </dsp:sp>
    <dsp:sp modelId="{765180EB-A41C-4AC1-B313-4186D1CB8D3A}">
      <dsp:nvSpPr>
        <dsp:cNvPr id="0" name=""/>
        <dsp:cNvSpPr/>
      </dsp:nvSpPr>
      <dsp:spPr>
        <a:xfrm>
          <a:off x="504355" y="2120903"/>
          <a:ext cx="1656702" cy="895371"/>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Text" lastClr="000000"/>
              </a:solidFill>
            </a:rPr>
            <a:t>5. Study Design:</a:t>
          </a:r>
        </a:p>
        <a:p>
          <a:pPr marL="0" lvl="0" indent="0" algn="ctr" defTabSz="488950">
            <a:lnSpc>
              <a:spcPct val="90000"/>
            </a:lnSpc>
            <a:spcBef>
              <a:spcPct val="0"/>
            </a:spcBef>
            <a:spcAft>
              <a:spcPct val="35000"/>
            </a:spcAft>
            <a:buNone/>
          </a:pPr>
          <a:r>
            <a:rPr lang="en-US" sz="1100" b="1" kern="1200">
              <a:solidFill>
                <a:sysClr val="windowText" lastClr="000000"/>
              </a:solidFill>
            </a:rPr>
            <a:t>Retrospective Cross sectional study</a:t>
          </a:r>
        </a:p>
      </dsp:txBody>
      <dsp:txXfrm>
        <a:off x="548063" y="2164611"/>
        <a:ext cx="1569286" cy="807955"/>
      </dsp:txXfrm>
    </dsp:sp>
    <dsp:sp modelId="{CD8C55A3-911C-4D17-AC00-2DDD109E9628}">
      <dsp:nvSpPr>
        <dsp:cNvPr id="0" name=""/>
        <dsp:cNvSpPr/>
      </dsp:nvSpPr>
      <dsp:spPr>
        <a:xfrm>
          <a:off x="858832" y="803413"/>
          <a:ext cx="1467484" cy="733742"/>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Text" lastClr="000000"/>
              </a:solidFill>
            </a:rPr>
            <a:t>6. Data Type: </a:t>
          </a:r>
        </a:p>
        <a:p>
          <a:pPr marL="0" lvl="0" indent="0" algn="ctr" defTabSz="488950">
            <a:lnSpc>
              <a:spcPct val="90000"/>
            </a:lnSpc>
            <a:spcBef>
              <a:spcPct val="0"/>
            </a:spcBef>
            <a:spcAft>
              <a:spcPct val="35000"/>
            </a:spcAft>
            <a:buNone/>
          </a:pPr>
          <a:r>
            <a:rPr lang="en-US" sz="1100" b="1" kern="1200">
              <a:solidFill>
                <a:sysClr val="windowText" lastClr="000000"/>
              </a:solidFill>
            </a:rPr>
            <a:t>Cost</a:t>
          </a:r>
        </a:p>
      </dsp:txBody>
      <dsp:txXfrm>
        <a:off x="894650" y="839231"/>
        <a:ext cx="1395848" cy="662106"/>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576</Words>
  <Characters>3285</Characters>
  <Application>Microsoft Office Word</Application>
  <DocSecurity>0</DocSecurity>
  <Lines>27</Lines>
  <Paragraphs>7</Paragraphs>
  <ScaleCrop>false</ScaleCrop>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Ibtisam Al Maskari</dc:creator>
  <cp:keywords/>
  <dc:description/>
  <cp:lastModifiedBy>Ms. Ibtisam Al Maskari</cp:lastModifiedBy>
  <cp:revision>3</cp:revision>
  <dcterms:created xsi:type="dcterms:W3CDTF">2026-02-17T04:46:00Z</dcterms:created>
  <dcterms:modified xsi:type="dcterms:W3CDTF">2026-02-17T04:47:00Z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2b718176-0fba-42f1-846d-19ed45d3e235</vt:lpwstr>
  </property>
</Properties>
</file>