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32"/>
          <w:szCs w:val="32"/>
          <w:rtl w:val="0"/>
        </w:rPr>
        <w:t xml:space="preserve">Supplementary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sz w:val="22"/>
          <w:szCs w:val="22"/>
          <w:rtl w:val="0"/>
        </w:rPr>
        <w:t xml:space="preserve">A Two-Level Bioenergetic Coherence Model Integrating NAD⁺, ROS, and ATP within the ISHEA Δ±1 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8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55555"/>
          <w:sz w:val="20"/>
          <w:szCs w:val="20"/>
          <w:rtl w:val="0"/>
        </w:rPr>
        <w:t xml:space="preserve">Carlos J. Perez Pulida | ISHEA 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2e75b6" w:space="1" w:sz="6" w:val="single"/>
        </w:pBdr>
        <w:spacing w:after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S1. Mathematical Formulation of the ISHEA Δ±1 Coherence Metric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ISHEA Δ±1 coherence metric is defined as a bounded nonlinear function integrating redox, energetic, stress, and regulatory variables. The general form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160" w:lineRule="auto"/>
        <w:jc w:val="center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2"/>
          <w:szCs w:val="22"/>
          <w:rtl w:val="0"/>
        </w:rPr>
        <w:t xml:space="preserve">Δ = tanh(w₁·N + w₂·A + w₃·R + w₄·S + w₅·C + w₆·F + Σᵢⱼ wᵢⱼ·Xᵢ·Xⱼ)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Where: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= normalized NAD⁺ availability [0,1]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= normalized ATP concentration [0,1]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= normalized ROS level [0,1] (inverted: high ROS → low coherence score)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= normalized cortisol (systemic stress marker) [0,1]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= CIRP — cold-inducible RNA-binding protein [0,1]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= FOXP3 (immune regulatory coherence proxy) [0,1]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wᵢ = first-order weights; wᵢⱼ = second-order interaction weights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hyperbolic tangent (tanh) function bounds Δ ∈ [−1, +1], ensuring: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 → +1: Maximal coherence — optimal redox balance, low ROS, sufficient ATP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 ≈ 0: Neutral or transitional bioenergetic state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 → −1: System incoherence — redox failure, excessive ROS, energetic collapse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S1.1 Optimized Weight Parameters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First-order weights derived from global sensitivity analysis (Sobol-Saltelli method, N=3,000):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Variable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First-Order Weight (wᵢ)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Interpretation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NAD⁺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w₁ = +0.65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Dominant positive controller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ROS (R)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w₃ = −0.48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Strong negative regulator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ATP 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w₂ = +0.22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Downstream executor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CIRP (C)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w₅ = +0.18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Metabolic stabilizer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Cortisol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w₄ = −0.12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8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Stress-mediated reduction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FOXP3 (F)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w₆ = +0.08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Immune-regulatory proxy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interaction terms (second-order weights wᵢⱼ):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w(N,R) = −0.28 — NAD⁺-ROS antagonism (redox-coherence coupling)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w(N,A) = +0.15 — NAD⁺-ATP synergy (upstream-downstream coupling)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w(A,C) = +0.12 — ATP-CIRP functional coupling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S2. Expanded Computational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S2.1 Sobol Global Sensitivity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Global sensitivity analysis was performed using the Sobol-Saltelli method to decompose variance in Δ into contributions from individual variables and their interactions.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Sampling Design: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Sample size: N = 3,000 per matrix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evaluations: (2k + 2) × N = 48,000 (k = 6 variables)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Sampling method: Saltelli extension with quasi-random Sobol sequences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Confidence intervals: 95% bootstrap (1,000 resamples)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Variance Decomposition: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Rule="auto"/>
        <w:jc w:val="center"/>
        <w:rPr/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Var(Δ) = Σᵢ Vᵢ + Σᵢ&lt;ⱼ Vᵢⱼ + ... + V₁₂₃₄₅₆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Sensitivity Indices: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Sᵢ = Vᵢ / Var(Δ)  —  first-order index (main effect)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STᵢ = (Vᵢ + Σⱼ Vᵢⱼ + ...) / Var(Δ)  —  total-order index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Difference (STᵢ − Sᵢ) quantifies interaction contributions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S2.2 Monte Carlo Simulation 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Monte Carlo simulations were performed to characterize the distribution of Δ across physiologically relevant parameter space.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runs: 8,000 independent simulations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Variable distributions: Uniform [0,1] for baseline; Beta distributions for physiological scenarios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Correlation structure: Pearson correlation matrix imposed for NAD⁺-ROS antagonism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Output metrics: Mean Δ, SD, 5th/95th percentiles, probability of coherence (Δ &gt; 0.5)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S3. Proposed Experimental Validation Roadmap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Rule="auto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transition from computational framework to experimental validation, the following phased research program is proposed: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S3.1 Phase 1: In Vitro Validation (6–12 months)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Experiment 1 — Independent NAD⁺ Manipulation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Cell line: C2C12 myoblasts (high metabolic demand)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Treatment: NMN supplementation (1 mM) vs. NAD⁺ depletion (FK866)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Measurements: [NAD⁺]/[NADH], [ATP]/[ADP], ROS (DHE), mitochondrial membrane potential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Hypothesis: NAD⁺ restoration improves Δ even without ATP increase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Experiment 2 — ROS Coherence Threshold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Treatment: Graded antimycin A (0–100 nM) to titrate 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Measurements: H₂O₂ production, lipid peroxidation, protein carbonylation, cellular viability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Hypothesis: Δ exhibits biphasic response — hormetic ROS vs. pathological 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S3.2 Phase 2: In Vivo Validation (12–24 months)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model: C57BL/6 mice under metabolic stress (high-fat diet or exhaustive exercise)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Groups: (1) Control, (2) NMN supplementation, (3) Creatine, (4) NMN + Antioxidants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Measurements: Tissue NAD⁺, ATP, ROS, mitochondrial function, exercise capacity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Hypothesis: Group 4 (redox-first strategy) shows superior Δ vs. Group 3 (ATP-only)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S3.3 Phase 3: Human Translational Study (24–36 months)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Design: Randomized, double-blind, placebo-controlled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Population: Healthy adults (n=60), aged 50–70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Intervention: Nicotinamide riboside (1,000 mg/day) × 12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Measurements: Blood NAD⁺, ROS biomarkers, ATP (PBMCs), VO₂max, muscle biopsy (subset)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outcome: Change in composite Δ score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bottom w:color="cccccc" w:space="1" w:sz="4" w:val="single"/>
        </w:pBdr>
        <w:spacing w:after="200" w:before="4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End of Supplementary Material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3864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509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333333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